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78029">
      <w:pPr>
        <w:pStyle w:val="5"/>
        <w:keepNext w:val="0"/>
        <w:keepLines w:val="0"/>
        <w:pageBreakBefore w:val="0"/>
        <w:wordWrap w:val="0"/>
        <w:overflowPunct/>
        <w:topLinePunct w:val="0"/>
        <w:bidi w:val="0"/>
        <w:spacing w:line="241" w:lineRule="auto"/>
        <w:rPr>
          <w:rFonts w:hint="eastAsia" w:ascii="宋体" w:hAnsi="宋体" w:eastAsia="宋体" w:cs="宋体"/>
          <w:color w:val="000000" w:themeColor="text1"/>
          <w:spacing w:val="0"/>
          <w:highlight w:val="none"/>
          <w14:textFill>
            <w14:solidFill>
              <w14:schemeClr w14:val="tx1"/>
            </w14:solidFill>
          </w14:textFill>
        </w:rPr>
      </w:pPr>
    </w:p>
    <w:p w14:paraId="065BF53E">
      <w:pPr>
        <w:keepNext w:val="0"/>
        <w:keepLines w:val="0"/>
        <w:pageBreakBefore w:val="0"/>
        <w:widowControl/>
        <w:kinsoku w:val="0"/>
        <w:wordWrap w:val="0"/>
        <w:overflowPunct/>
        <w:topLinePunct w:val="0"/>
        <w:autoSpaceDE w:val="0"/>
        <w:autoSpaceDN w:val="0"/>
        <w:bidi w:val="0"/>
        <w:adjustRightInd w:val="0"/>
        <w:snapToGrid w:val="0"/>
        <w:spacing w:before="231" w:line="312" w:lineRule="auto"/>
        <w:jc w:val="center"/>
        <w:textAlignment w:val="baseline"/>
        <w:outlineLvl w:val="9"/>
        <w:rPr>
          <w:rFonts w:hint="eastAsia" w:ascii="宋体" w:hAnsi="宋体" w:eastAsia="宋体" w:cs="宋体"/>
          <w:b/>
          <w:bCs/>
          <w:color w:val="000000" w:themeColor="text1"/>
          <w:spacing w:val="0"/>
          <w:sz w:val="48"/>
          <w:szCs w:val="48"/>
          <w:highlight w:val="none"/>
          <w:lang w:val="en-US" w:eastAsia="zh-CN"/>
          <w14:textFill>
            <w14:solidFill>
              <w14:schemeClr w14:val="tx1"/>
            </w14:solidFill>
          </w14:textFill>
        </w:rPr>
      </w:pPr>
      <w:r>
        <w:rPr>
          <w:rFonts w:hint="eastAsia" w:ascii="宋体" w:hAnsi="宋体" w:eastAsia="宋体" w:cs="宋体"/>
          <w:b/>
          <w:bCs/>
          <w:color w:val="000000" w:themeColor="text1"/>
          <w:spacing w:val="0"/>
          <w:sz w:val="48"/>
          <w:szCs w:val="48"/>
          <w:highlight w:val="none"/>
          <w:lang w:val="en-US" w:eastAsia="zh-CN"/>
          <w14:textFill>
            <w14:solidFill>
              <w14:schemeClr w14:val="tx1"/>
            </w14:solidFill>
          </w14:textFill>
        </w:rPr>
        <w:t>广东省韶关市仁化县全域人居环境整治建设项目（一期）--周田镇一标段工程施工招标</w:t>
      </w:r>
    </w:p>
    <w:p w14:paraId="0ACA8D3E">
      <w:pPr>
        <w:pStyle w:val="5"/>
        <w:keepNext w:val="0"/>
        <w:keepLines w:val="0"/>
        <w:pageBreakBefore w:val="0"/>
        <w:wordWrap w:val="0"/>
        <w:overflowPunct/>
        <w:topLinePunct w:val="0"/>
        <w:bidi w:val="0"/>
        <w:spacing w:line="355" w:lineRule="auto"/>
        <w:rPr>
          <w:rFonts w:hint="eastAsia" w:ascii="宋体" w:hAnsi="宋体" w:eastAsia="宋体" w:cs="宋体"/>
          <w:color w:val="000000" w:themeColor="text1"/>
          <w:spacing w:val="0"/>
          <w:highlight w:val="none"/>
          <w14:textFill>
            <w14:solidFill>
              <w14:schemeClr w14:val="tx1"/>
            </w14:solidFill>
          </w14:textFill>
        </w:rPr>
      </w:pPr>
    </w:p>
    <w:p w14:paraId="52B3F812">
      <w:pPr>
        <w:pStyle w:val="5"/>
        <w:keepNext w:val="0"/>
        <w:keepLines w:val="0"/>
        <w:pageBreakBefore w:val="0"/>
        <w:wordWrap w:val="0"/>
        <w:overflowPunct/>
        <w:topLinePunct w:val="0"/>
        <w:bidi w:val="0"/>
        <w:spacing w:line="355" w:lineRule="auto"/>
        <w:rPr>
          <w:rFonts w:hint="eastAsia" w:ascii="宋体" w:hAnsi="宋体" w:eastAsia="宋体" w:cs="宋体"/>
          <w:color w:val="000000" w:themeColor="text1"/>
          <w:spacing w:val="0"/>
          <w:highlight w:val="none"/>
          <w14:textFill>
            <w14:solidFill>
              <w14:schemeClr w14:val="tx1"/>
            </w14:solidFill>
          </w14:textFill>
        </w:rPr>
      </w:pPr>
    </w:p>
    <w:p w14:paraId="53F283AE">
      <w:pPr>
        <w:pStyle w:val="5"/>
        <w:keepNext w:val="0"/>
        <w:keepLines w:val="0"/>
        <w:pageBreakBefore w:val="0"/>
        <w:wordWrap w:val="0"/>
        <w:overflowPunct/>
        <w:topLinePunct w:val="0"/>
        <w:bidi w:val="0"/>
        <w:spacing w:line="355" w:lineRule="auto"/>
        <w:rPr>
          <w:rFonts w:hint="eastAsia" w:ascii="宋体" w:hAnsi="宋体" w:eastAsia="宋体" w:cs="宋体"/>
          <w:color w:val="000000" w:themeColor="text1"/>
          <w:spacing w:val="0"/>
          <w:highlight w:val="none"/>
          <w14:textFill>
            <w14:solidFill>
              <w14:schemeClr w14:val="tx1"/>
            </w14:solidFill>
          </w14:textFill>
        </w:rPr>
      </w:pPr>
    </w:p>
    <w:p w14:paraId="296BC558">
      <w:pPr>
        <w:pStyle w:val="5"/>
        <w:keepNext w:val="0"/>
        <w:keepLines w:val="0"/>
        <w:pageBreakBefore w:val="0"/>
        <w:wordWrap w:val="0"/>
        <w:overflowPunct/>
        <w:topLinePunct w:val="0"/>
        <w:bidi w:val="0"/>
        <w:spacing w:line="355" w:lineRule="auto"/>
        <w:rPr>
          <w:rFonts w:hint="eastAsia" w:ascii="宋体" w:hAnsi="宋体" w:eastAsia="宋体" w:cs="宋体"/>
          <w:color w:val="000000" w:themeColor="text1"/>
          <w:spacing w:val="0"/>
          <w:highlight w:val="none"/>
          <w14:textFill>
            <w14:solidFill>
              <w14:schemeClr w14:val="tx1"/>
            </w14:solidFill>
          </w14:textFill>
        </w:rPr>
      </w:pPr>
    </w:p>
    <w:p w14:paraId="32ED6F11">
      <w:pPr>
        <w:keepNext w:val="0"/>
        <w:keepLines w:val="0"/>
        <w:pageBreakBefore w:val="0"/>
        <w:wordWrap w:val="0"/>
        <w:overflowPunct/>
        <w:topLinePunct w:val="0"/>
        <w:bidi w:val="0"/>
        <w:spacing w:before="231" w:line="223" w:lineRule="auto"/>
        <w:jc w:val="center"/>
        <w:outlineLvl w:val="9"/>
        <w:rPr>
          <w:rFonts w:hint="eastAsia" w:ascii="宋体" w:hAnsi="宋体" w:eastAsia="宋体" w:cs="宋体"/>
          <w:color w:val="000000" w:themeColor="text1"/>
          <w:spacing w:val="0"/>
          <w:sz w:val="71"/>
          <w:szCs w:val="71"/>
          <w:highlight w:val="none"/>
          <w14:textFill>
            <w14:solidFill>
              <w14:schemeClr w14:val="tx1"/>
            </w14:solidFill>
          </w14:textFill>
        </w:rPr>
      </w:pPr>
      <w:bookmarkStart w:id="0" w:name="_Toc15837"/>
      <w:bookmarkStart w:id="1" w:name="_Toc1688"/>
      <w:bookmarkStart w:id="2" w:name="_Toc7958"/>
      <w:bookmarkStart w:id="3" w:name="_Toc15274"/>
      <w:r>
        <w:rPr>
          <w:rFonts w:hint="eastAsia" w:ascii="宋体" w:hAnsi="宋体" w:eastAsia="宋体" w:cs="宋体"/>
          <w:b/>
          <w:bCs/>
          <w:color w:val="000000" w:themeColor="text1"/>
          <w:spacing w:val="0"/>
          <w:sz w:val="71"/>
          <w:szCs w:val="71"/>
          <w:highlight w:val="none"/>
          <w14:textFill>
            <w14:solidFill>
              <w14:schemeClr w14:val="tx1"/>
            </w14:solidFill>
          </w14:textFill>
        </w:rPr>
        <w:t>招标文件</w:t>
      </w:r>
      <w:bookmarkEnd w:id="0"/>
      <w:bookmarkEnd w:id="1"/>
      <w:bookmarkEnd w:id="2"/>
      <w:bookmarkEnd w:id="3"/>
    </w:p>
    <w:p w14:paraId="4EFF9E9E">
      <w:pPr>
        <w:pStyle w:val="5"/>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highlight w:val="none"/>
          <w14:textFill>
            <w14:solidFill>
              <w14:schemeClr w14:val="tx1"/>
            </w14:solidFill>
          </w14:textFill>
        </w:rPr>
      </w:pPr>
    </w:p>
    <w:p w14:paraId="2B5B3882">
      <w:pPr>
        <w:pStyle w:val="5"/>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p w14:paraId="4C622A16">
      <w:pPr>
        <w:pStyle w:val="5"/>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p w14:paraId="124711D2">
      <w:pPr>
        <w:pStyle w:val="5"/>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p w14:paraId="5A7070C0">
      <w:pPr>
        <w:pStyle w:val="5"/>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p w14:paraId="466BB1AF">
      <w:pPr>
        <w:pStyle w:val="5"/>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tbl>
      <w:tblPr>
        <w:tblStyle w:val="14"/>
        <w:tblW w:w="9714" w:type="dxa"/>
        <w:jc w:val="center"/>
        <w:tblLayout w:type="fixed"/>
        <w:tblCellMar>
          <w:top w:w="0" w:type="dxa"/>
          <w:left w:w="0" w:type="dxa"/>
          <w:bottom w:w="0" w:type="dxa"/>
          <w:right w:w="0" w:type="dxa"/>
        </w:tblCellMar>
      </w:tblPr>
      <w:tblGrid>
        <w:gridCol w:w="5013"/>
        <w:gridCol w:w="4701"/>
      </w:tblGrid>
      <w:tr w14:paraId="0FBD89A1">
        <w:tblPrEx>
          <w:tblCellMar>
            <w:top w:w="0" w:type="dxa"/>
            <w:left w:w="0" w:type="dxa"/>
            <w:bottom w:w="0" w:type="dxa"/>
            <w:right w:w="0" w:type="dxa"/>
          </w:tblCellMar>
        </w:tblPrEx>
        <w:trPr>
          <w:trHeight w:val="1030" w:hRule="atLeast"/>
          <w:jc w:val="center"/>
        </w:trPr>
        <w:tc>
          <w:tcPr>
            <w:tcW w:w="5013" w:type="dxa"/>
            <w:vAlign w:val="center"/>
          </w:tcPr>
          <w:p w14:paraId="75FF4CB7">
            <w:pPr>
              <w:pStyle w:val="25"/>
              <w:keepNext w:val="0"/>
              <w:keepLines w:val="0"/>
              <w:pageBreakBefore w:val="0"/>
              <w:wordWrap w:val="0"/>
              <w:overflowPunct/>
              <w:topLinePunct w:val="0"/>
              <w:bidi w:val="0"/>
              <w:snapToGrid w:val="0"/>
              <w:spacing w:line="240" w:lineRule="auto"/>
              <w:jc w:val="distribute"/>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  标  人（盖单位章）：</w:t>
            </w:r>
          </w:p>
        </w:tc>
        <w:tc>
          <w:tcPr>
            <w:tcW w:w="4701" w:type="dxa"/>
            <w:vAlign w:val="center"/>
          </w:tcPr>
          <w:p w14:paraId="542235EB">
            <w:pPr>
              <w:pStyle w:val="25"/>
              <w:keepNext w:val="0"/>
              <w:keepLines w:val="0"/>
              <w:pageBreakBefore w:val="0"/>
              <w:wordWrap w:val="0"/>
              <w:overflowPunct/>
              <w:topLinePunct w:val="0"/>
              <w:bidi w:val="0"/>
              <w:snapToGrid w:val="0"/>
              <w:spacing w:line="240" w:lineRule="auto"/>
              <w:rPr>
                <w:rStyle w:val="26"/>
                <w:rFonts w:hint="eastAsia" w:ascii="宋体" w:hAnsi="宋体" w:eastAsia="宋体" w:cs="宋体"/>
                <w:color w:val="000000" w:themeColor="text1"/>
                <w:spacing w:val="0"/>
                <w:kern w:val="0"/>
                <w:sz w:val="28"/>
                <w:szCs w:val="28"/>
                <w:highlight w:val="none"/>
                <w:lang w:eastAsia="zh-CN"/>
                <w14:textFill>
                  <w14:solidFill>
                    <w14:schemeClr w14:val="tx1"/>
                  </w14:solidFill>
                </w14:textFill>
              </w:rPr>
            </w:pPr>
            <w:r>
              <w:rPr>
                <w:rStyle w:val="26"/>
                <w:rFonts w:hint="eastAsia" w:hAnsi="宋体" w:cs="宋体"/>
                <w:color w:val="000000" w:themeColor="text1"/>
                <w:spacing w:val="0"/>
                <w:kern w:val="0"/>
                <w:sz w:val="28"/>
                <w:szCs w:val="28"/>
                <w:highlight w:val="none"/>
                <w:lang w:eastAsia="zh-CN"/>
                <w14:textFill>
                  <w14:solidFill>
                    <w14:schemeClr w14:val="tx1"/>
                  </w14:solidFill>
                </w14:textFill>
              </w:rPr>
              <w:t>仁化县周田镇人民政府</w:t>
            </w:r>
          </w:p>
        </w:tc>
      </w:tr>
      <w:tr w14:paraId="0ED64425">
        <w:tblPrEx>
          <w:tblCellMar>
            <w:top w:w="0" w:type="dxa"/>
            <w:left w:w="0" w:type="dxa"/>
            <w:bottom w:w="0" w:type="dxa"/>
            <w:right w:w="0" w:type="dxa"/>
          </w:tblCellMar>
        </w:tblPrEx>
        <w:trPr>
          <w:trHeight w:val="844" w:hRule="atLeast"/>
          <w:jc w:val="center"/>
        </w:trPr>
        <w:tc>
          <w:tcPr>
            <w:tcW w:w="5013" w:type="dxa"/>
            <w:vAlign w:val="center"/>
          </w:tcPr>
          <w:p w14:paraId="32C2F3CA">
            <w:pPr>
              <w:pStyle w:val="25"/>
              <w:keepNext w:val="0"/>
              <w:keepLines w:val="0"/>
              <w:pageBreakBefore w:val="0"/>
              <w:wordWrap w:val="0"/>
              <w:overflowPunct/>
              <w:topLinePunct w:val="0"/>
              <w:bidi w:val="0"/>
              <w:snapToGrid w:val="0"/>
              <w:spacing w:line="240" w:lineRule="auto"/>
              <w:jc w:val="distribute"/>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招标人工作领导小组负责人（签字）：</w:t>
            </w:r>
          </w:p>
        </w:tc>
        <w:tc>
          <w:tcPr>
            <w:tcW w:w="4701" w:type="dxa"/>
            <w:vAlign w:val="center"/>
          </w:tcPr>
          <w:p w14:paraId="6DAD42AE">
            <w:pPr>
              <w:pStyle w:val="25"/>
              <w:keepNext w:val="0"/>
              <w:keepLines w:val="0"/>
              <w:pageBreakBefore w:val="0"/>
              <w:wordWrap w:val="0"/>
              <w:overflowPunct/>
              <w:topLinePunct w:val="0"/>
              <w:bidi w:val="0"/>
              <w:snapToGrid w:val="0"/>
              <w:spacing w:line="240" w:lineRule="auto"/>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p>
        </w:tc>
      </w:tr>
      <w:tr w14:paraId="4098A439">
        <w:tblPrEx>
          <w:tblCellMar>
            <w:top w:w="0" w:type="dxa"/>
            <w:left w:w="0" w:type="dxa"/>
            <w:bottom w:w="0" w:type="dxa"/>
            <w:right w:w="0" w:type="dxa"/>
          </w:tblCellMar>
        </w:tblPrEx>
        <w:trPr>
          <w:trHeight w:val="840" w:hRule="atLeast"/>
          <w:jc w:val="center"/>
        </w:trPr>
        <w:tc>
          <w:tcPr>
            <w:tcW w:w="5013" w:type="dxa"/>
            <w:vAlign w:val="center"/>
          </w:tcPr>
          <w:p w14:paraId="15C4759D">
            <w:pPr>
              <w:pStyle w:val="25"/>
              <w:keepNext w:val="0"/>
              <w:keepLines w:val="0"/>
              <w:pageBreakBefore w:val="0"/>
              <w:wordWrap w:val="0"/>
              <w:overflowPunct/>
              <w:topLinePunct w:val="0"/>
              <w:bidi w:val="0"/>
              <w:snapToGrid w:val="0"/>
              <w:spacing w:line="240" w:lineRule="auto"/>
              <w:jc w:val="distribute"/>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 标 代 理 机 构 （盖单位章）：</w:t>
            </w:r>
          </w:p>
        </w:tc>
        <w:tc>
          <w:tcPr>
            <w:tcW w:w="4701" w:type="dxa"/>
            <w:vAlign w:val="center"/>
          </w:tcPr>
          <w:p w14:paraId="25C2E748">
            <w:pPr>
              <w:pStyle w:val="25"/>
              <w:keepNext w:val="0"/>
              <w:keepLines w:val="0"/>
              <w:pageBreakBefore w:val="0"/>
              <w:wordWrap w:val="0"/>
              <w:overflowPunct/>
              <w:topLinePunct w:val="0"/>
              <w:bidi w:val="0"/>
              <w:snapToGrid w:val="0"/>
              <w:spacing w:line="240" w:lineRule="auto"/>
              <w:rPr>
                <w:rStyle w:val="26"/>
                <w:rFonts w:hint="eastAsia" w:ascii="宋体" w:hAnsi="宋体" w:eastAsia="宋体" w:cs="宋体"/>
                <w:color w:val="000000" w:themeColor="text1"/>
                <w:spacing w:val="0"/>
                <w:kern w:val="0"/>
                <w:sz w:val="28"/>
                <w:szCs w:val="28"/>
                <w:highlight w:val="none"/>
                <w:lang w:eastAsia="zh-CN"/>
                <w14:textFill>
                  <w14:solidFill>
                    <w14:schemeClr w14:val="tx1"/>
                  </w14:solidFill>
                </w14:textFill>
              </w:rPr>
            </w:pPr>
            <w:r>
              <w:rPr>
                <w:rStyle w:val="26"/>
                <w:rFonts w:hint="eastAsia" w:hAnsi="宋体" w:cs="宋体"/>
                <w:color w:val="000000" w:themeColor="text1"/>
                <w:spacing w:val="0"/>
                <w:kern w:val="0"/>
                <w:sz w:val="28"/>
                <w:szCs w:val="28"/>
                <w:highlight w:val="none"/>
                <w:lang w:eastAsia="zh-CN"/>
                <w14:textFill>
                  <w14:solidFill>
                    <w14:schemeClr w14:val="tx1"/>
                  </w14:solidFill>
                </w14:textFill>
              </w:rPr>
              <w:t>成致项目管理有限公司</w:t>
            </w:r>
          </w:p>
        </w:tc>
      </w:tr>
      <w:tr w14:paraId="46AA99F4">
        <w:tblPrEx>
          <w:tblCellMar>
            <w:top w:w="0" w:type="dxa"/>
            <w:left w:w="0" w:type="dxa"/>
            <w:bottom w:w="0" w:type="dxa"/>
            <w:right w:w="0" w:type="dxa"/>
          </w:tblCellMar>
        </w:tblPrEx>
        <w:trPr>
          <w:trHeight w:val="968" w:hRule="atLeast"/>
          <w:jc w:val="center"/>
        </w:trPr>
        <w:tc>
          <w:tcPr>
            <w:tcW w:w="5013" w:type="dxa"/>
            <w:vAlign w:val="center"/>
          </w:tcPr>
          <w:p w14:paraId="7D7498C5">
            <w:pPr>
              <w:pStyle w:val="25"/>
              <w:keepNext w:val="0"/>
              <w:keepLines w:val="0"/>
              <w:pageBreakBefore w:val="0"/>
              <w:wordWrap w:val="0"/>
              <w:overflowPunct/>
              <w:topLinePunct w:val="0"/>
              <w:bidi w:val="0"/>
              <w:snapToGrid w:val="0"/>
              <w:spacing w:line="240" w:lineRule="auto"/>
              <w:jc w:val="distribute"/>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招标文件编制人（签字）：</w:t>
            </w:r>
          </w:p>
        </w:tc>
        <w:tc>
          <w:tcPr>
            <w:tcW w:w="4701" w:type="dxa"/>
            <w:vAlign w:val="center"/>
          </w:tcPr>
          <w:p w14:paraId="6F37BCCD">
            <w:pPr>
              <w:pStyle w:val="25"/>
              <w:keepNext w:val="0"/>
              <w:keepLines w:val="0"/>
              <w:pageBreakBefore w:val="0"/>
              <w:wordWrap w:val="0"/>
              <w:overflowPunct/>
              <w:topLinePunct w:val="0"/>
              <w:bidi w:val="0"/>
              <w:snapToGrid w:val="0"/>
              <w:spacing w:line="240" w:lineRule="auto"/>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lang w:eastAsia="zh-CN"/>
                <w14:textFill>
                  <w14:solidFill>
                    <w14:schemeClr w14:val="tx1"/>
                  </w14:solidFill>
                </w14:textFill>
              </w:rPr>
              <w:drawing>
                <wp:inline distT="0" distB="0" distL="114300" distR="114300">
                  <wp:extent cx="1174750" cy="608330"/>
                  <wp:effectExtent l="0" t="0" r="6350" b="1270"/>
                  <wp:docPr id="10" name="图片 13" descr="梁景业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descr="梁景业签名"/>
                          <pic:cNvPicPr>
                            <a:picLocks noChangeAspect="1"/>
                          </pic:cNvPicPr>
                        </pic:nvPicPr>
                        <pic:blipFill>
                          <a:blip r:embed="rId28"/>
                          <a:stretch>
                            <a:fillRect/>
                          </a:stretch>
                        </pic:blipFill>
                        <pic:spPr>
                          <a:xfrm>
                            <a:off x="0" y="0"/>
                            <a:ext cx="1174750" cy="608330"/>
                          </a:xfrm>
                          <a:prstGeom prst="rect">
                            <a:avLst/>
                          </a:prstGeom>
                          <a:noFill/>
                          <a:ln>
                            <a:noFill/>
                          </a:ln>
                        </pic:spPr>
                      </pic:pic>
                    </a:graphicData>
                  </a:graphic>
                </wp:inline>
              </w:drawing>
            </w:r>
          </w:p>
        </w:tc>
      </w:tr>
      <w:tr w14:paraId="224F3282">
        <w:tblPrEx>
          <w:tblCellMar>
            <w:top w:w="0" w:type="dxa"/>
            <w:left w:w="0" w:type="dxa"/>
            <w:bottom w:w="0" w:type="dxa"/>
            <w:right w:w="0" w:type="dxa"/>
          </w:tblCellMar>
        </w:tblPrEx>
        <w:trPr>
          <w:trHeight w:val="937" w:hRule="atLeast"/>
          <w:jc w:val="center"/>
        </w:trPr>
        <w:tc>
          <w:tcPr>
            <w:tcW w:w="5013" w:type="dxa"/>
            <w:vAlign w:val="center"/>
          </w:tcPr>
          <w:p w14:paraId="457738D3">
            <w:pPr>
              <w:pStyle w:val="25"/>
              <w:keepNext w:val="0"/>
              <w:keepLines w:val="0"/>
              <w:pageBreakBefore w:val="0"/>
              <w:wordWrap w:val="0"/>
              <w:overflowPunct/>
              <w:topLinePunct w:val="0"/>
              <w:bidi w:val="0"/>
              <w:snapToGrid w:val="0"/>
              <w:spacing w:line="240" w:lineRule="auto"/>
              <w:jc w:val="distribute"/>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招标代理机构项目负责人（签字）：</w:t>
            </w:r>
          </w:p>
        </w:tc>
        <w:tc>
          <w:tcPr>
            <w:tcW w:w="4701" w:type="dxa"/>
            <w:vAlign w:val="center"/>
          </w:tcPr>
          <w:p w14:paraId="02AD201A">
            <w:pPr>
              <w:pStyle w:val="25"/>
              <w:keepNext w:val="0"/>
              <w:keepLines w:val="0"/>
              <w:pageBreakBefore w:val="0"/>
              <w:wordWrap w:val="0"/>
              <w:overflowPunct/>
              <w:topLinePunct w:val="0"/>
              <w:bidi w:val="0"/>
              <w:snapToGrid w:val="0"/>
              <w:spacing w:line="240" w:lineRule="auto"/>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lang w:eastAsia="zh-CN"/>
                <w14:textFill>
                  <w14:solidFill>
                    <w14:schemeClr w14:val="tx1"/>
                  </w14:solidFill>
                </w14:textFill>
              </w:rPr>
              <w:drawing>
                <wp:inline distT="0" distB="0" distL="114300" distR="114300">
                  <wp:extent cx="822960" cy="429895"/>
                  <wp:effectExtent l="0" t="0" r="15240" b="8255"/>
                  <wp:docPr id="23" name="图片 14" descr="钟梓铭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descr="钟梓铭签名"/>
                          <pic:cNvPicPr>
                            <a:picLocks noChangeAspect="1"/>
                          </pic:cNvPicPr>
                        </pic:nvPicPr>
                        <pic:blipFill>
                          <a:blip r:embed="rId29"/>
                          <a:stretch>
                            <a:fillRect/>
                          </a:stretch>
                        </pic:blipFill>
                        <pic:spPr>
                          <a:xfrm>
                            <a:off x="0" y="0"/>
                            <a:ext cx="822960" cy="429895"/>
                          </a:xfrm>
                          <a:prstGeom prst="rect">
                            <a:avLst/>
                          </a:prstGeom>
                          <a:noFill/>
                          <a:ln>
                            <a:noFill/>
                          </a:ln>
                        </pic:spPr>
                      </pic:pic>
                    </a:graphicData>
                  </a:graphic>
                </wp:inline>
              </w:drawing>
            </w:r>
          </w:p>
        </w:tc>
      </w:tr>
      <w:tr w14:paraId="77ED4758">
        <w:tblPrEx>
          <w:tblCellMar>
            <w:top w:w="0" w:type="dxa"/>
            <w:left w:w="0" w:type="dxa"/>
            <w:bottom w:w="0" w:type="dxa"/>
            <w:right w:w="0" w:type="dxa"/>
          </w:tblCellMar>
        </w:tblPrEx>
        <w:trPr>
          <w:trHeight w:val="832" w:hRule="atLeast"/>
          <w:jc w:val="center"/>
        </w:trPr>
        <w:tc>
          <w:tcPr>
            <w:tcW w:w="5013" w:type="dxa"/>
            <w:vAlign w:val="center"/>
          </w:tcPr>
          <w:p w14:paraId="11F645AA">
            <w:pPr>
              <w:pStyle w:val="25"/>
              <w:keepNext w:val="0"/>
              <w:keepLines w:val="0"/>
              <w:pageBreakBefore w:val="0"/>
              <w:wordWrap w:val="0"/>
              <w:overflowPunct/>
              <w:topLinePunct w:val="0"/>
              <w:bidi w:val="0"/>
              <w:snapToGrid w:val="0"/>
              <w:spacing w:line="240" w:lineRule="auto"/>
              <w:jc w:val="distribute"/>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招标文件编制日期：</w:t>
            </w:r>
          </w:p>
        </w:tc>
        <w:tc>
          <w:tcPr>
            <w:tcW w:w="4701" w:type="dxa"/>
            <w:vAlign w:val="center"/>
          </w:tcPr>
          <w:p w14:paraId="4CC93183">
            <w:pPr>
              <w:pStyle w:val="25"/>
              <w:keepNext w:val="0"/>
              <w:keepLines w:val="0"/>
              <w:pageBreakBefore w:val="0"/>
              <w:wordWrap w:val="0"/>
              <w:overflowPunct/>
              <w:topLinePunct w:val="0"/>
              <w:bidi w:val="0"/>
              <w:snapToGrid w:val="0"/>
              <w:spacing w:line="240" w:lineRule="auto"/>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6"/>
                <w:rFonts w:hint="eastAsia" w:ascii="宋体" w:hAnsi="宋体" w:eastAsia="宋体" w:cs="宋体"/>
                <w:color w:val="000000" w:themeColor="text1"/>
                <w:spacing w:val="0"/>
                <w:kern w:val="0"/>
                <w:sz w:val="28"/>
                <w:szCs w:val="28"/>
                <w:highlight w:val="none"/>
                <w:lang w:val="en-US" w:eastAsia="zh-CN"/>
                <w14:textFill>
                  <w14:solidFill>
                    <w14:schemeClr w14:val="tx1"/>
                  </w14:solidFill>
                </w14:textFill>
              </w:rPr>
              <w:t>202</w:t>
            </w:r>
            <w:r>
              <w:rPr>
                <w:rStyle w:val="26"/>
                <w:rFonts w:hint="eastAsia" w:hAnsi="宋体" w:cs="宋体"/>
                <w:color w:val="000000" w:themeColor="text1"/>
                <w:spacing w:val="0"/>
                <w:kern w:val="0"/>
                <w:sz w:val="28"/>
                <w:szCs w:val="28"/>
                <w:highlight w:val="none"/>
                <w:lang w:val="en-US" w:eastAsia="zh-CN"/>
                <w14:textFill>
                  <w14:solidFill>
                    <w14:schemeClr w14:val="tx1"/>
                  </w14:solidFill>
                </w14:textFill>
              </w:rPr>
              <w:t>6</w:t>
            </w: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年</w:t>
            </w:r>
            <w:r>
              <w:rPr>
                <w:rStyle w:val="26"/>
                <w:rFonts w:hint="eastAsia" w:hAnsi="宋体" w:cs="宋体"/>
                <w:color w:val="000000" w:themeColor="text1"/>
                <w:spacing w:val="0"/>
                <w:kern w:val="0"/>
                <w:sz w:val="28"/>
                <w:szCs w:val="28"/>
                <w:highlight w:val="none"/>
                <w:lang w:val="en-US" w:eastAsia="zh-CN"/>
                <w14:textFill>
                  <w14:solidFill>
                    <w14:schemeClr w14:val="tx1"/>
                  </w14:solidFill>
                </w14:textFill>
              </w:rPr>
              <w:t>9</w:t>
            </w:r>
            <w:r>
              <w:rPr>
                <w:rStyle w:val="26"/>
                <w:rFonts w:hint="eastAsia" w:ascii="宋体" w:hAnsi="宋体" w:eastAsia="宋体" w:cs="宋体"/>
                <w:color w:val="000000" w:themeColor="text1"/>
                <w:spacing w:val="0"/>
                <w:kern w:val="0"/>
                <w:sz w:val="28"/>
                <w:szCs w:val="28"/>
                <w:highlight w:val="none"/>
                <w14:textFill>
                  <w14:solidFill>
                    <w14:schemeClr w14:val="tx1"/>
                  </w14:solidFill>
                </w14:textFill>
              </w:rPr>
              <w:t>月</w:t>
            </w:r>
          </w:p>
        </w:tc>
      </w:tr>
    </w:tbl>
    <w:p w14:paraId="7B96492F">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sectPr>
          <w:headerReference r:id="rId3"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306B3DC9">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0A6D314A">
      <w:pPr>
        <w:keepNext w:val="0"/>
        <w:keepLines w:val="0"/>
        <w:pageBreakBefore w:val="0"/>
        <w:wordWrap w:val="0"/>
        <w:overflowPunct/>
        <w:topLinePunct w:val="0"/>
        <w:bidi w:val="0"/>
        <w:jc w:val="center"/>
        <w:rPr>
          <w:rFonts w:hint="eastAsia" w:ascii="宋体" w:hAnsi="宋体" w:eastAsia="宋体" w:cs="宋体"/>
          <w:b/>
          <w:bCs/>
          <w:color w:val="000000" w:themeColor="text1"/>
          <w:spacing w:val="0"/>
          <w:sz w:val="28"/>
          <w:szCs w:val="28"/>
          <w:highlight w:val="none"/>
          <w14:textFill>
            <w14:solidFill>
              <w14:schemeClr w14:val="tx1"/>
            </w14:solidFill>
          </w14:textFill>
        </w:rPr>
        <w:sectPr>
          <w:headerReference r:id="rId4" w:type="default"/>
          <w:footerReference r:id="rId5"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088BE4E2">
      <w:pPr>
        <w:keepNext w:val="0"/>
        <w:keepLines w:val="0"/>
        <w:pageBreakBefore w:val="0"/>
        <w:wordWrap w:val="0"/>
        <w:overflowPunct/>
        <w:topLinePunct w:val="0"/>
        <w:bidi w:val="0"/>
        <w:jc w:val="center"/>
        <w:rPr>
          <w:rFonts w:hint="eastAsia" w:ascii="宋体" w:hAnsi="宋体" w:eastAsia="宋体" w:cs="宋体"/>
          <w:b/>
          <w:bCs/>
          <w:color w:val="000000" w:themeColor="text1"/>
          <w:spacing w:val="0"/>
          <w:sz w:val="28"/>
          <w:szCs w:val="28"/>
          <w:highlight w:val="none"/>
          <w14:textFill>
            <w14:solidFill>
              <w14:schemeClr w14:val="tx1"/>
            </w14:solidFill>
          </w14:textFill>
        </w:rPr>
      </w:pPr>
      <w:r>
        <w:rPr>
          <w:rFonts w:hint="eastAsia" w:ascii="宋体" w:hAnsi="宋体" w:eastAsia="宋体" w:cs="宋体"/>
          <w:b/>
          <w:bCs/>
          <w:color w:val="000000" w:themeColor="text1"/>
          <w:spacing w:val="0"/>
          <w:sz w:val="28"/>
          <w:szCs w:val="28"/>
          <w:highlight w:val="none"/>
          <w14:textFill>
            <w14:solidFill>
              <w14:schemeClr w14:val="tx1"/>
            </w14:solidFill>
          </w14:textFill>
        </w:rPr>
        <w:t>目录</w:t>
      </w:r>
    </w:p>
    <w:p w14:paraId="776EE4A1">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color w:val="000000" w:themeColor="text1"/>
          <w:spacing w:val="0"/>
          <w:sz w:val="24"/>
          <w:szCs w:val="24"/>
          <w:highlight w:val="none"/>
          <w14:textFill>
            <w14:solidFill>
              <w14:schemeClr w14:val="tx1"/>
            </w14:solidFill>
          </w14:textFill>
        </w:rPr>
        <w:instrText xml:space="preserve">TOC \o "1-3" \h \u </w:instrTex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_Toc19525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第一章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_Toc19525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18E5B79">
      <w:pPr>
        <w:pStyle w:val="11"/>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_Toc13643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第一节</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投标人须知前附表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_Toc13643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4E94876">
      <w:pPr>
        <w:pStyle w:val="11"/>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_Toc24326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第二节 重要事项时间地点一览表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_Toc24326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72BBEB9">
      <w:pPr>
        <w:pStyle w:val="11"/>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_Toc9437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第三节</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投标人须知正文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_Toc9437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DEE9F96">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_Toc30196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．项目概况、招标范围和标段划分、投标费用等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_Toc30196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5E888EC">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_Toc6096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w:t>
      </w:r>
      <w:r>
        <w:rPr>
          <w:rFonts w:hint="eastAsia" w:ascii="宋体" w:hAnsi="宋体" w:eastAsia="宋体" w:cs="宋体"/>
          <w:bCs w:val="0"/>
          <w:color w:val="000000" w:themeColor="text1"/>
          <w:spacing w:val="0"/>
          <w:szCs w:val="24"/>
          <w:highlight w:val="none"/>
          <w:lang w:eastAsia="zh-CN"/>
          <w14:textFill>
            <w14:solidFill>
              <w14:schemeClr w14:val="tx1"/>
            </w14:solidFill>
          </w14:textFill>
        </w:rPr>
        <w:t>投标人</w:t>
      </w:r>
      <w:r>
        <w:rPr>
          <w:rFonts w:hint="eastAsia" w:ascii="宋体" w:hAnsi="宋体" w:eastAsia="宋体" w:cs="宋体"/>
          <w:bCs w:val="0"/>
          <w:color w:val="000000" w:themeColor="text1"/>
          <w:spacing w:val="0"/>
          <w:szCs w:val="24"/>
          <w:highlight w:val="none"/>
          <w14:textFill>
            <w14:solidFill>
              <w14:schemeClr w14:val="tx1"/>
            </w14:solidFill>
          </w14:textFill>
        </w:rPr>
        <w:t>资质要求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_Toc6096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7D7D49D">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_Toc15370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3．招标文件的获取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_Toc15370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F6A6AAA">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_Toc5728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4</w:t>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．工期要求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_Toc5728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75F1BCE">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_Toc17663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5</w:t>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．质量标准和材料、机械要求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_Toc17663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7782651">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_Toc2095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6 ．施工条件及现场踏勘</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96B2E17">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_Toc31147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7 ．招标文件的提问和答疑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7579D12">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_Toc15237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8 ．</w:t>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最高投标限价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_Toc15237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925F4C5">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_Toc7353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9 ．投标报价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_Toc7353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A08356C">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_Toc1984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10 ．投标文件的编制要求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0E6DB43">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_Toc20976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 xml:space="preserve">11. </w:t>
      </w:r>
      <w:r>
        <w:rPr>
          <w:rFonts w:hint="eastAsia" w:ascii="宋体" w:hAnsi="宋体" w:eastAsia="宋体" w:cs="宋体"/>
          <w:color w:val="000000" w:themeColor="text1"/>
          <w:spacing w:val="0"/>
          <w:szCs w:val="24"/>
          <w:highlight w:val="none"/>
          <w14:textFill>
            <w14:solidFill>
              <w14:schemeClr w14:val="tx1"/>
            </w14:solidFill>
          </w14:textFill>
        </w:rPr>
        <w:t>电子投标：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_Toc20976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5AEDB2B">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_Toc27655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12.</w:t>
      </w:r>
      <w:r>
        <w:rPr>
          <w:rFonts w:hint="eastAsia" w:ascii="宋体" w:hAnsi="宋体" w:eastAsia="宋体" w:cs="宋体"/>
          <w:bCs/>
          <w:color w:val="000000" w:themeColor="text1"/>
          <w:spacing w:val="0"/>
          <w:w w:val="101"/>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电子投标及投标解密失败及突发情况的补救方案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_Toc27655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06876D5">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_Toc9348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13 ．投标文件的提交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_Toc9348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2C5D1F8">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_Toc21683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14 ．开标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_Toc21683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8AC7486">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_Toc11616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15 ．评标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_Toc11616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0FB8EA4">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_Toc17694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zCs w:val="24"/>
          <w:highlight w:val="none"/>
          <w:lang w:eastAsia="zh-CN"/>
          <w14:textFill>
            <w14:solidFill>
              <w14:schemeClr w14:val="tx1"/>
            </w14:solidFill>
          </w14:textFill>
        </w:rPr>
        <w:t>16 ．评标结果公示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_Toc17694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92A2322">
      <w:pPr>
        <w:pStyle w:val="11"/>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_Toc16450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第四节</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否决投标条件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_Toc16450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899DC30">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_Toc20652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．资格评审环节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_Toc20652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7FA5B2D">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_Toc32536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 ．形式评审环节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_Toc32536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1C4BE59">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_Toc25928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3 ．响应性评审环节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_Toc25928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46C00A9">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_Toc27917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4 ．其他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_Toc27917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456CF0C">
      <w:pPr>
        <w:pStyle w:val="11"/>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_Toc15025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snapToGrid/>
          <w:color w:val="000000" w:themeColor="text1"/>
          <w:kern w:val="2"/>
          <w:szCs w:val="24"/>
          <w:highlight w:val="none"/>
          <w:lang w:eastAsia="zh-CN"/>
          <w14:textFill>
            <w14:solidFill>
              <w14:schemeClr w14:val="tx1"/>
            </w14:solidFill>
          </w14:textFill>
        </w:rPr>
        <w:t>第五节 定标规定及细则（本项目采用票决数量法定标）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_Toc15025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FCC621A">
      <w:pPr>
        <w:pStyle w:val="11"/>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_Toc10012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snapToGrid/>
          <w:color w:val="000000" w:themeColor="text1"/>
          <w:kern w:val="2"/>
          <w:szCs w:val="24"/>
          <w:highlight w:val="none"/>
          <w:lang w:eastAsia="zh-CN"/>
          <w14:textFill>
            <w14:solidFill>
              <w14:schemeClr w14:val="tx1"/>
            </w14:solidFill>
          </w14:textFill>
        </w:rPr>
        <w:t>第六节 中标确认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_Toc10012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AEDF65C">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_Toc5449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第二章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中标人须知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_Toc5449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90DA214">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_Toc22056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．中标通知书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_Toc22056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504E7B5">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_Toc16454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 ．中标结果公示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_Toc16454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E9D3332">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_Toc20203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3 ．履约保证</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_Toc20203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51C321F">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_Toc624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4 ．合同订立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D96C374">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_Toc13877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5 ．放弃中标的处理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_Toc13877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A475046">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_Toc10710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第三章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拟签订合同的主要条款</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_Toc10710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D8A36EE">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_Toc29782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．工程承包方式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_Toc29782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ABA4682">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_Toc28189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 ．工程结算原则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_Toc28189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6A3A8F1">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_Toc22696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3. 工程付款办法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514FB59">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_Toc9813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4 ．其他专用合同条款</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_Toc9813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FAA59B7">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_Toc30336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第四章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_Toc30336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F7A1B43">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_Toc20347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．房屋建筑工程建设项目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_Toc20347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2DD7D00">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_Toc31268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 ．市政基础设施工程建设项目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_Toc31268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4AA8B9B">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_Toc14731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3 ．备查要求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_Toc14731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40058F1">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_Toc23715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第五章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图纸和招标工程量清单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_Toc23715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1E0AF09">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_Toc12580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．图纸</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_Toc12580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8D9E8C3">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_Toc5429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 ．招标工程量清单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_Toc5429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73A5F66">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_Toc13179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第六章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_Toc13179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B69BF57">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_Toc27563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格式一</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_Toc27563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75DBD4B">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_Toc29380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格式二 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_Toc29380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2034438">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_Toc21615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格式三 各项承诺一览表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_Toc21615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6947871">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_Toc30907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格式四 授权委托书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_Toc30907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9E9FF91">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_Toc25947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格式五 法定代表人身份证明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_Toc25947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72</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8E1B1CA">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_Toc12961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格式六 联合体协议书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_Toc12961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27FA891">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_Toc29268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格式七 投标人基本情况表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_Toc29268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6522368">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_Toc23002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格式八 项目经理简历表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_Toc23002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FC65E2C">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_Toc6105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格式九 项目经理任职声明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_Toc6105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493BBB9">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_Toc1750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 项目技术负责人简历表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F505E1C">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_Toc27361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格式十一 项目管理机构组成表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_Toc27361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4503F78">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_Toc26605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格式十二 建造师查询页（有效期+建造师签字）</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_Toc26605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F704B84">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_Toc181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格式十三</w:t>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pacing w:val="0"/>
          <w:szCs w:val="22"/>
          <w:highlight w:val="none"/>
          <w14:textFill>
            <w14:solidFill>
              <w14:schemeClr w14:val="tx1"/>
            </w14:solidFill>
          </w14:textFill>
        </w:rPr>
        <w:t>危险性较大的分部分项工程清单及超过一定规模的危险性较大的分部分项工程清单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EA4994D">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_Toc9289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格式十四</w:t>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pacing w:val="0"/>
          <w:position w:val="3"/>
          <w:szCs w:val="21"/>
          <w:highlight w:val="none"/>
          <w14:textFill>
            <w14:solidFill>
              <w14:schemeClr w14:val="tx1"/>
            </w14:solidFill>
          </w14:textFill>
        </w:rPr>
        <w:t>投标保证金信用承诺函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_Toc9289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C0122E0">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_Toc22197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w:t>
      </w:r>
      <w:r>
        <w:rPr>
          <w:rFonts w:hint="eastAsia" w:ascii="宋体" w:hAnsi="宋体" w:eastAsia="宋体" w:cs="宋体"/>
          <w:bCs/>
          <w:color w:val="000000" w:themeColor="text1"/>
          <w:spacing w:val="0"/>
          <w:szCs w:val="24"/>
          <w:highlight w:val="none"/>
          <w:lang w:eastAsia="zh-CN"/>
          <w14:textFill>
            <w14:solidFill>
              <w14:schemeClr w14:val="tx1"/>
            </w14:solidFill>
          </w14:textFill>
        </w:rPr>
        <w:t>五</w:t>
      </w:r>
      <w:r>
        <w:rPr>
          <w:rFonts w:hint="eastAsia" w:ascii="宋体" w:hAnsi="宋体" w:eastAsia="宋体" w:cs="宋体"/>
          <w:bCs/>
          <w:color w:val="000000" w:themeColor="text1"/>
          <w:spacing w:val="0"/>
          <w:szCs w:val="24"/>
          <w:highlight w:val="none"/>
          <w14:textFill>
            <w14:solidFill>
              <w14:schemeClr w14:val="tx1"/>
            </w14:solidFill>
          </w14:textFill>
        </w:rPr>
        <w:t xml:space="preserve">  原件一览表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_Toc22197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6A03ABA">
      <w:pPr>
        <w:pStyle w:val="7"/>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_Toc29477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Times New Roman" w:hAnsi="宋体" w:eastAsia="Arial" w:cs="Arial"/>
          <w:bCs/>
          <w:snapToGrid w:val="0"/>
          <w:color w:val="000000" w:themeColor="text1"/>
          <w:kern w:val="2"/>
          <w:szCs w:val="21"/>
          <w:highlight w:val="none"/>
          <w:lang w:eastAsia="en-US"/>
          <w14:textFill>
            <w14:solidFill>
              <w14:schemeClr w14:val="tx1"/>
            </w14:solidFill>
          </w14:textFill>
        </w:rPr>
        <w:t>格式十六 定标因素评审资料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_Toc29477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CE082EC">
      <w:pPr>
        <w:pStyle w:val="11"/>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_Toc8487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第七章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建设工程施工合同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_Toc8487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CE8F2FC">
      <w:pPr>
        <w:keepNext w:val="0"/>
        <w:keepLines w:val="0"/>
        <w:pageBreakBefore w:val="0"/>
        <w:wordWrap w:val="0"/>
        <w:overflowPunct/>
        <w:topLinePunct w:val="0"/>
        <w:bidi w:val="0"/>
        <w:spacing w:line="220" w:lineRule="auto"/>
        <w:jc w:val="center"/>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6" w:type="default"/>
          <w:pgSz w:w="11906" w:h="16839"/>
          <w:pgMar w:top="1440" w:right="1080" w:bottom="1440" w:left="1080" w:header="1200" w:footer="1134" w:gutter="0"/>
          <w:pgBorders>
            <w:top w:val="none" w:sz="0" w:space="0"/>
            <w:left w:val="none" w:sz="0" w:space="0"/>
            <w:bottom w:val="none" w:sz="0" w:space="0"/>
            <w:right w:val="none" w:sz="0" w:space="0"/>
          </w:pgBorders>
          <w:pgNumType w:fmt="decimal" w:start="1"/>
          <w:cols w:space="720" w:num="1"/>
        </w:sectPr>
      </w:pP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3063668">
      <w:pPr>
        <w:pStyle w:val="5"/>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highlight w:val="none"/>
          <w14:textFill>
            <w14:solidFill>
              <w14:schemeClr w14:val="tx1"/>
            </w14:solidFill>
          </w14:textFill>
        </w:rPr>
      </w:pPr>
    </w:p>
    <w:p w14:paraId="49639CDB">
      <w:pPr>
        <w:keepNext w:val="0"/>
        <w:keepLines w:val="0"/>
        <w:pageBreakBefore w:val="0"/>
        <w:wordWrap w:val="0"/>
        <w:overflowPunct/>
        <w:topLinePunct w:val="0"/>
        <w:bidi w:val="0"/>
        <w:spacing w:before="78" w:line="219" w:lineRule="auto"/>
        <w:ind w:left="3416"/>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4" w:name="bookmark1"/>
      <w:bookmarkEnd w:id="4"/>
      <w:bookmarkStart w:id="5" w:name="_Toc19525"/>
      <w:r>
        <w:rPr>
          <w:rFonts w:hint="eastAsia" w:ascii="宋体" w:hAnsi="宋体" w:eastAsia="宋体" w:cs="宋体"/>
          <w:b/>
          <w:bCs/>
          <w:color w:val="000000" w:themeColor="text1"/>
          <w:spacing w:val="0"/>
          <w:sz w:val="24"/>
          <w:szCs w:val="24"/>
          <w:highlight w:val="none"/>
          <w14:textFill>
            <w14:solidFill>
              <w14:schemeClr w14:val="tx1"/>
            </w14:solidFill>
          </w14:textFill>
        </w:rPr>
        <w:t>第一章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投标人须知</w:t>
      </w:r>
      <w:bookmarkEnd w:id="5"/>
    </w:p>
    <w:p w14:paraId="0C219C57">
      <w:pPr>
        <w:keepNext w:val="0"/>
        <w:keepLines w:val="0"/>
        <w:pageBreakBefore w:val="0"/>
        <w:wordWrap w:val="0"/>
        <w:overflowPunct/>
        <w:topLinePunct w:val="0"/>
        <w:bidi w:val="0"/>
        <w:spacing w:before="156" w:line="219" w:lineRule="auto"/>
        <w:ind w:left="17"/>
        <w:outlineLvl w:val="1"/>
        <w:rPr>
          <w:rFonts w:hint="eastAsia" w:ascii="宋体" w:hAnsi="宋体" w:eastAsia="宋体" w:cs="宋体"/>
          <w:color w:val="000000" w:themeColor="text1"/>
          <w:spacing w:val="0"/>
          <w:sz w:val="24"/>
          <w:szCs w:val="24"/>
          <w:highlight w:val="none"/>
          <w14:textFill>
            <w14:solidFill>
              <w14:schemeClr w14:val="tx1"/>
            </w14:solidFill>
          </w14:textFill>
        </w:rPr>
      </w:pPr>
      <w:bookmarkStart w:id="6" w:name="bookmark3"/>
      <w:bookmarkEnd w:id="6"/>
      <w:bookmarkStart w:id="7" w:name="_Toc13643"/>
      <w:r>
        <w:rPr>
          <w:rFonts w:hint="eastAsia" w:ascii="宋体" w:hAnsi="宋体" w:eastAsia="宋体" w:cs="宋体"/>
          <w:b/>
          <w:bCs/>
          <w:color w:val="000000" w:themeColor="text1"/>
          <w:spacing w:val="0"/>
          <w:sz w:val="24"/>
          <w:szCs w:val="24"/>
          <w:highlight w:val="none"/>
          <w14:textFill>
            <w14:solidFill>
              <w14:schemeClr w14:val="tx1"/>
            </w14:solidFill>
          </w14:textFill>
        </w:rPr>
        <w:t>第一节</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投标人须知前附表</w:t>
      </w:r>
      <w:bookmarkEnd w:id="7"/>
    </w:p>
    <w:p w14:paraId="451443B4">
      <w:pPr>
        <w:keepNext w:val="0"/>
        <w:keepLines w:val="0"/>
        <w:pageBreakBefore w:val="0"/>
        <w:wordWrap w:val="0"/>
        <w:overflowPunct/>
        <w:topLinePunct w:val="0"/>
        <w:bidi w:val="0"/>
        <w:spacing w:before="25"/>
        <w:rPr>
          <w:rFonts w:hint="eastAsia" w:ascii="宋体" w:hAnsi="宋体" w:eastAsia="宋体" w:cs="宋体"/>
          <w:color w:val="000000" w:themeColor="text1"/>
          <w:spacing w:val="0"/>
          <w:highlight w:val="none"/>
          <w14:textFill>
            <w14:solidFill>
              <w14:schemeClr w14:val="tx1"/>
            </w14:solidFill>
          </w14:textFill>
        </w:rPr>
      </w:pPr>
    </w:p>
    <w:tbl>
      <w:tblPr>
        <w:tblStyle w:val="14"/>
        <w:tblW w:w="1009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2"/>
        <w:gridCol w:w="1860"/>
        <w:gridCol w:w="7656"/>
      </w:tblGrid>
      <w:tr w14:paraId="7ACC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582" w:type="dxa"/>
            <w:vAlign w:val="center"/>
          </w:tcPr>
          <w:p w14:paraId="4758577E">
            <w:pPr>
              <w:keepNext w:val="0"/>
              <w:keepLines w:val="0"/>
              <w:pageBreakBefore w:val="0"/>
              <w:wordWrap w:val="0"/>
              <w:overflowPunct/>
              <w:topLinePunct w:val="0"/>
              <w:bidi w:val="0"/>
              <w:spacing w:before="203" w:line="209" w:lineRule="auto"/>
              <w:ind w:left="0" w:leftChars="0" w:firstLine="0" w:firstLineChars="0"/>
              <w:jc w:val="cente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序号</w:t>
            </w:r>
          </w:p>
        </w:tc>
        <w:tc>
          <w:tcPr>
            <w:tcW w:w="1860" w:type="dxa"/>
            <w:vAlign w:val="center"/>
          </w:tcPr>
          <w:p w14:paraId="7B8ED52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内容</w:t>
            </w:r>
          </w:p>
        </w:tc>
        <w:tc>
          <w:tcPr>
            <w:tcW w:w="7656" w:type="dxa"/>
            <w:vAlign w:val="center"/>
          </w:tcPr>
          <w:p w14:paraId="0575BAF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说明与要求</w:t>
            </w:r>
          </w:p>
        </w:tc>
      </w:tr>
      <w:tr w14:paraId="53CA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trPr>
        <w:tc>
          <w:tcPr>
            <w:tcW w:w="582" w:type="dxa"/>
            <w:vAlign w:val="center"/>
          </w:tcPr>
          <w:p w14:paraId="34D199C6">
            <w:pPr>
              <w:keepNext w:val="0"/>
              <w:keepLines w:val="0"/>
              <w:pageBreakBefore w:val="0"/>
              <w:wordWrap w:val="0"/>
              <w:overflowPunct/>
              <w:topLinePunct w:val="0"/>
              <w:bidi w:val="0"/>
              <w:spacing w:before="223"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bookmarkStart w:id="8" w:name="OLE_LINK2" w:colFirst="2" w:colLast="2"/>
            <w:r>
              <w:rPr>
                <w:rFonts w:hint="eastAsia" w:ascii="宋体" w:hAnsi="宋体" w:eastAsia="宋体" w:cs="宋体"/>
                <w:color w:val="000000" w:themeColor="text1"/>
                <w:spacing w:val="0"/>
                <w:sz w:val="21"/>
                <w:szCs w:val="21"/>
                <w:highlight w:val="none"/>
                <w14:textFill>
                  <w14:solidFill>
                    <w14:schemeClr w14:val="tx1"/>
                  </w14:solidFill>
                </w14:textFill>
              </w:rPr>
              <w:t>1</w:t>
            </w:r>
          </w:p>
        </w:tc>
        <w:tc>
          <w:tcPr>
            <w:tcW w:w="1860" w:type="dxa"/>
            <w:vAlign w:val="center"/>
          </w:tcPr>
          <w:p w14:paraId="6E81DB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项目名称</w:t>
            </w:r>
          </w:p>
        </w:tc>
        <w:tc>
          <w:tcPr>
            <w:tcW w:w="7656" w:type="dxa"/>
            <w:vAlign w:val="center"/>
          </w:tcPr>
          <w:p w14:paraId="62C2E40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广东省韶关市仁化县全域人居环境整治建设项目（一期）--周田镇一标段工程施工</w:t>
            </w:r>
          </w:p>
        </w:tc>
      </w:tr>
      <w:tr w14:paraId="1C49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582" w:type="dxa"/>
            <w:vAlign w:val="center"/>
          </w:tcPr>
          <w:p w14:paraId="5546609D">
            <w:pPr>
              <w:keepNext w:val="0"/>
              <w:keepLines w:val="0"/>
              <w:pageBreakBefore w:val="0"/>
              <w:wordWrap w:val="0"/>
              <w:overflowPunct/>
              <w:topLinePunct w:val="0"/>
              <w:bidi w:val="0"/>
              <w:spacing w:before="222"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w:t>
            </w:r>
          </w:p>
        </w:tc>
        <w:tc>
          <w:tcPr>
            <w:tcW w:w="1860" w:type="dxa"/>
            <w:vAlign w:val="center"/>
          </w:tcPr>
          <w:p w14:paraId="28FBECF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项目业主</w:t>
            </w:r>
          </w:p>
        </w:tc>
        <w:tc>
          <w:tcPr>
            <w:tcW w:w="7656" w:type="dxa"/>
            <w:vAlign w:val="center"/>
          </w:tcPr>
          <w:p w14:paraId="6B4C0B9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仁化县周田镇人民政府</w:t>
            </w:r>
          </w:p>
        </w:tc>
      </w:tr>
      <w:tr w14:paraId="42F2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9" w:hRule="atLeast"/>
        </w:trPr>
        <w:tc>
          <w:tcPr>
            <w:tcW w:w="582" w:type="dxa"/>
            <w:vAlign w:val="center"/>
          </w:tcPr>
          <w:p w14:paraId="2FE483DA">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w:t>
            </w:r>
          </w:p>
        </w:tc>
        <w:tc>
          <w:tcPr>
            <w:tcW w:w="1860" w:type="dxa"/>
            <w:vAlign w:val="center"/>
          </w:tcPr>
          <w:p w14:paraId="31041B2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项目批准部门及项目批准文号</w:t>
            </w:r>
          </w:p>
        </w:tc>
        <w:tc>
          <w:tcPr>
            <w:tcW w:w="7656" w:type="dxa"/>
            <w:vAlign w:val="center"/>
          </w:tcPr>
          <w:p w14:paraId="53C9404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仁化县发展改革和政务数据局</w:t>
            </w:r>
          </w:p>
          <w:p w14:paraId="141A5A4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仁发改和政数投审〔2025〕9号、仁发改和政数投审〔2025〕100号、仁发改和政数投审〔2026〕64号</w:t>
            </w:r>
          </w:p>
        </w:tc>
      </w:tr>
      <w:tr w14:paraId="58FC4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6065D891">
            <w:pPr>
              <w:keepNext w:val="0"/>
              <w:keepLines w:val="0"/>
              <w:pageBreakBefore w:val="0"/>
              <w:wordWrap w:val="0"/>
              <w:overflowPunct/>
              <w:topLinePunct w:val="0"/>
              <w:bidi w:val="0"/>
              <w:spacing w:before="225"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4</w:t>
            </w:r>
          </w:p>
        </w:tc>
        <w:tc>
          <w:tcPr>
            <w:tcW w:w="1860" w:type="dxa"/>
            <w:vAlign w:val="center"/>
          </w:tcPr>
          <w:p w14:paraId="2161DF4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建设地点</w:t>
            </w:r>
          </w:p>
        </w:tc>
        <w:tc>
          <w:tcPr>
            <w:tcW w:w="7656" w:type="dxa"/>
            <w:tcMar>
              <w:top w:w="0" w:type="dxa"/>
              <w:left w:w="0" w:type="dxa"/>
              <w:bottom w:w="0" w:type="dxa"/>
              <w:right w:w="0" w:type="dxa"/>
            </w:tcMar>
            <w:vAlign w:val="center"/>
          </w:tcPr>
          <w:p w14:paraId="17B62E4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仁化县周田镇</w:t>
            </w:r>
          </w:p>
        </w:tc>
      </w:tr>
      <w:tr w14:paraId="767A9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582" w:type="dxa"/>
            <w:vAlign w:val="center"/>
          </w:tcPr>
          <w:p w14:paraId="62C389A3">
            <w:pPr>
              <w:keepNext w:val="0"/>
              <w:keepLines w:val="0"/>
              <w:pageBreakBefore w:val="0"/>
              <w:wordWrap w:val="0"/>
              <w:overflowPunct/>
              <w:topLinePunct w:val="0"/>
              <w:bidi w:val="0"/>
              <w:spacing w:before="226" w:line="192"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5</w:t>
            </w:r>
          </w:p>
        </w:tc>
        <w:tc>
          <w:tcPr>
            <w:tcW w:w="1860" w:type="dxa"/>
            <w:vAlign w:val="center"/>
          </w:tcPr>
          <w:p w14:paraId="4E0519E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项目代码</w:t>
            </w:r>
          </w:p>
        </w:tc>
        <w:tc>
          <w:tcPr>
            <w:tcW w:w="7656" w:type="dxa"/>
            <w:vAlign w:val="center"/>
          </w:tcPr>
          <w:p w14:paraId="168A8C9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2502-440224-04-01-128561、2603-440224-04-01-116739</w:t>
            </w:r>
          </w:p>
        </w:tc>
      </w:tr>
      <w:tr w14:paraId="4134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582" w:type="dxa"/>
            <w:vAlign w:val="center"/>
          </w:tcPr>
          <w:p w14:paraId="27F55D58">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6</w:t>
            </w:r>
          </w:p>
        </w:tc>
        <w:tc>
          <w:tcPr>
            <w:tcW w:w="1860" w:type="dxa"/>
            <w:vAlign w:val="center"/>
          </w:tcPr>
          <w:p w14:paraId="54684E3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资金来源及落实情况</w:t>
            </w:r>
          </w:p>
        </w:tc>
        <w:tc>
          <w:tcPr>
            <w:tcW w:w="7656" w:type="dxa"/>
            <w:vAlign w:val="center"/>
          </w:tcPr>
          <w:p w14:paraId="0168322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上级资金和县级财政资金安排解决，100%</w:t>
            </w:r>
          </w:p>
        </w:tc>
      </w:tr>
      <w:tr w14:paraId="55E0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trPr>
        <w:tc>
          <w:tcPr>
            <w:tcW w:w="582" w:type="dxa"/>
            <w:vAlign w:val="center"/>
          </w:tcPr>
          <w:p w14:paraId="13A867CC">
            <w:pPr>
              <w:keepNext w:val="0"/>
              <w:keepLines w:val="0"/>
              <w:pageBreakBefore w:val="0"/>
              <w:wordWrap w:val="0"/>
              <w:overflowPunct/>
              <w:topLinePunct w:val="0"/>
              <w:bidi w:val="0"/>
              <w:spacing w:before="228" w:line="192"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7</w:t>
            </w:r>
          </w:p>
        </w:tc>
        <w:tc>
          <w:tcPr>
            <w:tcW w:w="1860" w:type="dxa"/>
            <w:vAlign w:val="center"/>
          </w:tcPr>
          <w:p w14:paraId="1395956E">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招标人</w:t>
            </w:r>
          </w:p>
        </w:tc>
        <w:tc>
          <w:tcPr>
            <w:tcW w:w="7656" w:type="dxa"/>
            <w:vAlign w:val="center"/>
          </w:tcPr>
          <w:p w14:paraId="2D9D595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仁化县周田镇人民政府</w:t>
            </w:r>
          </w:p>
        </w:tc>
      </w:tr>
      <w:tr w14:paraId="38A7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6A89B71E">
            <w:pPr>
              <w:keepNext w:val="0"/>
              <w:keepLines w:val="0"/>
              <w:pageBreakBefore w:val="0"/>
              <w:wordWrap w:val="0"/>
              <w:overflowPunct/>
              <w:topLinePunct w:val="0"/>
              <w:bidi w:val="0"/>
              <w:spacing w:before="224"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8</w:t>
            </w:r>
          </w:p>
        </w:tc>
        <w:tc>
          <w:tcPr>
            <w:tcW w:w="1860" w:type="dxa"/>
            <w:vAlign w:val="center"/>
          </w:tcPr>
          <w:p w14:paraId="35B8FC2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招标代理机构</w:t>
            </w:r>
          </w:p>
        </w:tc>
        <w:tc>
          <w:tcPr>
            <w:tcW w:w="7656" w:type="dxa"/>
            <w:vAlign w:val="center"/>
          </w:tcPr>
          <w:p w14:paraId="7B44CAF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成致项目管理有限公司</w:t>
            </w:r>
          </w:p>
        </w:tc>
      </w:tr>
      <w:tr w14:paraId="45E3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EE48A18">
            <w:pPr>
              <w:keepNext w:val="0"/>
              <w:keepLines w:val="0"/>
              <w:pageBreakBefore w:val="0"/>
              <w:wordWrap w:val="0"/>
              <w:overflowPunct/>
              <w:topLinePunct w:val="0"/>
              <w:bidi w:val="0"/>
              <w:spacing w:before="225"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9</w:t>
            </w:r>
          </w:p>
        </w:tc>
        <w:tc>
          <w:tcPr>
            <w:tcW w:w="1860" w:type="dxa"/>
            <w:vAlign w:val="center"/>
          </w:tcPr>
          <w:p w14:paraId="2173F83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设计单位</w:t>
            </w:r>
          </w:p>
        </w:tc>
        <w:tc>
          <w:tcPr>
            <w:tcW w:w="7656" w:type="dxa"/>
            <w:vAlign w:val="center"/>
          </w:tcPr>
          <w:p w14:paraId="363B6AC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国昇设计有限责任公司</w:t>
            </w:r>
          </w:p>
        </w:tc>
      </w:tr>
      <w:bookmarkEnd w:id="8"/>
      <w:tr w14:paraId="3BFA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582" w:type="dxa"/>
            <w:vAlign w:val="center"/>
          </w:tcPr>
          <w:p w14:paraId="1635C0FD">
            <w:pPr>
              <w:keepNext w:val="0"/>
              <w:keepLines w:val="0"/>
              <w:pageBreakBefore w:val="0"/>
              <w:wordWrap w:val="0"/>
              <w:overflowPunct/>
              <w:topLinePunct w:val="0"/>
              <w:bidi w:val="0"/>
              <w:spacing w:before="245"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10</w:t>
            </w:r>
          </w:p>
        </w:tc>
        <w:tc>
          <w:tcPr>
            <w:tcW w:w="1860" w:type="dxa"/>
            <w:vAlign w:val="center"/>
          </w:tcPr>
          <w:p w14:paraId="2495ED4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造价咨询单位</w:t>
            </w:r>
          </w:p>
        </w:tc>
        <w:tc>
          <w:tcPr>
            <w:tcW w:w="7656" w:type="dxa"/>
            <w:vAlign w:val="center"/>
          </w:tcPr>
          <w:p w14:paraId="6BD3EE2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☑非全过程造价咨询</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□全过程造价咨询</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p>
        </w:tc>
      </w:tr>
      <w:tr w14:paraId="36921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09F5224E">
            <w:pPr>
              <w:keepNext w:val="0"/>
              <w:keepLines w:val="0"/>
              <w:pageBreakBefore w:val="0"/>
              <w:wordWrap w:val="0"/>
              <w:overflowPunct/>
              <w:topLinePunct w:val="0"/>
              <w:bidi w:val="0"/>
              <w:spacing w:before="242"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11</w:t>
            </w:r>
          </w:p>
        </w:tc>
        <w:tc>
          <w:tcPr>
            <w:tcW w:w="1860" w:type="dxa"/>
            <w:vAlign w:val="center"/>
          </w:tcPr>
          <w:p w14:paraId="1084556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监理单位</w:t>
            </w:r>
          </w:p>
        </w:tc>
        <w:tc>
          <w:tcPr>
            <w:tcW w:w="7656" w:type="dxa"/>
            <w:vAlign w:val="center"/>
          </w:tcPr>
          <w:p w14:paraId="0067EC3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□已确定监理单位</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☑未确定监理单位</w:t>
            </w:r>
          </w:p>
        </w:tc>
      </w:tr>
      <w:tr w14:paraId="2E54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2" w:hRule="atLeast"/>
        </w:trPr>
        <w:tc>
          <w:tcPr>
            <w:tcW w:w="582" w:type="dxa"/>
            <w:vAlign w:val="center"/>
          </w:tcPr>
          <w:p w14:paraId="2D733243">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1</w:t>
            </w:r>
            <w:r>
              <w:rPr>
                <w:rFonts w:hint="eastAsia" w:ascii="宋体" w:hAnsi="宋体" w:eastAsia="宋体" w:cs="宋体"/>
                <w:color w:val="000000" w:themeColor="text1"/>
                <w:spacing w:val="0"/>
                <w:sz w:val="21"/>
                <w:szCs w:val="21"/>
                <w:highlight w:val="none"/>
                <w14:textFill>
                  <w14:solidFill>
                    <w14:schemeClr w14:val="tx1"/>
                  </w14:solidFill>
                </w14:textFill>
              </w:rPr>
              <w:t>2</w:t>
            </w:r>
          </w:p>
        </w:tc>
        <w:tc>
          <w:tcPr>
            <w:tcW w:w="1860" w:type="dxa"/>
            <w:vAlign w:val="center"/>
          </w:tcPr>
          <w:p w14:paraId="526340D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建设内容和规模</w:t>
            </w:r>
          </w:p>
        </w:tc>
        <w:tc>
          <w:tcPr>
            <w:tcW w:w="7656" w:type="dxa"/>
            <w:vAlign w:val="center"/>
          </w:tcPr>
          <w:p w14:paraId="7E68E26D">
            <w:pPr>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left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周田镇灵溪河沿岸整治建设工程；周田镇人居环境整治提升工程（雷坑村、龙坑村、台滩村)；周田镇综合停车场工程；周田镇人居环境整治提升工程（韶仁路）；周田镇标志性照明工程；周田镇充电桩工程等。占地面积约为63497平方米</w:t>
            </w:r>
          </w:p>
        </w:tc>
      </w:tr>
      <w:tr w14:paraId="6450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4519A5EB">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13</w:t>
            </w:r>
          </w:p>
        </w:tc>
        <w:tc>
          <w:tcPr>
            <w:tcW w:w="1860" w:type="dxa"/>
            <w:vAlign w:val="center"/>
          </w:tcPr>
          <w:p w14:paraId="15BC852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项目总投资</w:t>
            </w:r>
          </w:p>
        </w:tc>
        <w:tc>
          <w:tcPr>
            <w:tcW w:w="7656" w:type="dxa"/>
            <w:vAlign w:val="center"/>
          </w:tcPr>
          <w:p w14:paraId="051183D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项目概算总投资1920.00万元，其中工程费用1793.24万元、工程建设其他费用106.77万元、预备费用19.99万元。</w:t>
            </w:r>
          </w:p>
        </w:tc>
      </w:tr>
      <w:tr w14:paraId="09BB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vAlign w:val="center"/>
          </w:tcPr>
          <w:p w14:paraId="2280C6D3">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14</w:t>
            </w:r>
          </w:p>
        </w:tc>
        <w:tc>
          <w:tcPr>
            <w:tcW w:w="1860" w:type="dxa"/>
            <w:vAlign w:val="center"/>
          </w:tcPr>
          <w:p w14:paraId="58FC513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招标范围</w:t>
            </w:r>
          </w:p>
        </w:tc>
        <w:tc>
          <w:tcPr>
            <w:tcW w:w="7656" w:type="dxa"/>
            <w:vAlign w:val="center"/>
          </w:tcPr>
          <w:p w14:paraId="2CC19A7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按审查合格的施工图纸及工程量清单内容施工</w:t>
            </w:r>
          </w:p>
        </w:tc>
      </w:tr>
      <w:tr w14:paraId="3290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334CDB2D">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15</w:t>
            </w:r>
          </w:p>
        </w:tc>
        <w:tc>
          <w:tcPr>
            <w:tcW w:w="1860" w:type="dxa"/>
            <w:vAlign w:val="center"/>
          </w:tcPr>
          <w:p w14:paraId="56FA5F4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标段划分</w:t>
            </w:r>
          </w:p>
        </w:tc>
        <w:tc>
          <w:tcPr>
            <w:tcW w:w="7656" w:type="dxa"/>
            <w:vAlign w:val="center"/>
          </w:tcPr>
          <w:p w14:paraId="5B21ACD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 xml:space="preserve">本招标项目不划分标段。 </w:t>
            </w:r>
          </w:p>
        </w:tc>
      </w:tr>
      <w:tr w14:paraId="5A1C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01C9B2F3">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16</w:t>
            </w:r>
          </w:p>
        </w:tc>
        <w:tc>
          <w:tcPr>
            <w:tcW w:w="1860" w:type="dxa"/>
            <w:vAlign w:val="center"/>
          </w:tcPr>
          <w:p w14:paraId="20F526C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工期</w:t>
            </w:r>
          </w:p>
        </w:tc>
        <w:tc>
          <w:tcPr>
            <w:tcW w:w="7656" w:type="dxa"/>
            <w:vAlign w:val="top"/>
          </w:tcPr>
          <w:p w14:paraId="2ACB4A1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本招标项目招标工期为</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180个日历天</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。具体如下：</w:t>
            </w:r>
          </w:p>
          <w:p w14:paraId="320C3CB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☑总工期：</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180</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天 （日历天）。</w:t>
            </w:r>
          </w:p>
          <w:p w14:paraId="4BF2E44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□计划开工日期：</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年</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月</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日（具体开工日期以合同为准）</w:t>
            </w:r>
          </w:p>
          <w:p w14:paraId="35D8577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□计划竣工日期：</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年</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月</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日</w:t>
            </w:r>
          </w:p>
          <w:p w14:paraId="3D4184C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□除上述总工期外，发包人还要求以下阶段工期：</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 xml:space="preserve">        </w:t>
            </w:r>
          </w:p>
        </w:tc>
      </w:tr>
      <w:tr w14:paraId="59EF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582" w:type="dxa"/>
            <w:vAlign w:val="center"/>
          </w:tcPr>
          <w:p w14:paraId="416E216C">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17</w:t>
            </w:r>
          </w:p>
        </w:tc>
        <w:tc>
          <w:tcPr>
            <w:tcW w:w="1860" w:type="dxa"/>
            <w:vAlign w:val="center"/>
          </w:tcPr>
          <w:p w14:paraId="529D0ED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质量标准</w:t>
            </w:r>
          </w:p>
        </w:tc>
        <w:tc>
          <w:tcPr>
            <w:tcW w:w="7656" w:type="dxa"/>
            <w:vAlign w:val="top"/>
          </w:tcPr>
          <w:p w14:paraId="7B9EFA3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符合现行国家有关工程施工质量验收规范和标准的要求，达到验收合格标准。</w:t>
            </w:r>
          </w:p>
        </w:tc>
      </w:tr>
      <w:tr w14:paraId="07BAB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3" w:hRule="atLeast"/>
        </w:trPr>
        <w:tc>
          <w:tcPr>
            <w:tcW w:w="582" w:type="dxa"/>
            <w:vMerge w:val="restart"/>
            <w:vAlign w:val="center"/>
          </w:tcPr>
          <w:p w14:paraId="2FAF8482">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18</w:t>
            </w:r>
          </w:p>
        </w:tc>
        <w:tc>
          <w:tcPr>
            <w:tcW w:w="1860" w:type="dxa"/>
            <w:vMerge w:val="restart"/>
            <w:vAlign w:val="center"/>
          </w:tcPr>
          <w:p w14:paraId="684E171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合同类型</w:t>
            </w:r>
          </w:p>
        </w:tc>
        <w:tc>
          <w:tcPr>
            <w:tcW w:w="7656" w:type="dxa"/>
            <w:vAlign w:val="top"/>
          </w:tcPr>
          <w:p w14:paraId="5B0CC98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☑单价合同：发承包双方约定以工程量清单及其综合单价进行合同价款计算、调整和确认的建设工程施工合同。</w:t>
            </w:r>
          </w:p>
          <w:p w14:paraId="37B161E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6B7E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rPr>
        <w:tc>
          <w:tcPr>
            <w:tcW w:w="582" w:type="dxa"/>
            <w:vMerge w:val="continue"/>
            <w:vAlign w:val="center"/>
          </w:tcPr>
          <w:p w14:paraId="001972E5">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p>
        </w:tc>
        <w:tc>
          <w:tcPr>
            <w:tcW w:w="1860" w:type="dxa"/>
            <w:vMerge w:val="continue"/>
            <w:vAlign w:val="center"/>
          </w:tcPr>
          <w:p w14:paraId="114EAAC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p>
        </w:tc>
        <w:tc>
          <w:tcPr>
            <w:tcW w:w="7656" w:type="dxa"/>
            <w:vAlign w:val="top"/>
          </w:tcPr>
          <w:p w14:paraId="208620C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□总价合同：发承包双方约定以施工图及其预算和有关条件进行合同价款计算、调整和确认的建设工程施工合同。 </w:t>
            </w:r>
          </w:p>
          <w:p w14:paraId="0E5FC1B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注：总价合同是以施工图纸、规范为基础，在工程任务内容明确、发包人的要求条件清楚、计价标准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标准原则。</w:t>
            </w:r>
          </w:p>
        </w:tc>
      </w:tr>
      <w:tr w14:paraId="548B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82" w:type="dxa"/>
            <w:vAlign w:val="center"/>
          </w:tcPr>
          <w:p w14:paraId="4F5536D8">
            <w:pPr>
              <w:keepNext w:val="0"/>
              <w:keepLines w:val="0"/>
              <w:pageBreakBefore w:val="0"/>
              <w:wordWrap w:val="0"/>
              <w:overflowPunct/>
              <w:topLinePunct w:val="0"/>
              <w:bidi w:val="0"/>
              <w:spacing w:before="19"/>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19</w:t>
            </w:r>
          </w:p>
        </w:tc>
        <w:tc>
          <w:tcPr>
            <w:tcW w:w="1860" w:type="dxa"/>
            <w:vAlign w:val="center"/>
          </w:tcPr>
          <w:p w14:paraId="0F7CD5C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房屋建筑工程绿色建筑标准</w:t>
            </w:r>
          </w:p>
        </w:tc>
        <w:tc>
          <w:tcPr>
            <w:tcW w:w="7656" w:type="dxa"/>
            <w:vAlign w:val="center"/>
          </w:tcPr>
          <w:p w14:paraId="523371B7">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本招标项目</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不</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纳入绿色建设实施范围。</w:t>
            </w:r>
          </w:p>
        </w:tc>
      </w:tr>
      <w:tr w14:paraId="44A5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1CD2CF21">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19. 1</w:t>
            </w:r>
          </w:p>
        </w:tc>
        <w:tc>
          <w:tcPr>
            <w:tcW w:w="1860" w:type="dxa"/>
            <w:vAlign w:val="center"/>
          </w:tcPr>
          <w:p w14:paraId="4D336BF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装配式建筑标准</w:t>
            </w:r>
          </w:p>
        </w:tc>
        <w:tc>
          <w:tcPr>
            <w:tcW w:w="7656" w:type="dxa"/>
            <w:vAlign w:val="center"/>
          </w:tcPr>
          <w:p w14:paraId="7FEA000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本招标项目</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不</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纳入装配式建造建设实施范围。</w:t>
            </w:r>
          </w:p>
        </w:tc>
      </w:tr>
      <w:tr w14:paraId="2E1C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4746E48">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20</w:t>
            </w:r>
          </w:p>
        </w:tc>
        <w:tc>
          <w:tcPr>
            <w:tcW w:w="1860" w:type="dxa"/>
            <w:vAlign w:val="center"/>
          </w:tcPr>
          <w:p w14:paraId="649F4D0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发包人提供材料和工程设备</w:t>
            </w:r>
          </w:p>
        </w:tc>
        <w:tc>
          <w:tcPr>
            <w:tcW w:w="7656" w:type="dxa"/>
            <w:vAlign w:val="center"/>
          </w:tcPr>
          <w:p w14:paraId="77FB08D3">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发包人提供材料和工程设备： ☑无     □有：</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 xml:space="preserve">     </w:t>
            </w:r>
          </w:p>
        </w:tc>
      </w:tr>
      <w:tr w14:paraId="119B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2622591F">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21</w:t>
            </w:r>
          </w:p>
        </w:tc>
        <w:tc>
          <w:tcPr>
            <w:tcW w:w="1860" w:type="dxa"/>
            <w:vAlign w:val="center"/>
          </w:tcPr>
          <w:p w14:paraId="6A6F9E6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承包人提供材料和工程设备</w:t>
            </w:r>
          </w:p>
        </w:tc>
        <w:tc>
          <w:tcPr>
            <w:tcW w:w="7656" w:type="dxa"/>
            <w:vAlign w:val="top"/>
          </w:tcPr>
          <w:p w14:paraId="7329718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的质量标准，应立即更换，由此增加的费用和（或）工期延误由承包人承担。对发包人要求检测承包人己具有合格证明的材料、工程设备，但经检测证明该项材料、工程设备符合合同约定的质量标准的，发包人应承担由此增加的费用和（或）工期延误，并向承包人支付合理利润。</w:t>
            </w:r>
          </w:p>
          <w:p w14:paraId="716D254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□其它说明：鼓励承包人积极采购环保产品进行施工。</w:t>
            </w:r>
          </w:p>
        </w:tc>
      </w:tr>
      <w:tr w14:paraId="3B0B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582" w:type="dxa"/>
            <w:vAlign w:val="center"/>
          </w:tcPr>
          <w:p w14:paraId="23CFF5B2">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22</w:t>
            </w:r>
          </w:p>
        </w:tc>
        <w:tc>
          <w:tcPr>
            <w:tcW w:w="1860" w:type="dxa"/>
            <w:vAlign w:val="center"/>
          </w:tcPr>
          <w:p w14:paraId="08D2DAC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最高投标限价</w:t>
            </w:r>
          </w:p>
        </w:tc>
        <w:tc>
          <w:tcPr>
            <w:tcW w:w="7656" w:type="dxa"/>
            <w:vAlign w:val="center"/>
          </w:tcPr>
          <w:p w14:paraId="73FF3F4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本招标项目的</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最高投标限价</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、工程量清单、</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施工图纸</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在投标截止时间15天前以补充公告的形式在广东省招标投标监管网（http://zbtb.gd.gov.cn）、全国公共资源交易平台（广东省·韶关市）（https://ygp.gdzwfw.gov.cn/ggzy-portal/#/440200/index）网站公布。</w:t>
            </w:r>
          </w:p>
        </w:tc>
      </w:tr>
      <w:tr w14:paraId="0706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45" w:hRule="atLeast"/>
        </w:trPr>
        <w:tc>
          <w:tcPr>
            <w:tcW w:w="582" w:type="dxa"/>
            <w:vAlign w:val="center"/>
          </w:tcPr>
          <w:p w14:paraId="14D57F0A">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23</w:t>
            </w:r>
          </w:p>
        </w:tc>
        <w:tc>
          <w:tcPr>
            <w:tcW w:w="1860" w:type="dxa"/>
            <w:vAlign w:val="center"/>
          </w:tcPr>
          <w:p w14:paraId="4EDFFAA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投标人的投标报价</w:t>
            </w:r>
          </w:p>
        </w:tc>
        <w:tc>
          <w:tcPr>
            <w:tcW w:w="7656" w:type="dxa"/>
            <w:vAlign w:val="center"/>
          </w:tcPr>
          <w:p w14:paraId="449D521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投标时响应招标文件要求所报出的对已标价工程量清单汇总后标明的总价。投标人在投标报价填写的工程量清单的项目编码、项目名称、项目特征、计量单位、工程数量必须与招标人招标文件中提供的一致，投标价不能低于工程成本、高于最高投标限价。</w:t>
            </w:r>
          </w:p>
          <w:p w14:paraId="270EDCA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投标报价方式： ☑工程量清单报</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□其他：</w:t>
            </w:r>
          </w:p>
          <w:p w14:paraId="134467A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投标报价时，应按《广东省建设工程计价依据（2018）》规定的费率报价，若招标工程量清单明确说明不计算预算包干费或另外确定预算包干费费率的，则按招标工程量清单报价。</w:t>
            </w:r>
          </w:p>
        </w:tc>
      </w:tr>
      <w:tr w14:paraId="3A26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582" w:type="dxa"/>
            <w:vAlign w:val="center"/>
          </w:tcPr>
          <w:p w14:paraId="78D804F4">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24</w:t>
            </w:r>
          </w:p>
        </w:tc>
        <w:tc>
          <w:tcPr>
            <w:tcW w:w="1860" w:type="dxa"/>
            <w:vAlign w:val="center"/>
          </w:tcPr>
          <w:p w14:paraId="75D5610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投标报价风险</w:t>
            </w:r>
          </w:p>
        </w:tc>
        <w:tc>
          <w:tcPr>
            <w:tcW w:w="7656" w:type="dxa"/>
            <w:vAlign w:val="center"/>
          </w:tcPr>
          <w:p w14:paraId="09F1294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☑投标人依据招标文件约定自行考虑风险因素，一旦中标，投标报价（合同价）除合同另有约定外将不因市场变化而调整。</w:t>
            </w:r>
          </w:p>
          <w:p w14:paraId="4AE8FF5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☑投标报价中应包括工程量清单项目所发生的人工费、材料费、机具费、管理费、利润、措施项目费、其它项目费、税金、暂列金额、暂估价以及所有风险、责任等各项费用。</w:t>
            </w:r>
          </w:p>
          <w:p w14:paraId="0FDFC6A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☑人工费、材料费、机具费、管理费、利润、措施项目费（不含安全生产措施费）投标人漏报或不报，招标人视为有关费用已包括在工程量清单项目的其它单价及合价中不予另外增加。</w:t>
            </w:r>
          </w:p>
          <w:p w14:paraId="1D4B24B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☑措施项目中的安全生产措施费，必须按国家、省级、市级（即工程所在地）行业建设主管部门的规定计算，不得作为竞争性费用。</w:t>
            </w:r>
          </w:p>
          <w:p w14:paraId="2BDA8BB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☑投标人应按照招标文件提供的工程量清单逐项填写单价和合价，投标人未填写的项目，招标人将视为此项费用已包括在工程量清单项目的其它单价及合价中不予另外增加。</w:t>
            </w:r>
          </w:p>
          <w:p w14:paraId="0598AA6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应按《广东省建设工程计价依据（2018）》规定的费率对预算包干费进行报价，若招标工程量清单明确说明不计算预算包干费或另外确定预算包干费费率的，则按招标工程量清单报价，若投标人不按规定报价的，则中标后无条件接受招标人对投标报价的调整。</w:t>
            </w:r>
          </w:p>
          <w:p w14:paraId="042F334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☑招标人向投标人提供的有关施工现场资料及数据，是招标人现有的能使投标人利用的资料，招标人对投标人据此作出的推论及理解概不负责。</w:t>
            </w:r>
          </w:p>
          <w:p w14:paraId="12C0474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w:t>
            </w:r>
          </w:p>
          <w:p w14:paraId="7883DF1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☑错漏项的认定。中标人已标价工程量清单中，任一清单项目未填报价格或价格为零的，招标人将视为此项费用已包括在工程量清单项目的其它单价及合价中不予另外增加。</w:t>
            </w:r>
          </w:p>
        </w:tc>
      </w:tr>
      <w:tr w14:paraId="4F80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trPr>
        <w:tc>
          <w:tcPr>
            <w:tcW w:w="582" w:type="dxa"/>
            <w:vAlign w:val="center"/>
          </w:tcPr>
          <w:p w14:paraId="2A703940">
            <w:pPr>
              <w:keepNext w:val="0"/>
              <w:keepLines w:val="0"/>
              <w:pageBreakBefore w:val="0"/>
              <w:wordWrap w:val="0"/>
              <w:overflowPunct/>
              <w:topLinePunct w:val="0"/>
              <w:bidi w:val="0"/>
              <w:spacing w:before="284"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25</w:t>
            </w:r>
          </w:p>
        </w:tc>
        <w:tc>
          <w:tcPr>
            <w:tcW w:w="1860" w:type="dxa"/>
            <w:vAlign w:val="center"/>
          </w:tcPr>
          <w:p w14:paraId="169F8CD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投标费用</w:t>
            </w:r>
          </w:p>
        </w:tc>
        <w:tc>
          <w:tcPr>
            <w:tcW w:w="7656" w:type="dxa"/>
            <w:vAlign w:val="center"/>
          </w:tcPr>
          <w:p w14:paraId="6A66A49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投标人自行承担编制与递交投标文件的一切费用。</w:t>
            </w:r>
          </w:p>
        </w:tc>
      </w:tr>
      <w:tr w14:paraId="5958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vAlign w:val="center"/>
          </w:tcPr>
          <w:p w14:paraId="39B3D201">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26</w:t>
            </w:r>
          </w:p>
        </w:tc>
        <w:tc>
          <w:tcPr>
            <w:tcW w:w="1860" w:type="dxa"/>
            <w:vAlign w:val="center"/>
          </w:tcPr>
          <w:p w14:paraId="728110B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投标人资格要求</w:t>
            </w:r>
          </w:p>
        </w:tc>
        <w:tc>
          <w:tcPr>
            <w:tcW w:w="7656" w:type="dxa"/>
            <w:vAlign w:val="center"/>
          </w:tcPr>
          <w:p w14:paraId="6EC3B73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1.本次招标</w:t>
            </w:r>
            <w:r>
              <w:rPr>
                <w:rFonts w:hint="eastAsia" w:ascii="宋体" w:hAnsi="宋体" w:eastAsia="宋体" w:cs="宋体"/>
                <w:b/>
                <w:bCs/>
                <w:snapToGrid w:val="0"/>
                <w:color w:val="000000" w:themeColor="text1"/>
                <w:spacing w:val="0"/>
                <w:kern w:val="0"/>
                <w:sz w:val="21"/>
                <w:szCs w:val="21"/>
                <w:highlight w:val="none"/>
                <w:lang w:eastAsia="zh-CN"/>
                <w14:textFill>
                  <w14:solidFill>
                    <w14:schemeClr w14:val="tx1"/>
                  </w14:solidFill>
                </w14:textFill>
              </w:rPr>
              <w:t>不接受</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联合体投标。</w:t>
            </w:r>
          </w:p>
          <w:p w14:paraId="4BF154B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2.资质要求</w:t>
            </w:r>
          </w:p>
          <w:p w14:paraId="3402416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2.1 投标人须具备独立法人资格，按国家法律经营。</w:t>
            </w:r>
          </w:p>
          <w:p w14:paraId="5ED3A23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2.2 投标人须持有建设行政主管部门颁发的企业资质证书及安全生产许可证。</w:t>
            </w:r>
          </w:p>
          <w:p w14:paraId="594AE2C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2.3 投标人须具备以下资质：具有建设行政主管部门颁发的市政公用工程施工总承包</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三</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级以上（含</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三</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级）资质。</w:t>
            </w:r>
          </w:p>
          <w:p w14:paraId="0DAB829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2.4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6E1B7DB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3.相关人员要求</w:t>
            </w:r>
          </w:p>
          <w:p w14:paraId="34B5145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3.1  拟派项目经理为</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市政公用工程</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专业一级或二级注册建造师，应持有住建部门印发的在使用有效期内的有效电子注册证书（根据广东省住房和城乡建设厅（粤建市函〔2023〕469号）文件精神，二级注册建造师可随注册企业在全国范围内执业）。同时均须具备有效安全生产考核合格证明（B证），且未担任其他在施（包括已中标未开工、已开工未竣工）建设工程项目的项目经理。</w:t>
            </w:r>
          </w:p>
          <w:p w14:paraId="526D959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3.2 拟派项目技术负责人须具备</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市政工程</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相关专业</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中</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级以上（含</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中</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级）技术职称。</w:t>
            </w:r>
          </w:p>
          <w:p w14:paraId="7E279E0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3.3 投标人拟派专职安全生产管理人员须具备有效安全生产考核合格证明（C证，安全生产考核合格证书或“广东省建筑施工企业管理人员安全生产考核系统”考核合格信息打印页），且不少于</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 xml:space="preserve"> 1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人。</w:t>
            </w:r>
          </w:p>
          <w:p w14:paraId="4F35C3C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3.4 投标人（包括组成联合体的所有成员单位）与其拟派往本项目管理机构的所有人员之间必须具备合法、唯一的劳动聘用关系。拟派人员中具备注册执业资格的，其注册单位须与投标人保持一致。</w:t>
            </w:r>
          </w:p>
          <w:p w14:paraId="68CF7C1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4.禁止投标条款：</w:t>
            </w:r>
          </w:p>
          <w:p w14:paraId="756E14C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4.1  投标人不得存在下列情形之一：</w:t>
            </w:r>
          </w:p>
          <w:p w14:paraId="68C2B4A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（1）为招标人不具有独立法人资格的附属机构（单位）；</w:t>
            </w:r>
          </w:p>
          <w:p w14:paraId="44593C8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（2）为本招标项目前期准备提供设计或咨询服务的；</w:t>
            </w:r>
          </w:p>
          <w:p w14:paraId="59CFF19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（3）与本招标项目的其他投标人为同一个单位负责人；</w:t>
            </w:r>
          </w:p>
          <w:p w14:paraId="2AE6D68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（4）与本招标项目的其他投标人存在控股、管理关系；</w:t>
            </w:r>
          </w:p>
          <w:p w14:paraId="38CFB62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（5）为本招标项目的监理人；</w:t>
            </w:r>
          </w:p>
          <w:p w14:paraId="1419324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（6）为本招标项目的代建人；</w:t>
            </w:r>
          </w:p>
          <w:p w14:paraId="170099A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（7）为本招标项目的招标代理机构；</w:t>
            </w:r>
          </w:p>
          <w:p w14:paraId="062B5CB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（8）与本招标项目的监理人或代建人或招标代理机构同为一个 法定代表人；</w:t>
            </w:r>
          </w:p>
          <w:p w14:paraId="76338A8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（9）与本招标项目的监理人或代建人或招标代理机构存在控股或参股关系；</w:t>
            </w:r>
          </w:p>
          <w:p w14:paraId="2A915A3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（10）与本招标项目的监理人或代建人或招标代理机构存在相互任职或工作关系；</w:t>
            </w:r>
          </w:p>
          <w:p w14:paraId="2D49455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（11）被依法暂停或者取消投标资格；</w:t>
            </w:r>
          </w:p>
          <w:p w14:paraId="335907D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（12）被责令停产停业、暂扣或者吊销许可证、暂扣或者吊销执照；</w:t>
            </w:r>
          </w:p>
          <w:p w14:paraId="146AB41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（13）进入清算程序，或被宣告破产，或其他丧失履约能力的情形；</w:t>
            </w:r>
          </w:p>
          <w:p w14:paraId="730679D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（14）在最近三年内发生重大工程质量或安全问题（以相关行业主管部门的行政处罚决定或司法机关出具的有关法律文书为准）；</w:t>
            </w:r>
          </w:p>
          <w:p w14:paraId="4202D8C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（15）被“信用中国 ”网站（https://www.creditchina.gov.cn）发布的《法人和非法人组织公共信用信息报告》列为严重失信主体名单的。</w:t>
            </w:r>
          </w:p>
          <w:p w14:paraId="587EA45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4.2  招标人拒绝以下名单中的单位参加本次投标：</w:t>
            </w:r>
          </w:p>
          <w:tbl>
            <w:tblPr>
              <w:tblStyle w:val="14"/>
              <w:tblW w:w="7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3510"/>
              <w:gridCol w:w="3371"/>
            </w:tblGrid>
            <w:tr w14:paraId="526D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677" w:type="dxa"/>
                  <w:vAlign w:val="center"/>
                </w:tcPr>
                <w:p w14:paraId="60DBAAFB">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序号</w:t>
                  </w:r>
                </w:p>
              </w:tc>
              <w:tc>
                <w:tcPr>
                  <w:tcW w:w="3510" w:type="dxa"/>
                  <w:vAlign w:val="center"/>
                </w:tcPr>
                <w:p w14:paraId="7B05472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单位名称</w:t>
                  </w:r>
                </w:p>
              </w:tc>
              <w:tc>
                <w:tcPr>
                  <w:tcW w:w="3371" w:type="dxa"/>
                  <w:vAlign w:val="center"/>
                </w:tcPr>
                <w:p w14:paraId="4FE91A1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拒绝原因</w:t>
                  </w:r>
                </w:p>
              </w:tc>
            </w:tr>
            <w:tr w14:paraId="1DBB6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77" w:type="dxa"/>
                  <w:vAlign w:val="center"/>
                </w:tcPr>
                <w:p w14:paraId="5735F3E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1</w:t>
                  </w:r>
                </w:p>
              </w:tc>
              <w:tc>
                <w:tcPr>
                  <w:tcW w:w="3510" w:type="dxa"/>
                  <w:vAlign w:val="center"/>
                </w:tcPr>
                <w:p w14:paraId="25D93D7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仁化县周田镇人民政府</w:t>
                  </w:r>
                </w:p>
              </w:tc>
              <w:tc>
                <w:tcPr>
                  <w:tcW w:w="3371" w:type="dxa"/>
                  <w:vAlign w:val="center"/>
                </w:tcPr>
                <w:p w14:paraId="42F41EC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为本招标项目的招标人</w:t>
                  </w:r>
                </w:p>
              </w:tc>
            </w:tr>
            <w:tr w14:paraId="625F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77" w:type="dxa"/>
                  <w:vAlign w:val="center"/>
                </w:tcPr>
                <w:p w14:paraId="27F653D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2</w:t>
                  </w:r>
                </w:p>
              </w:tc>
              <w:tc>
                <w:tcPr>
                  <w:tcW w:w="3510" w:type="dxa"/>
                  <w:vAlign w:val="center"/>
                </w:tcPr>
                <w:p w14:paraId="74BC464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成致项目管理有限公司</w:t>
                  </w:r>
                </w:p>
              </w:tc>
              <w:tc>
                <w:tcPr>
                  <w:tcW w:w="3371" w:type="dxa"/>
                  <w:vAlign w:val="center"/>
                </w:tcPr>
                <w:p w14:paraId="15ADD93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为本招标项目的招标代理机构</w:t>
                  </w:r>
                </w:p>
              </w:tc>
            </w:tr>
            <w:tr w14:paraId="0D97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77" w:type="dxa"/>
                  <w:vAlign w:val="center"/>
                </w:tcPr>
                <w:p w14:paraId="681D054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3</w:t>
                  </w:r>
                </w:p>
              </w:tc>
              <w:tc>
                <w:tcPr>
                  <w:tcW w:w="3510" w:type="dxa"/>
                  <w:vAlign w:val="center"/>
                </w:tcPr>
                <w:p w14:paraId="53846CB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中设建联工程设计有限公司</w:t>
                  </w:r>
                </w:p>
              </w:tc>
              <w:tc>
                <w:tcPr>
                  <w:tcW w:w="3371" w:type="dxa"/>
                  <w:vAlign w:val="center"/>
                </w:tcPr>
                <w:p w14:paraId="0BBAABD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为本招标项目的可行性研究报告编制单位</w:t>
                  </w:r>
                </w:p>
              </w:tc>
            </w:tr>
            <w:tr w14:paraId="2DAD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77" w:type="dxa"/>
                  <w:vAlign w:val="center"/>
                </w:tcPr>
                <w:p w14:paraId="58ABAC6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4</w:t>
                  </w:r>
                </w:p>
              </w:tc>
              <w:tc>
                <w:tcPr>
                  <w:tcW w:w="3510" w:type="dxa"/>
                  <w:vAlign w:val="center"/>
                </w:tcPr>
                <w:p w14:paraId="5559883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国昇设计有限责任公司</w:t>
                  </w:r>
                </w:p>
              </w:tc>
              <w:tc>
                <w:tcPr>
                  <w:tcW w:w="3371" w:type="dxa"/>
                  <w:vAlign w:val="center"/>
                </w:tcPr>
                <w:p w14:paraId="58EF012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为本招标项目的勘察设计单位</w:t>
                  </w:r>
                </w:p>
              </w:tc>
            </w:tr>
            <w:tr w14:paraId="21F5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677" w:type="dxa"/>
                  <w:vAlign w:val="center"/>
                </w:tcPr>
                <w:p w14:paraId="0328AE9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5</w:t>
                  </w:r>
                </w:p>
              </w:tc>
              <w:tc>
                <w:tcPr>
                  <w:tcW w:w="3510" w:type="dxa"/>
                  <w:vAlign w:val="center"/>
                </w:tcPr>
                <w:p w14:paraId="64D235F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广州三合工程咨询有限公司</w:t>
                  </w:r>
                </w:p>
              </w:tc>
              <w:tc>
                <w:tcPr>
                  <w:tcW w:w="3371" w:type="dxa"/>
                  <w:vAlign w:val="center"/>
                </w:tcPr>
                <w:p w14:paraId="2EAA1BB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为本招标项目的施工图审查单位</w:t>
                  </w:r>
                </w:p>
              </w:tc>
            </w:tr>
          </w:tbl>
          <w:p w14:paraId="7E7C597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5.其他要求</w:t>
            </w:r>
          </w:p>
          <w:p w14:paraId="15FDD12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省外企业及其拟派往本项目管理机构的所有人员均须按照《广东省住房和城乡建设厅关于取消省外建筑企业和人员进粤信息备案有关工作的通知》（粤建市﹝2015﹞52 号）规定在“进粤企业和人员诚信信息登记平台 ”录入相关信息并通过数据规范检查。</w:t>
            </w:r>
          </w:p>
        </w:tc>
      </w:tr>
      <w:tr w14:paraId="67DD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trPr>
        <w:tc>
          <w:tcPr>
            <w:tcW w:w="582" w:type="dxa"/>
            <w:vAlign w:val="center"/>
          </w:tcPr>
          <w:p w14:paraId="703F9879">
            <w:pPr>
              <w:keepNext w:val="0"/>
              <w:keepLines w:val="0"/>
              <w:pageBreakBefore w:val="0"/>
              <w:wordWrap w:val="0"/>
              <w:overflowPunct/>
              <w:topLinePunct w:val="0"/>
              <w:bidi w:val="0"/>
              <w:spacing w:before="19"/>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27</w:t>
            </w:r>
          </w:p>
        </w:tc>
        <w:tc>
          <w:tcPr>
            <w:tcW w:w="1860" w:type="dxa"/>
            <w:vAlign w:val="center"/>
          </w:tcPr>
          <w:p w14:paraId="4CB5E433">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投标有效期</w:t>
            </w:r>
          </w:p>
        </w:tc>
        <w:tc>
          <w:tcPr>
            <w:tcW w:w="7656" w:type="dxa"/>
            <w:vAlign w:val="center"/>
          </w:tcPr>
          <w:p w14:paraId="3D83EF0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本次招标的投标有效期为</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90</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 xml:space="preserve"> 个日历天。</w:t>
            </w:r>
          </w:p>
        </w:tc>
      </w:tr>
      <w:tr w14:paraId="6150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582" w:type="dxa"/>
            <w:vAlign w:val="center"/>
          </w:tcPr>
          <w:p w14:paraId="75B295D4">
            <w:pPr>
              <w:keepNext w:val="0"/>
              <w:keepLines w:val="0"/>
              <w:pageBreakBefore w:val="0"/>
              <w:wordWrap w:val="0"/>
              <w:overflowPunct/>
              <w:topLinePunct w:val="0"/>
              <w:bidi w:val="0"/>
              <w:spacing w:before="69" w:line="188" w:lineRule="auto"/>
              <w:ind w:left="205"/>
              <w:jc w:val="both"/>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28</w:t>
            </w:r>
          </w:p>
        </w:tc>
        <w:tc>
          <w:tcPr>
            <w:tcW w:w="1860" w:type="dxa"/>
            <w:vAlign w:val="center"/>
          </w:tcPr>
          <w:p w14:paraId="4BFBD8CB">
            <w:pPr>
              <w:widowControl w:val="0"/>
              <w:kinsoku/>
              <w:wordWrap w:val="0"/>
              <w:autoSpaceDE/>
              <w:autoSpaceDN/>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投标文件组成</w:t>
            </w:r>
          </w:p>
        </w:tc>
        <w:tc>
          <w:tcPr>
            <w:tcW w:w="7656" w:type="dxa"/>
            <w:vAlign w:val="center"/>
          </w:tcPr>
          <w:p w14:paraId="142ADE0B">
            <w:pPr>
              <w:widowControl w:val="0"/>
              <w:kinsoku/>
              <w:wordWrap w:val="0"/>
              <w:autoSpaceDE/>
              <w:autoSpaceDN/>
              <w:spacing w:line="400" w:lineRule="exact"/>
              <w:ind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投标文件包括商务标书、经济标书、施工组织设计、定标文件四个分册。</w:t>
            </w:r>
          </w:p>
        </w:tc>
      </w:tr>
      <w:tr w14:paraId="5A82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trPr>
        <w:tc>
          <w:tcPr>
            <w:tcW w:w="582" w:type="dxa"/>
            <w:vAlign w:val="center"/>
          </w:tcPr>
          <w:p w14:paraId="30846F92">
            <w:pPr>
              <w:keepNext w:val="0"/>
              <w:keepLines w:val="0"/>
              <w:pageBreakBefore w:val="0"/>
              <w:wordWrap w:val="0"/>
              <w:overflowPunct/>
              <w:topLinePunct w:val="0"/>
              <w:bidi w:val="0"/>
              <w:spacing w:before="69" w:line="188" w:lineRule="auto"/>
              <w:ind w:left="205"/>
              <w:jc w:val="both"/>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29</w:t>
            </w:r>
          </w:p>
        </w:tc>
        <w:tc>
          <w:tcPr>
            <w:tcW w:w="1860" w:type="dxa"/>
            <w:vAlign w:val="center"/>
          </w:tcPr>
          <w:p w14:paraId="0FC3CC3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施工组织设计评审方式</w:t>
            </w:r>
          </w:p>
        </w:tc>
        <w:tc>
          <w:tcPr>
            <w:tcW w:w="7656" w:type="dxa"/>
            <w:vAlign w:val="center"/>
          </w:tcPr>
          <w:p w14:paraId="4C6491C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本次招标施工组织设计</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 xml:space="preserve"> 不采用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“暗标”方式进行评审。</w:t>
            </w:r>
          </w:p>
        </w:tc>
      </w:tr>
      <w:tr w14:paraId="253B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3" w:hRule="atLeast"/>
        </w:trPr>
        <w:tc>
          <w:tcPr>
            <w:tcW w:w="582" w:type="dxa"/>
            <w:vAlign w:val="center"/>
          </w:tcPr>
          <w:p w14:paraId="78D49806">
            <w:pPr>
              <w:keepNext w:val="0"/>
              <w:keepLines w:val="0"/>
              <w:pageBreakBefore w:val="0"/>
              <w:wordWrap w:val="0"/>
              <w:overflowPunct/>
              <w:topLinePunct w:val="0"/>
              <w:bidi w:val="0"/>
              <w:spacing w:before="69" w:line="188" w:lineRule="auto"/>
              <w:ind w:left="209"/>
              <w:jc w:val="both"/>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30</w:t>
            </w:r>
          </w:p>
        </w:tc>
        <w:tc>
          <w:tcPr>
            <w:tcW w:w="1860" w:type="dxa"/>
            <w:vAlign w:val="center"/>
          </w:tcPr>
          <w:p w14:paraId="65ACF683">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评标委员会</w:t>
            </w:r>
          </w:p>
        </w:tc>
        <w:tc>
          <w:tcPr>
            <w:tcW w:w="7656" w:type="dxa"/>
            <w:vAlign w:val="top"/>
          </w:tcPr>
          <w:p w14:paraId="61B142C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评标委员会由 5 人组成，其中招标人代表 0 人，专家 5 人。专家从广东省综合评标评审专家库</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（韶关</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市</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区域）、（</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广东省内异地评标区域</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中随机抽取，其中技术类专家 3 人，经济类专家 2 人。</w:t>
            </w:r>
          </w:p>
          <w:p w14:paraId="5859F59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根据《广东省远程异地评标招标项目范围规定(试行)》(粤发改规(2026)8号)</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文件要求</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，本项目采用远程异地评标方式进行评标，评标委员会员分别在主场和副场通过电子交易系统远程参加评标活动。</w:t>
            </w:r>
          </w:p>
        </w:tc>
      </w:tr>
      <w:tr w14:paraId="4DBB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52927E18">
            <w:pPr>
              <w:keepNext w:val="0"/>
              <w:keepLines w:val="0"/>
              <w:pageBreakBefore w:val="0"/>
              <w:wordWrap w:val="0"/>
              <w:overflowPunct/>
              <w:topLinePunct w:val="0"/>
              <w:bidi w:val="0"/>
              <w:spacing w:before="258" w:line="188" w:lineRule="auto"/>
              <w:ind w:left="209"/>
              <w:jc w:val="both"/>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31</w:t>
            </w:r>
          </w:p>
        </w:tc>
        <w:tc>
          <w:tcPr>
            <w:tcW w:w="1860" w:type="dxa"/>
            <w:vAlign w:val="center"/>
          </w:tcPr>
          <w:p w14:paraId="3720AA4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评标方法</w:t>
            </w:r>
          </w:p>
        </w:tc>
        <w:tc>
          <w:tcPr>
            <w:tcW w:w="7656" w:type="dxa"/>
            <w:vAlign w:val="center"/>
          </w:tcPr>
          <w:p w14:paraId="3B1753D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 A＋B 值评标法  □经评审的最低投标价法   ☑综合评估法</w:t>
            </w:r>
          </w:p>
        </w:tc>
      </w:tr>
      <w:tr w14:paraId="06F9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34AFF4A1">
            <w:pPr>
              <w:wordWrap w:val="0"/>
              <w:spacing w:before="69" w:line="188" w:lineRule="auto"/>
              <w:ind w:left="209" w:leftChars="0"/>
              <w:jc w:val="both"/>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32</w:t>
            </w:r>
          </w:p>
        </w:tc>
        <w:tc>
          <w:tcPr>
            <w:tcW w:w="1860" w:type="dxa"/>
            <w:vAlign w:val="center"/>
          </w:tcPr>
          <w:p w14:paraId="54159718">
            <w:pPr>
              <w:widowControl w:val="0"/>
              <w:kinsoku/>
              <w:wordWrap w:val="0"/>
              <w:autoSpaceDE/>
              <w:autoSpaceDN/>
              <w:adjustRightInd/>
              <w:snapToGrid/>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定</w:t>
            </w:r>
            <w:r>
              <w:rPr>
                <w:rFonts w:hint="eastAsia" w:ascii="宋体" w:hAnsi="宋体" w:eastAsia="宋体" w:cs="宋体"/>
                <w:color w:val="000000" w:themeColor="text1"/>
                <w:highlight w:val="none"/>
                <w14:textFill>
                  <w14:solidFill>
                    <w14:schemeClr w14:val="tx1"/>
                  </w14:solidFill>
                </w14:textFill>
              </w:rPr>
              <w:t>标委员会</w:t>
            </w:r>
          </w:p>
        </w:tc>
        <w:tc>
          <w:tcPr>
            <w:tcW w:w="7656" w:type="dxa"/>
            <w:vAlign w:val="center"/>
          </w:tcPr>
          <w:p w14:paraId="1AB55988">
            <w:pPr>
              <w:widowControl w:val="0"/>
              <w:kinsoku/>
              <w:autoSpaceDE/>
              <w:autoSpaceDN/>
              <w:adjustRightInd/>
              <w:snapToGrid/>
              <w:spacing w:line="400" w:lineRule="exact"/>
              <w:ind w:left="105" w:leftChars="50" w:right="105" w:rightChars="50"/>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本项目定标委员会组成人员为</w:t>
            </w:r>
            <w:r>
              <w:rPr>
                <w:rFonts w:hint="eastAsia" w:ascii="宋体" w:hAnsi="宋体" w:eastAsia="宋体" w:cs="宋体"/>
                <w:color w:val="000000" w:themeColor="text1"/>
                <w:highlight w:val="none"/>
                <w:u w:val="single"/>
                <w:lang w:eastAsia="zh-CN"/>
                <w14:textFill>
                  <w14:solidFill>
                    <w14:schemeClr w14:val="tx1"/>
                  </w14:solidFill>
                </w14:textFill>
              </w:rPr>
              <w:t xml:space="preserve"> 7 </w:t>
            </w:r>
            <w:r>
              <w:rPr>
                <w:rFonts w:hint="eastAsia" w:ascii="宋体" w:hAnsi="宋体" w:eastAsia="宋体" w:cs="宋体"/>
                <w:color w:val="000000" w:themeColor="text1"/>
                <w:highlight w:val="none"/>
                <w:lang w:eastAsia="zh-CN"/>
                <w14:textFill>
                  <w14:solidFill>
                    <w14:schemeClr w14:val="tx1"/>
                  </w14:solidFill>
                </w14:textFill>
              </w:rPr>
              <w:t>人。</w:t>
            </w:r>
          </w:p>
        </w:tc>
      </w:tr>
      <w:tr w14:paraId="574D4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0D91F791">
            <w:pPr>
              <w:widowControl w:val="0"/>
              <w:kinsoku/>
              <w:wordWrap w:val="0"/>
              <w:autoSpaceDE/>
              <w:autoSpaceDN/>
              <w:adjustRightInd/>
              <w:snapToGrid/>
              <w:spacing w:line="400" w:lineRule="exact"/>
              <w:jc w:val="center"/>
              <w:textAlignment w:val="auto"/>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33</w:t>
            </w:r>
          </w:p>
        </w:tc>
        <w:tc>
          <w:tcPr>
            <w:tcW w:w="1860" w:type="dxa"/>
            <w:vAlign w:val="center"/>
          </w:tcPr>
          <w:p w14:paraId="79AAF6E1">
            <w:pPr>
              <w:widowControl w:val="0"/>
              <w:kinsoku/>
              <w:wordWrap w:val="0"/>
              <w:autoSpaceDE/>
              <w:autoSpaceDN/>
              <w:adjustRightInd/>
              <w:snapToGrid/>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定标办法</w:t>
            </w:r>
          </w:p>
        </w:tc>
        <w:tc>
          <w:tcPr>
            <w:tcW w:w="7656" w:type="dxa"/>
            <w:vAlign w:val="center"/>
          </w:tcPr>
          <w:p w14:paraId="1209EC1A">
            <w:pPr>
              <w:widowControl w:val="0"/>
              <w:kinsoku/>
              <w:autoSpaceDE/>
              <w:autoSpaceDN/>
              <w:adjustRightInd/>
              <w:snapToGrid/>
              <w:spacing w:line="400" w:lineRule="exact"/>
              <w:ind w:left="105" w:leftChars="50" w:right="105" w:rightChars="50"/>
              <w:textAlignment w:val="auto"/>
              <w:rPr>
                <w:rFonts w:hint="eastAsia" w:ascii="宋体" w:hAnsi="宋体" w:eastAsia="宋体" w:cs="宋体"/>
                <w:bCs/>
                <w:color w:val="000000" w:themeColor="text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本项目采用</w:t>
            </w:r>
            <w:r>
              <w:rPr>
                <w:rFonts w:hint="eastAsia" w:ascii="宋体" w:hAnsi="宋体" w:eastAsia="宋体" w:cs="宋体"/>
                <w:b/>
                <w:color w:val="000000" w:themeColor="text1"/>
                <w:highlight w:val="none"/>
                <w:lang w:eastAsia="zh-CN"/>
                <w14:textFill>
                  <w14:solidFill>
                    <w14:schemeClr w14:val="tx1"/>
                  </w14:solidFill>
                </w14:textFill>
              </w:rPr>
              <w:t>评定分离</w:t>
            </w:r>
            <w:r>
              <w:rPr>
                <w:rFonts w:hint="eastAsia" w:ascii="宋体" w:hAnsi="宋体" w:eastAsia="宋体" w:cs="宋体"/>
                <w:bCs/>
                <w:color w:val="000000" w:themeColor="text1"/>
                <w:highlight w:val="none"/>
                <w:lang w:eastAsia="zh-CN"/>
                <w14:textFill>
                  <w14:solidFill>
                    <w14:schemeClr w14:val="tx1"/>
                  </w14:solidFill>
                </w14:textFill>
              </w:rPr>
              <w:t>，应选定下列定标办法：</w:t>
            </w:r>
          </w:p>
          <w:p w14:paraId="5BD1FC33">
            <w:pPr>
              <w:widowControl w:val="0"/>
              <w:kinsoku/>
              <w:autoSpaceDE/>
              <w:autoSpaceDN/>
              <w:adjustRightInd/>
              <w:snapToGrid/>
              <w:spacing w:line="400" w:lineRule="exact"/>
              <w:ind w:left="105" w:leftChars="50" w:right="105" w:rightChars="50"/>
              <w:textAlignment w:val="auto"/>
              <w:rPr>
                <w:rFonts w:hint="eastAsia" w:ascii="宋体" w:hAnsi="宋体" w:eastAsia="宋体" w:cs="宋体"/>
                <w:bCs/>
                <w:color w:val="000000" w:themeColor="text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☑票决数量法</w:t>
            </w:r>
          </w:p>
          <w:p w14:paraId="20E3BCC8">
            <w:pPr>
              <w:widowControl w:val="0"/>
              <w:kinsoku/>
              <w:autoSpaceDE/>
              <w:autoSpaceDN/>
              <w:adjustRightInd/>
              <w:snapToGrid/>
              <w:spacing w:line="400" w:lineRule="exact"/>
              <w:ind w:left="105" w:leftChars="50" w:right="105" w:rightChars="50"/>
              <w:textAlignment w:val="auto"/>
              <w:rPr>
                <w:rFonts w:hint="eastAsia" w:ascii="宋体" w:hAnsi="宋体" w:eastAsia="宋体" w:cs="宋体"/>
                <w:bCs/>
                <w:color w:val="000000" w:themeColor="text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□票决计分法</w:t>
            </w:r>
          </w:p>
          <w:p w14:paraId="2AE3A62C">
            <w:pPr>
              <w:widowControl w:val="0"/>
              <w:kinsoku/>
              <w:autoSpaceDE/>
              <w:autoSpaceDN/>
              <w:adjustRightInd/>
              <w:snapToGrid/>
              <w:spacing w:line="400" w:lineRule="exact"/>
              <w:ind w:left="105" w:leftChars="50" w:right="105" w:rightChars="50"/>
              <w:textAlignment w:val="auto"/>
              <w:rPr>
                <w:rFonts w:hint="eastAsia" w:ascii="宋体" w:hAnsi="宋体" w:eastAsia="宋体" w:cs="宋体"/>
                <w:bCs/>
                <w:color w:val="000000" w:themeColor="text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□集体议事法</w:t>
            </w:r>
          </w:p>
          <w:p w14:paraId="247111D6">
            <w:pPr>
              <w:widowControl w:val="0"/>
              <w:kinsoku/>
              <w:autoSpaceDE/>
              <w:autoSpaceDN/>
              <w:adjustRightInd/>
              <w:snapToGrid/>
              <w:spacing w:line="400" w:lineRule="exact"/>
              <w:ind w:left="105" w:leftChars="50" w:right="105" w:rightChars="50"/>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□其他方法：</w:t>
            </w:r>
          </w:p>
        </w:tc>
      </w:tr>
      <w:tr w14:paraId="3464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53B59C7D">
            <w:pPr>
              <w:widowControl w:val="0"/>
              <w:kinsoku/>
              <w:wordWrap w:val="0"/>
              <w:autoSpaceDE/>
              <w:autoSpaceDN/>
              <w:adjustRightInd/>
              <w:snapToGrid/>
              <w:spacing w:line="400" w:lineRule="exact"/>
              <w:jc w:val="center"/>
              <w:textAlignment w:val="auto"/>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color w:val="000000" w:themeColor="text1"/>
                <w:highlight w:val="none"/>
                <w:lang w:eastAsia="zh-CN"/>
                <w14:textFill>
                  <w14:solidFill>
                    <w14:schemeClr w14:val="tx1"/>
                  </w14:solidFill>
                </w14:textFill>
              </w:rPr>
              <w:t>4</w:t>
            </w:r>
          </w:p>
        </w:tc>
        <w:tc>
          <w:tcPr>
            <w:tcW w:w="1860" w:type="dxa"/>
            <w:vAlign w:val="center"/>
          </w:tcPr>
          <w:p w14:paraId="7F0B1E34">
            <w:pPr>
              <w:widowControl w:val="0"/>
              <w:kinsoku/>
              <w:wordWrap w:val="0"/>
              <w:autoSpaceDE/>
              <w:autoSpaceDN/>
              <w:adjustRightInd/>
              <w:snapToGrid/>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投标文件编制及份数要求</w:t>
            </w:r>
          </w:p>
        </w:tc>
        <w:tc>
          <w:tcPr>
            <w:tcW w:w="7656" w:type="dxa"/>
            <w:vAlign w:val="center"/>
          </w:tcPr>
          <w:p w14:paraId="2375DD06">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投标人须上传（递交）投标文件：</w:t>
            </w:r>
          </w:p>
          <w:p w14:paraId="1FF287EC">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1、电子投标文件一套：</w:t>
            </w:r>
          </w:p>
          <w:p w14:paraId="4CAA3894">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（1）商务标书1份；</w:t>
            </w:r>
          </w:p>
          <w:p w14:paraId="5BCEFDEC">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（2）经济标书1份；</w:t>
            </w:r>
          </w:p>
          <w:p w14:paraId="431B3130">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（3）施工组织设计1份； </w:t>
            </w:r>
          </w:p>
          <w:p w14:paraId="22E63715">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（4）定标文件1份；</w:t>
            </w:r>
          </w:p>
          <w:p w14:paraId="0B6AF076">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2、对应评审要求的分项响应文件（如有）。</w:t>
            </w:r>
          </w:p>
          <w:p w14:paraId="603DA691">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1C1A8E4A">
            <w:pPr>
              <w:widowControl w:val="0"/>
              <w:kinsoku/>
              <w:wordWrap w:val="0"/>
              <w:autoSpaceDE/>
              <w:autoSpaceDN/>
              <w:spacing w:line="400" w:lineRule="exact"/>
              <w:ind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注：投标人被确定为中标人后，应从交易系统打印两套纸质投标文件（含签名盖章页），内容同电子投标文件，在签订本招标项目承包合同前提交给招标人。（除招标文件约定外，纸质标书须与电子标书一致，不一致的以电子标书为准）。</w:t>
            </w:r>
          </w:p>
        </w:tc>
      </w:tr>
      <w:tr w14:paraId="4E70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5" w:hRule="atLeast"/>
        </w:trPr>
        <w:tc>
          <w:tcPr>
            <w:tcW w:w="582" w:type="dxa"/>
            <w:vAlign w:val="center"/>
          </w:tcPr>
          <w:p w14:paraId="56B959FD">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5</w:t>
            </w:r>
          </w:p>
        </w:tc>
        <w:tc>
          <w:tcPr>
            <w:tcW w:w="1860" w:type="dxa"/>
            <w:vAlign w:val="center"/>
          </w:tcPr>
          <w:p w14:paraId="5FAEFFC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招标文件要求提交的用于评审的证书、证件、证明原件</w:t>
            </w:r>
          </w:p>
        </w:tc>
        <w:tc>
          <w:tcPr>
            <w:tcW w:w="7656" w:type="dxa"/>
            <w:vAlign w:val="top"/>
          </w:tcPr>
          <w:p w14:paraId="71660FC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投标人在提交用于评审的证书、证件、证明原件的，投标人应自行将所需原件密封于文件袋（箱）中，并自行准备两张“原件一览表 ” (详见格式十五，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tc>
      </w:tr>
      <w:tr w14:paraId="2D98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rPr>
        <w:tc>
          <w:tcPr>
            <w:tcW w:w="582" w:type="dxa"/>
            <w:vAlign w:val="center"/>
          </w:tcPr>
          <w:p w14:paraId="0C69718A">
            <w:pPr>
              <w:keepNext w:val="0"/>
              <w:keepLines w:val="0"/>
              <w:pageBreakBefore w:val="0"/>
              <w:wordWrap w:val="0"/>
              <w:overflowPunct/>
              <w:topLinePunct w:val="0"/>
              <w:bidi w:val="0"/>
              <w:spacing w:before="69" w:line="188" w:lineRule="auto"/>
              <w:ind w:left="209"/>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3</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6</w:t>
            </w:r>
          </w:p>
        </w:tc>
        <w:tc>
          <w:tcPr>
            <w:tcW w:w="1860" w:type="dxa"/>
            <w:vAlign w:val="center"/>
          </w:tcPr>
          <w:p w14:paraId="20A44A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招标代理费</w:t>
            </w:r>
          </w:p>
        </w:tc>
        <w:tc>
          <w:tcPr>
            <w:tcW w:w="7656" w:type="dxa"/>
            <w:vAlign w:val="center"/>
          </w:tcPr>
          <w:p w14:paraId="0F863CA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招标代理服务费依据《招标代理服务收费管理暂行办法》（计价格[2002]1980号）以中标价为基数计算，由中标单位支付招标代理服务费用。</w:t>
            </w:r>
          </w:p>
        </w:tc>
      </w:tr>
      <w:tr w14:paraId="7AAB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9" w:hRule="atLeast"/>
        </w:trPr>
        <w:tc>
          <w:tcPr>
            <w:tcW w:w="582" w:type="dxa"/>
            <w:vAlign w:val="center"/>
          </w:tcPr>
          <w:p w14:paraId="75B13CC6">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7</w:t>
            </w:r>
          </w:p>
        </w:tc>
        <w:tc>
          <w:tcPr>
            <w:tcW w:w="1860" w:type="dxa"/>
            <w:vAlign w:val="center"/>
          </w:tcPr>
          <w:p w14:paraId="198B1BD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招标人</w:t>
            </w:r>
          </w:p>
          <w:p w14:paraId="2C622AED">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联系方式</w:t>
            </w:r>
          </w:p>
        </w:tc>
        <w:tc>
          <w:tcPr>
            <w:tcW w:w="7656" w:type="dxa"/>
            <w:vAlign w:val="center"/>
          </w:tcPr>
          <w:p w14:paraId="6356A8B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14:textFill>
                  <w14:solidFill>
                    <w14:schemeClr w14:val="tx1"/>
                  </w14:solidFill>
                </w14:textFill>
              </w:rPr>
              <w:t>单位名称：</w:t>
            </w:r>
            <w:r>
              <w:rPr>
                <w:rFonts w:hint="eastAsia" w:ascii="宋体" w:hAnsi="宋体" w:eastAsia="宋体" w:cs="宋体"/>
                <w:snapToGrid w:val="0"/>
                <w:color w:val="000000" w:themeColor="text1"/>
                <w:spacing w:val="0"/>
                <w:kern w:val="0"/>
                <w:sz w:val="21"/>
                <w:highlight w:val="none"/>
                <w:lang w:eastAsia="zh-CN"/>
                <w14:textFill>
                  <w14:solidFill>
                    <w14:schemeClr w14:val="tx1"/>
                  </w14:solidFill>
                </w14:textFill>
              </w:rPr>
              <w:t>仁化县周田镇人民政府</w:t>
            </w:r>
          </w:p>
          <w:p w14:paraId="3707E73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highlight w:val="none"/>
                <w14:textFill>
                  <w14:solidFill>
                    <w14:schemeClr w14:val="tx1"/>
                  </w14:solidFill>
                </w14:textFill>
              </w:rPr>
              <w:t>办公地址：仁化县周田镇中兴街西8号</w:t>
            </w:r>
          </w:p>
          <w:p w14:paraId="638E6D2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highlight w:val="none"/>
                <w14:textFill>
                  <w14:solidFill>
                    <w14:schemeClr w14:val="tx1"/>
                  </w14:solidFill>
                </w14:textFill>
              </w:rPr>
              <w:t>联系人（部门）：张工</w:t>
            </w:r>
          </w:p>
          <w:p w14:paraId="7AE74A5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14:textFill>
                  <w14:solidFill>
                    <w14:schemeClr w14:val="tx1"/>
                  </w14:solidFill>
                </w14:textFill>
              </w:rPr>
              <w:t>联系电话：0751-6423850</w:t>
            </w:r>
          </w:p>
        </w:tc>
      </w:tr>
      <w:tr w14:paraId="1335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vAlign w:val="center"/>
          </w:tcPr>
          <w:p w14:paraId="1022974A">
            <w:pPr>
              <w:keepNext w:val="0"/>
              <w:keepLines w:val="0"/>
              <w:pageBreakBefore w:val="0"/>
              <w:wordWrap w:val="0"/>
              <w:overflowPunct/>
              <w:topLinePunct w:val="0"/>
              <w:bidi w:val="0"/>
              <w:spacing w:before="69" w:line="188" w:lineRule="auto"/>
              <w:jc w:val="center"/>
              <w:rPr>
                <w:rFonts w:hint="default" w:ascii="宋体" w:hAnsi="宋体" w:eastAsia="宋体" w:cs="宋体"/>
                <w:color w:val="000000" w:themeColor="text1"/>
                <w:spacing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38</w:t>
            </w:r>
          </w:p>
        </w:tc>
        <w:tc>
          <w:tcPr>
            <w:tcW w:w="1860" w:type="dxa"/>
            <w:vAlign w:val="center"/>
          </w:tcPr>
          <w:p w14:paraId="7F3AD70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招标代理机构</w:t>
            </w:r>
          </w:p>
          <w:p w14:paraId="0B6588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联系方式</w:t>
            </w:r>
          </w:p>
        </w:tc>
        <w:tc>
          <w:tcPr>
            <w:tcW w:w="7656" w:type="dxa"/>
            <w:vAlign w:val="center"/>
          </w:tcPr>
          <w:p w14:paraId="764E211D">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left"/>
              <w:textAlignment w:val="auto"/>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pPr>
            <w:r>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t>单位名称：成致项目管理有限公司</w:t>
            </w:r>
          </w:p>
          <w:p w14:paraId="6CB5BA50">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left"/>
              <w:textAlignment w:val="auto"/>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pPr>
            <w:r>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t>办公地址：韶关市浈江区五里亭良村商贸城E栋6楼602</w:t>
            </w:r>
          </w:p>
          <w:p w14:paraId="405C4AC2">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left"/>
              <w:textAlignment w:val="auto"/>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pPr>
            <w:r>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t>项目负责人：钟梓铭</w:t>
            </w:r>
          </w:p>
          <w:p w14:paraId="7800A8BE">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left"/>
              <w:textAlignment w:val="auto"/>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pPr>
            <w:r>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t>项目经办人：梁景业</w:t>
            </w:r>
          </w:p>
          <w:p w14:paraId="2F85772A">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left"/>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pacing w:val="0"/>
                <w:sz w:val="21"/>
                <w:szCs w:val="21"/>
                <w:highlight w:val="none"/>
                <w:u w:val="none"/>
                <w:lang w:val="en-US" w:eastAsia="zh-CN"/>
                <w14:textFill>
                  <w14:solidFill>
                    <w14:schemeClr w14:val="tx1"/>
                  </w14:solidFill>
                </w14:textFill>
              </w:rPr>
              <w:t>电    话：0751-8830298</w:t>
            </w:r>
          </w:p>
        </w:tc>
      </w:tr>
      <w:tr w14:paraId="4E2F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atLeast"/>
        </w:trPr>
        <w:tc>
          <w:tcPr>
            <w:tcW w:w="582" w:type="dxa"/>
            <w:vAlign w:val="center"/>
          </w:tcPr>
          <w:p w14:paraId="7AEA0C33">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3</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9</w:t>
            </w:r>
          </w:p>
        </w:tc>
        <w:tc>
          <w:tcPr>
            <w:tcW w:w="1860" w:type="dxa"/>
            <w:vAlign w:val="center"/>
          </w:tcPr>
          <w:p w14:paraId="7DFD452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交易场所联系方式</w:t>
            </w:r>
          </w:p>
        </w:tc>
        <w:tc>
          <w:tcPr>
            <w:tcW w:w="7656" w:type="dxa"/>
            <w:vAlign w:val="center"/>
          </w:tcPr>
          <w:p w14:paraId="53A4662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单位名称：韶关市公共资源交易中心仁化分中心</w:t>
            </w:r>
          </w:p>
          <w:p w14:paraId="5A6EFA0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办公地址：仁化县丹霞大道228号12楼韶关市公共资源交易中心仁化分中心</w:t>
            </w:r>
          </w:p>
          <w:p w14:paraId="1F7A3A3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联系人（部门）：吴工</w:t>
            </w:r>
          </w:p>
          <w:p w14:paraId="0950E96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联系电话：0751—6354032</w:t>
            </w:r>
          </w:p>
        </w:tc>
      </w:tr>
      <w:tr w14:paraId="04B8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4" w:hRule="atLeast"/>
        </w:trPr>
        <w:tc>
          <w:tcPr>
            <w:tcW w:w="582" w:type="dxa"/>
            <w:vAlign w:val="center"/>
          </w:tcPr>
          <w:p w14:paraId="3E200AD1">
            <w:pPr>
              <w:keepNext w:val="0"/>
              <w:keepLines w:val="0"/>
              <w:pageBreakBefore w:val="0"/>
              <w:wordWrap w:val="0"/>
              <w:overflowPunct/>
              <w:topLinePunct w:val="0"/>
              <w:bidi w:val="0"/>
              <w:spacing w:before="69" w:line="188" w:lineRule="auto"/>
              <w:jc w:val="center"/>
              <w:rPr>
                <w:rFonts w:hint="default" w:ascii="宋体" w:hAnsi="宋体" w:eastAsia="宋体" w:cs="宋体"/>
                <w:color w:val="000000" w:themeColor="text1"/>
                <w:spacing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40</w:t>
            </w:r>
          </w:p>
        </w:tc>
        <w:tc>
          <w:tcPr>
            <w:tcW w:w="1860" w:type="dxa"/>
            <w:vAlign w:val="center"/>
          </w:tcPr>
          <w:p w14:paraId="49D0B38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行政监督部</w:t>
            </w:r>
          </w:p>
          <w:p w14:paraId="5F176A1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门联系方式</w:t>
            </w:r>
          </w:p>
        </w:tc>
        <w:tc>
          <w:tcPr>
            <w:tcW w:w="7656" w:type="dxa"/>
            <w:vAlign w:val="center"/>
          </w:tcPr>
          <w:p w14:paraId="42C72F5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t>单位名称：仁化县住房和城乡建设管理局</w:t>
            </w:r>
          </w:p>
          <w:p w14:paraId="319F3FC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t>办公地址：仁化县丹霞大道228号仁化县行政服务中心6楼</w:t>
            </w:r>
          </w:p>
          <w:p w14:paraId="024CAFC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t>联系人（部门）：建筑业监督管理股</w:t>
            </w:r>
          </w:p>
          <w:p w14:paraId="54FFC68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t>联系电话：0751-6354573</w:t>
            </w:r>
          </w:p>
        </w:tc>
      </w:tr>
    </w:tbl>
    <w:p w14:paraId="7235C323">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9" w:name="bookmark115"/>
      <w:bookmarkEnd w:id="9"/>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1789A482">
      <w:pPr>
        <w:keepNext w:val="0"/>
        <w:keepLines w:val="0"/>
        <w:pageBreakBefore w:val="0"/>
        <w:wordWrap w:val="0"/>
        <w:overflowPunct/>
        <w:topLinePunct w:val="0"/>
        <w:bidi w:val="0"/>
        <w:spacing w:before="156" w:line="219" w:lineRule="auto"/>
        <w:ind w:left="17"/>
        <w:jc w:val="left"/>
        <w:outlineLvl w:val="1"/>
        <w:rPr>
          <w:rFonts w:hint="eastAsia" w:ascii="宋体" w:hAnsi="宋体" w:eastAsia="宋体" w:cs="宋体"/>
          <w:color w:val="000000" w:themeColor="text1"/>
          <w:spacing w:val="0"/>
          <w:highlight w:val="none"/>
          <w14:textFill>
            <w14:solidFill>
              <w14:schemeClr w14:val="tx1"/>
            </w14:solidFill>
          </w14:textFill>
        </w:rPr>
      </w:pPr>
      <w:bookmarkStart w:id="10" w:name="_Toc24326"/>
      <w:r>
        <w:rPr>
          <w:rFonts w:hint="eastAsia" w:ascii="宋体" w:hAnsi="宋体" w:eastAsia="宋体" w:cs="宋体"/>
          <w:b/>
          <w:bCs/>
          <w:color w:val="000000" w:themeColor="text1"/>
          <w:spacing w:val="0"/>
          <w:sz w:val="24"/>
          <w:szCs w:val="24"/>
          <w:highlight w:val="none"/>
          <w14:textFill>
            <w14:solidFill>
              <w14:schemeClr w14:val="tx1"/>
            </w14:solidFill>
          </w14:textFill>
        </w:rPr>
        <w:t>第二节 重要事项时间地点一览表</w:t>
      </w:r>
      <w:bookmarkEnd w:id="10"/>
    </w:p>
    <w:p w14:paraId="44D452CF">
      <w:pPr>
        <w:pStyle w:val="5"/>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bl>
      <w:tblPr>
        <w:tblStyle w:val="14"/>
        <w:tblW w:w="1039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540"/>
        <w:gridCol w:w="1726"/>
        <w:gridCol w:w="8133"/>
      </w:tblGrid>
      <w:tr w14:paraId="2810537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2"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593C325A">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1</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244C667F">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招标公告</w:t>
            </w:r>
          </w:p>
          <w:p w14:paraId="06F52756">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发布时间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18A82632">
            <w:pPr>
              <w:widowControl w:val="0"/>
              <w:wordWrap w:val="0"/>
              <w:adjustRightInd w:val="0"/>
              <w:snapToGrid w:val="0"/>
              <w:spacing w:line="400" w:lineRule="exact"/>
              <w:ind w:firstLine="220" w:firstLineChars="100"/>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18</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00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p>
        </w:tc>
      </w:tr>
      <w:tr w14:paraId="608F5E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1"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35BB7FFD">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2</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4BF1A24C">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获取招标文件截止时间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513F1109">
            <w:pPr>
              <w:widowControl w:val="0"/>
              <w:wordWrap w:val="0"/>
              <w:adjustRightInd w:val="0"/>
              <w:snapToGrid w:val="0"/>
              <w:spacing w:line="400" w:lineRule="exact"/>
              <w:ind w:firstLine="220" w:firstLineChars="100"/>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28</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p>
        </w:tc>
      </w:tr>
      <w:tr w14:paraId="01EB01D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0"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0C816B26">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3</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0F646321">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网上提问</w:t>
            </w:r>
          </w:p>
          <w:p w14:paraId="0E14C4C3">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截止时间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65546C40">
            <w:pPr>
              <w:widowControl w:val="0"/>
              <w:wordWrap w:val="0"/>
              <w:adjustRightInd w:val="0"/>
              <w:snapToGrid w:val="0"/>
              <w:spacing w:line="400" w:lineRule="exact"/>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18</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kern w:val="0"/>
                <w:sz w:val="22"/>
                <w:szCs w:val="22"/>
                <w:highlight w:val="none"/>
                <w:u w:val="single"/>
                <w:lang w:val="en-US" w:eastAsia="zh-CN" w:bidi="ar-SA"/>
                <w14:textFill>
                  <w14:solidFill>
                    <w14:schemeClr w14:val="tx1"/>
                  </w14:solidFill>
                </w14:textFill>
              </w:rPr>
              <w:t>16</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snapToGrid w:val="0"/>
                <w:color w:val="000000" w:themeColor="text1"/>
                <w:kern w:val="0"/>
                <w:sz w:val="22"/>
                <w:szCs w:val="22"/>
                <w:highlight w:val="none"/>
                <w:u w:val="single"/>
                <w:lang w:val="en-US" w:eastAsia="zh-CN" w:bidi="ar-SA"/>
                <w14:textFill>
                  <w14:solidFill>
                    <w14:schemeClr w14:val="tx1"/>
                  </w14:solidFill>
                </w14:textFill>
              </w:rPr>
              <w:t>00</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分</w:t>
            </w:r>
          </w:p>
        </w:tc>
      </w:tr>
      <w:tr w14:paraId="16A3C80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0"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6AD420F7">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4</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6A2B5994">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网上答疑</w:t>
            </w:r>
          </w:p>
          <w:p w14:paraId="1C7B813E">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时间</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5A39D692">
            <w:pPr>
              <w:widowControl w:val="0"/>
              <w:wordWrap w:val="0"/>
              <w:adjustRightInd w:val="0"/>
              <w:snapToGrid w:val="0"/>
              <w:spacing w:line="400" w:lineRule="exact"/>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18</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kern w:val="0"/>
                <w:sz w:val="22"/>
                <w:szCs w:val="22"/>
                <w:highlight w:val="none"/>
                <w:u w:val="single"/>
                <w:lang w:val="en-US" w:eastAsia="zh-CN" w:bidi="ar-SA"/>
                <w14:textFill>
                  <w14:solidFill>
                    <w14:schemeClr w14:val="tx1"/>
                  </w14:solidFill>
                </w14:textFill>
              </w:rPr>
              <w:t>16</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snapToGrid w:val="0"/>
                <w:color w:val="000000" w:themeColor="text1"/>
                <w:kern w:val="0"/>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分至</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bookmarkStart w:id="285" w:name="_GoBack"/>
            <w:bookmarkEnd w:id="285"/>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21</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kern w:val="0"/>
                <w:sz w:val="22"/>
                <w:szCs w:val="22"/>
                <w:highlight w:val="none"/>
                <w:u w:val="single"/>
                <w:lang w:val="en-US" w:eastAsia="zh-CN" w:bidi="ar-SA"/>
                <w14:textFill>
                  <w14:solidFill>
                    <w14:schemeClr w14:val="tx1"/>
                  </w14:solidFill>
                </w14:textFill>
              </w:rPr>
              <w:t>16</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snapToGrid w:val="0"/>
                <w:color w:val="000000" w:themeColor="text1"/>
                <w:kern w:val="0"/>
                <w:sz w:val="22"/>
                <w:szCs w:val="22"/>
                <w:highlight w:val="none"/>
                <w:u w:val="single"/>
                <w:lang w:val="en-US" w:eastAsia="zh-CN" w:bidi="ar-SA"/>
                <w14:textFill>
                  <w14:solidFill>
                    <w14:schemeClr w14:val="tx1"/>
                  </w14:solidFill>
                </w14:textFill>
              </w:rPr>
              <w:t>00</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分</w:t>
            </w:r>
          </w:p>
        </w:tc>
      </w:tr>
      <w:tr w14:paraId="1E97BF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4"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7E6CF477">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5</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04AE71E6">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投标保证缴</w:t>
            </w:r>
          </w:p>
          <w:p w14:paraId="6E0B8FBD">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纳截止时间</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771D8C7E">
            <w:pPr>
              <w:widowControl w:val="0"/>
              <w:wordWrap w:val="0"/>
              <w:adjustRightInd w:val="0"/>
              <w:snapToGrid w:val="0"/>
              <w:spacing w:line="400" w:lineRule="exact"/>
              <w:ind w:firstLine="220" w:firstLineChars="100"/>
              <w:jc w:val="both"/>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投标保证金到账截止时间：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27</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w:t>
            </w:r>
          </w:p>
          <w:p w14:paraId="08D15D8C">
            <w:pPr>
              <w:widowControl w:val="0"/>
              <w:wordWrap w:val="0"/>
              <w:adjustRightInd w:val="0"/>
              <w:snapToGrid w:val="0"/>
              <w:spacing w:line="400" w:lineRule="exact"/>
              <w:ind w:firstLine="220" w:firstLineChars="100"/>
              <w:jc w:val="both"/>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投标保证担保上传截止时间：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27</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w:t>
            </w:r>
          </w:p>
          <w:p w14:paraId="4913E1FC">
            <w:pPr>
              <w:widowControl w:val="0"/>
              <w:wordWrap w:val="0"/>
              <w:adjustRightInd w:val="0"/>
              <w:snapToGrid w:val="0"/>
              <w:spacing w:line="400" w:lineRule="exact"/>
              <w:ind w:firstLine="220" w:firstLineChars="100"/>
              <w:jc w:val="both"/>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投标保证保险投保截止时间：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27</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w:t>
            </w:r>
          </w:p>
        </w:tc>
      </w:tr>
      <w:tr w14:paraId="0FF99E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8"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38CE1411">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6</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49B3B28D">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电子投标</w:t>
            </w:r>
          </w:p>
          <w:p w14:paraId="77A8CAAD">
            <w:pPr>
              <w:widowControl w:val="0"/>
              <w:wordWrap w:val="0"/>
              <w:adjustRightInd w:val="0"/>
              <w:snapToGrid w:val="0"/>
              <w:spacing w:line="360" w:lineRule="exact"/>
              <w:jc w:val="center"/>
              <w:rPr>
                <w:rFonts w:hint="eastAsia" w:asciiTheme="minorEastAsia" w:hAnsiTheme="minorEastAsia" w:eastAsiaTheme="minorEastAsia" w:cstheme="minorEastAsia"/>
                <w:strike/>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截止时间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6876FBEA">
            <w:pPr>
              <w:widowControl w:val="0"/>
              <w:wordWrap w:val="0"/>
              <w:adjustRightInd w:val="0"/>
              <w:snapToGrid w:val="0"/>
              <w:spacing w:line="400" w:lineRule="exact"/>
              <w:ind w:firstLine="110" w:firstLineChars="50"/>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28</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p>
        </w:tc>
      </w:tr>
      <w:tr w14:paraId="1D7A94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93"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51C2D949">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7</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48EDEAC3">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投标相关资料（如有）递交时间</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5BB9E5B2">
            <w:pPr>
              <w:widowControl w:val="0"/>
              <w:wordWrap w:val="0"/>
              <w:adjustRightInd w:val="0"/>
              <w:snapToGrid w:val="0"/>
              <w:spacing w:line="400" w:lineRule="exact"/>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28</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00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至</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28</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p>
        </w:tc>
      </w:tr>
      <w:tr w14:paraId="67E0A71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77"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31923E05">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8</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302BDFCA">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投标相关资料（如有）递交地点</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7C8A753B">
            <w:pPr>
              <w:keepNext w:val="0"/>
              <w:keepLines w:val="0"/>
              <w:pageBreakBefore w:val="0"/>
              <w:widowControl w:val="0"/>
              <w:kinsoku/>
              <w:wordWrap w:val="0"/>
              <w:overflowPunct/>
              <w:topLinePunct w:val="0"/>
              <w:autoSpaceDE/>
              <w:autoSpaceDN/>
              <w:bidi w:val="0"/>
              <w:adjustRightInd w:val="0"/>
              <w:snapToGrid w:val="0"/>
              <w:spacing w:line="360" w:lineRule="auto"/>
              <w:ind w:left="105" w:leftChars="50"/>
              <w:jc w:val="left"/>
              <w:textAlignment w:val="auto"/>
              <w:rPr>
                <w:rFonts w:hint="eastAsia" w:ascii="宋体" w:hAnsi="宋体" w:eastAsia="宋体" w:cs="宋体"/>
                <w:color w:val="000000" w:themeColor="text1"/>
                <w:kern w:val="2"/>
                <w:sz w:val="22"/>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2"/>
                <w:szCs w:val="22"/>
                <w:highlight w:val="none"/>
                <w:u w:val="none"/>
                <w:lang w:val="en-US" w:eastAsia="zh-CN" w:bidi="ar-SA"/>
                <w14:textFill>
                  <w14:solidFill>
                    <w14:schemeClr w14:val="tx1"/>
                  </w14:solidFill>
                </w14:textFill>
              </w:rPr>
              <w:t>递交场所：韶关市公共资源交易中心仁化分中心</w:t>
            </w:r>
          </w:p>
          <w:p w14:paraId="0FED30E2">
            <w:pPr>
              <w:widowControl w:val="0"/>
              <w:wordWrap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2"/>
                <w:szCs w:val="22"/>
                <w:highlight w:val="none"/>
                <w:lang w:val="en-US" w:eastAsia="zh-CN" w:bidi="ar-SA"/>
                <w14:textFill>
                  <w14:solidFill>
                    <w14:schemeClr w14:val="tx1"/>
                  </w14:solidFill>
                </w14:textFill>
              </w:rPr>
              <w:t>地址</w:t>
            </w:r>
            <w:r>
              <w:rPr>
                <w:rFonts w:hint="eastAsia" w:ascii="宋体" w:hAnsi="宋体" w:eastAsia="宋体" w:cs="宋体"/>
                <w:b w:val="0"/>
                <w:bCs/>
                <w:color w:val="000000" w:themeColor="text1"/>
                <w:kern w:val="2"/>
                <w:sz w:val="22"/>
                <w:szCs w:val="22"/>
                <w:highlight w:val="none"/>
                <w:lang w:val="en-US" w:eastAsia="zh-CN" w:bidi="ar-SA"/>
                <w14:textFill>
                  <w14:solidFill>
                    <w14:schemeClr w14:val="tx1"/>
                  </w14:solidFill>
                </w14:textFill>
              </w:rPr>
              <w:t>：仁化县丹霞大道228号11楼韶关市公共资源交易中心仁化分中心，具体房间号以当日现场通知为准。</w:t>
            </w:r>
          </w:p>
        </w:tc>
      </w:tr>
      <w:tr w14:paraId="15610BE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30"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253A7F0F">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9</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7CB64555">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开标时间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6F72838B">
            <w:pPr>
              <w:widowControl w:val="0"/>
              <w:wordWrap w:val="0"/>
              <w:adjustRightInd w:val="0"/>
              <w:snapToGrid w:val="0"/>
              <w:spacing w:line="400" w:lineRule="exact"/>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28</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p>
        </w:tc>
      </w:tr>
      <w:tr w14:paraId="2D2F9D5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7"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0D64A6D3">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10</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2D4F8207">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开标地点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596980D5">
            <w:pPr>
              <w:keepNext w:val="0"/>
              <w:keepLines w:val="0"/>
              <w:pageBreakBefore w:val="0"/>
              <w:widowControl w:val="0"/>
              <w:kinsoku/>
              <w:wordWrap w:val="0"/>
              <w:overflowPunct/>
              <w:topLinePunct w:val="0"/>
              <w:autoSpaceDE/>
              <w:autoSpaceDN/>
              <w:bidi w:val="0"/>
              <w:adjustRightInd w:val="0"/>
              <w:snapToGrid w:val="0"/>
              <w:spacing w:line="360" w:lineRule="auto"/>
              <w:ind w:left="105" w:leftChars="50"/>
              <w:jc w:val="left"/>
              <w:textAlignment w:val="auto"/>
              <w:outlineLvl w:val="9"/>
              <w:rPr>
                <w:rFonts w:hint="eastAsia" w:ascii="宋体" w:hAnsi="宋体" w:eastAsia="宋体" w:cs="宋体"/>
                <w:color w:val="000000" w:themeColor="text1"/>
                <w:kern w:val="2"/>
                <w:sz w:val="22"/>
                <w:szCs w:val="22"/>
                <w:highlight w:val="none"/>
                <w:lang w:val="en-US" w:eastAsia="zh-CN" w:bidi="ar-SA"/>
                <w14:textFill>
                  <w14:solidFill>
                    <w14:schemeClr w14:val="tx1"/>
                  </w14:solidFill>
                </w14:textFill>
              </w:rPr>
            </w:pPr>
            <w:r>
              <w:rPr>
                <w:rFonts w:hint="eastAsia" w:ascii="宋体" w:hAnsi="宋体" w:eastAsia="宋体" w:cs="宋体"/>
                <w:caps w:val="0"/>
                <w:smallCaps w:val="0"/>
                <w:snapToGrid w:val="0"/>
                <w:color w:val="000000" w:themeColor="text1"/>
                <w:spacing w:val="0"/>
                <w:kern w:val="0"/>
                <w:sz w:val="22"/>
                <w:szCs w:val="22"/>
                <w:highlight w:val="none"/>
                <w:u w:val="none"/>
                <w:lang w:val="en-US" w:eastAsia="zh-CN" w:bidi="ar-SA"/>
                <w14:textFill>
                  <w14:solidFill>
                    <w14:schemeClr w14:val="tx1"/>
                  </w14:solidFill>
                </w14:textFill>
              </w:rPr>
              <w:t>开标场所：韶关市公共资源交易中心仁化分中心</w:t>
            </w:r>
          </w:p>
          <w:p w14:paraId="06EEFFE9">
            <w:pPr>
              <w:widowControl w:val="0"/>
              <w:wordWrap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2"/>
                <w:szCs w:val="22"/>
                <w:highlight w:val="none"/>
                <w:lang w:val="en-US" w:eastAsia="zh-CN" w:bidi="ar-SA"/>
                <w14:textFill>
                  <w14:solidFill>
                    <w14:schemeClr w14:val="tx1"/>
                  </w14:solidFill>
                </w14:textFill>
              </w:rPr>
              <w:t>地址</w:t>
            </w:r>
            <w:r>
              <w:rPr>
                <w:rFonts w:hint="eastAsia" w:ascii="宋体" w:hAnsi="宋体" w:eastAsia="宋体" w:cs="宋体"/>
                <w:b w:val="0"/>
                <w:bCs/>
                <w:color w:val="000000" w:themeColor="text1"/>
                <w:kern w:val="2"/>
                <w:sz w:val="22"/>
                <w:szCs w:val="22"/>
                <w:highlight w:val="none"/>
                <w:lang w:val="en-US" w:eastAsia="zh-CN" w:bidi="ar-SA"/>
                <w14:textFill>
                  <w14:solidFill>
                    <w14:schemeClr w14:val="tx1"/>
                  </w14:solidFill>
                </w14:textFill>
              </w:rPr>
              <w:t>：仁化县丹霞大道228号11楼韶关市公共资源交易中心仁化分中心，具体房间号以当日现场通知为准。</w:t>
            </w:r>
          </w:p>
        </w:tc>
      </w:tr>
      <w:tr w14:paraId="73BCFA6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31"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3A39D641">
            <w:pPr>
              <w:widowControl/>
              <w:snapToGrid w:val="0"/>
              <w:spacing w:line="360" w:lineRule="auto"/>
              <w:jc w:val="center"/>
              <w:rPr>
                <w:rFonts w:hint="eastAsia" w:asciiTheme="minorEastAsia" w:hAnsiTheme="minorEastAsia" w:eastAsiaTheme="minorEastAsia" w:cstheme="minorEastAsia"/>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11</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5F81C7FF">
            <w:pPr>
              <w:widowControl w:val="0"/>
              <w:kinsoku/>
              <w:autoSpaceDE/>
              <w:autoSpaceDN/>
              <w:adjustRightInd w:val="0"/>
              <w:snapToGrid w:val="0"/>
              <w:spacing w:line="360" w:lineRule="auto"/>
              <w:jc w:val="center"/>
              <w:textAlignment w:val="auto"/>
              <w:rPr>
                <w:rFonts w:hint="eastAsia" w:asciiTheme="minorEastAsia" w:hAnsiTheme="minorEastAsia" w:eastAsiaTheme="minorEastAsia" w:cstheme="minorEastAsia"/>
                <w:snapToGrid/>
                <w:color w:val="000000" w:themeColor="text1"/>
                <w:kern w:val="2"/>
                <w:sz w:val="22"/>
                <w:szCs w:val="22"/>
                <w:highlight w:val="none"/>
                <w:lang w:eastAsia="zh-CN"/>
                <w14:textFill>
                  <w14:solidFill>
                    <w14:schemeClr w14:val="tx1"/>
                  </w14:solidFill>
                </w14:textFill>
              </w:rPr>
            </w:pPr>
            <w:r>
              <w:rPr>
                <w:rFonts w:hint="eastAsia" w:asciiTheme="minorEastAsia" w:hAnsiTheme="minorEastAsia" w:eastAsiaTheme="minorEastAsia" w:cstheme="minorEastAsia"/>
                <w:snapToGrid/>
                <w:color w:val="000000" w:themeColor="text1"/>
                <w:kern w:val="2"/>
                <w:sz w:val="22"/>
                <w:szCs w:val="22"/>
                <w:highlight w:val="none"/>
                <w:lang w:eastAsia="zh-CN"/>
                <w14:textFill>
                  <w14:solidFill>
                    <w14:schemeClr w14:val="tx1"/>
                  </w14:solidFill>
                </w14:textFill>
              </w:rPr>
              <w:t>备注</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1C9DE124">
            <w:pPr>
              <w:widowControl w:val="0"/>
              <w:kinsoku/>
              <w:autoSpaceDE/>
              <w:autoSpaceDN/>
              <w:adjustRightInd w:val="0"/>
              <w:snapToGrid w:val="0"/>
              <w:spacing w:line="360" w:lineRule="auto"/>
              <w:ind w:firstLine="440" w:firstLineChars="200"/>
              <w:jc w:val="both"/>
              <w:textAlignment w:val="auto"/>
              <w:rPr>
                <w:rFonts w:hint="eastAsia" w:asciiTheme="minorEastAsia" w:hAnsiTheme="minorEastAsia" w:eastAsiaTheme="minorEastAsia" w:cstheme="minorEastAsia"/>
                <w:snapToGrid/>
                <w:color w:val="000000" w:themeColor="text1"/>
                <w:kern w:val="2"/>
                <w:sz w:val="22"/>
                <w:szCs w:val="22"/>
                <w:highlight w:val="none"/>
                <w:lang w:eastAsia="zh-CN"/>
                <w14:textFill>
                  <w14:solidFill>
                    <w14:schemeClr w14:val="tx1"/>
                  </w14:solidFill>
                </w14:textFill>
              </w:rPr>
            </w:pPr>
            <w:r>
              <w:rPr>
                <w:rFonts w:hint="eastAsia" w:asciiTheme="minorEastAsia" w:hAnsiTheme="minorEastAsia" w:eastAsiaTheme="minorEastAsia" w:cstheme="minorEastAsia"/>
                <w:snapToGrid/>
                <w:color w:val="000000" w:themeColor="text1"/>
                <w:kern w:val="2"/>
                <w:sz w:val="22"/>
                <w:szCs w:val="22"/>
                <w:highlight w:val="none"/>
                <w:lang w:eastAsia="zh-CN"/>
                <w14:textFill>
                  <w14:solidFill>
                    <w14:schemeClr w14:val="tx1"/>
                  </w14:solidFill>
                </w14:textFill>
              </w:rPr>
              <w:t>投标人应按有关要求办理数字证书（CA）和企业入库、获取招标文件、资料文件及招标答疑书等。若由于投标人自身原因未能及时取得上述资料的，由此发生的任何责任由投标人自行承担。</w:t>
            </w:r>
          </w:p>
        </w:tc>
      </w:tr>
    </w:tbl>
    <w:p w14:paraId="192F682B">
      <w:pPr>
        <w:keepNext w:val="0"/>
        <w:keepLines w:val="0"/>
        <w:pageBreakBefore w:val="0"/>
        <w:tabs>
          <w:tab w:val="left" w:pos="8820"/>
        </w:tabs>
        <w:wordWrap w:val="0"/>
        <w:overflowPunct/>
        <w:topLinePunct w:val="0"/>
        <w:bidi w:val="0"/>
        <w:rPr>
          <w:rFonts w:hint="eastAsia" w:ascii="宋体" w:hAnsi="宋体" w:eastAsia="宋体" w:cs="宋体"/>
          <w:b w:val="0"/>
          <w:bCs w:val="0"/>
          <w:color w:val="000000" w:themeColor="text1"/>
          <w:spacing w:val="0"/>
          <w:sz w:val="24"/>
          <w:szCs w:val="24"/>
          <w:highlight w:val="none"/>
          <w14:textFill>
            <w14:solidFill>
              <w14:schemeClr w14:val="tx1"/>
            </w14:solidFill>
          </w14:textFill>
        </w:rPr>
        <w:sectPr>
          <w:headerReference r:id="rId7" w:type="default"/>
          <w:footerReference r:id="rId8" w:type="default"/>
          <w:pgSz w:w="11906" w:h="16839"/>
          <w:pgMar w:top="1440" w:right="1080" w:bottom="1440" w:left="1080" w:header="0" w:footer="1085" w:gutter="0"/>
          <w:pgBorders>
            <w:top w:val="none" w:sz="0" w:space="0"/>
            <w:left w:val="none" w:sz="0" w:space="0"/>
            <w:bottom w:val="none" w:sz="0" w:space="0"/>
            <w:right w:val="none" w:sz="0" w:space="0"/>
          </w:pgBorders>
          <w:pgNumType w:fmt="decimal"/>
          <w:cols w:space="720" w:num="1"/>
        </w:sectPr>
      </w:pPr>
    </w:p>
    <w:p w14:paraId="4035F05F">
      <w:pPr>
        <w:keepNext w:val="0"/>
        <w:keepLines w:val="0"/>
        <w:pageBreakBefore w:val="0"/>
        <w:wordWrap w:val="0"/>
        <w:overflowPunct/>
        <w:topLinePunct w:val="0"/>
        <w:bidi w:val="0"/>
        <w:jc w:val="center"/>
        <w:outlineLvl w:val="1"/>
        <w:rPr>
          <w:rFonts w:hint="eastAsia" w:ascii="宋体" w:hAnsi="宋体" w:eastAsia="宋体" w:cs="宋体"/>
          <w:color w:val="000000" w:themeColor="text1"/>
          <w:spacing w:val="0"/>
          <w:sz w:val="24"/>
          <w:szCs w:val="24"/>
          <w:highlight w:val="none"/>
          <w14:textFill>
            <w14:solidFill>
              <w14:schemeClr w14:val="tx1"/>
            </w14:solidFill>
          </w14:textFill>
        </w:rPr>
      </w:pPr>
      <w:bookmarkStart w:id="11" w:name="_Toc9437"/>
      <w:r>
        <w:rPr>
          <w:rFonts w:hint="eastAsia" w:ascii="宋体" w:hAnsi="宋体" w:eastAsia="宋体" w:cs="宋体"/>
          <w:b/>
          <w:bCs/>
          <w:color w:val="000000" w:themeColor="text1"/>
          <w:spacing w:val="0"/>
          <w:sz w:val="24"/>
          <w:szCs w:val="24"/>
          <w:highlight w:val="none"/>
          <w14:textFill>
            <w14:solidFill>
              <w14:schemeClr w14:val="tx1"/>
            </w14:solidFill>
          </w14:textFill>
        </w:rPr>
        <w:t>第三节</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投标人须知正文</w:t>
      </w:r>
      <w:bookmarkEnd w:id="11"/>
    </w:p>
    <w:p w14:paraId="5DD28753">
      <w:pPr>
        <w:pStyle w:val="5"/>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highlight w:val="none"/>
          <w14:textFill>
            <w14:solidFill>
              <w14:schemeClr w14:val="tx1"/>
            </w14:solidFill>
          </w14:textFill>
        </w:rPr>
      </w:pPr>
    </w:p>
    <w:p w14:paraId="217B4480">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0AF44FDE">
      <w:pPr>
        <w:keepNext w:val="0"/>
        <w:keepLines w:val="0"/>
        <w:pageBreakBefore w:val="0"/>
        <w:widowControl/>
        <w:suppressLineNumbers w:val="0"/>
        <w:wordWrap w:val="0"/>
        <w:overflowPunct/>
        <w:topLinePunct w:val="0"/>
        <w:bidi w:val="0"/>
        <w:spacing w:line="360" w:lineRule="auto"/>
        <w:ind w:right="-258" w:rightChars="-123" w:firstLine="480" w:firstLineChars="200"/>
        <w:jc w:val="lef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广东省韶关市仁化县全域人居环境整治建设项目（一期）--周田镇一标段</w:t>
      </w:r>
      <w:r>
        <w:rPr>
          <w:rFonts w:hint="eastAsia" w:ascii="宋体" w:hAnsi="宋体" w:eastAsia="宋体" w:cs="宋体"/>
          <w:color w:val="000000" w:themeColor="text1"/>
          <w:spacing w:val="0"/>
          <w:sz w:val="24"/>
          <w:szCs w:val="24"/>
          <w:highlight w:val="none"/>
          <w:u w:val="none"/>
          <w:lang w:val="en-US" w:eastAsia="zh-CN"/>
          <w14:textFill>
            <w14:solidFill>
              <w14:schemeClr w14:val="tx1"/>
            </w14:solidFill>
          </w14:textFill>
        </w:rPr>
        <w:t>业</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经</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仁化县发展改革和政务数据局</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以</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仁化县发展改革和政务数据局关于广东省韶关市仁化县典型镇示范带和示范镇建设项目可行性研究报告的批复</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仁发改和政数投审〔2025〕9号</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u w:val="singl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仁化县发展改革和政务数据局关于广东省韶关市仁化县典型镇示范带和示范镇建设项目变更的复函</w:t>
      </w:r>
      <w:r>
        <w:rPr>
          <w:rFonts w:hint="eastAsia" w:ascii="宋体" w:hAnsi="宋体" w:eastAsia="宋体" w:cs="宋体"/>
          <w:snapToGrid w:val="0"/>
          <w:color w:val="000000" w:themeColor="text1"/>
          <w:spacing w:val="0"/>
          <w:kern w:val="0"/>
          <w:sz w:val="24"/>
          <w:szCs w:val="24"/>
          <w:highlight w:val="none"/>
          <w:u w:val="singl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仁发改和政数投审〔2025〕100号</w:t>
      </w:r>
      <w:r>
        <w:rPr>
          <w:rFonts w:hint="eastAsia" w:ascii="宋体" w:hAnsi="宋体" w:eastAsia="宋体" w:cs="宋体"/>
          <w:snapToGrid w:val="0"/>
          <w:color w:val="000000" w:themeColor="text1"/>
          <w:spacing w:val="0"/>
          <w:kern w:val="0"/>
          <w:sz w:val="24"/>
          <w:szCs w:val="24"/>
          <w:highlight w:val="none"/>
          <w:u w:val="singl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仁化县发展改革和政务数据局关于广东省韶关市仁化县全域人居环境整治建设项目（一期）--周田镇一标段项目初步设计概算的批复</w:t>
      </w:r>
      <w:r>
        <w:rPr>
          <w:rFonts w:hint="eastAsia" w:ascii="宋体" w:hAnsi="宋体" w:eastAsia="宋体" w:cs="宋体"/>
          <w:snapToGrid w:val="0"/>
          <w:color w:val="000000" w:themeColor="text1"/>
          <w:spacing w:val="0"/>
          <w:kern w:val="0"/>
          <w:sz w:val="24"/>
          <w:szCs w:val="24"/>
          <w:highlight w:val="none"/>
          <w:u w:val="singl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仁发改和政数投审〔2026〕64号</w:t>
      </w:r>
      <w:r>
        <w:rPr>
          <w:rFonts w:hint="eastAsia" w:ascii="宋体" w:hAnsi="宋体" w:eastAsia="宋体" w:cs="宋体"/>
          <w:snapToGrid w:val="0"/>
          <w:color w:val="000000" w:themeColor="text1"/>
          <w:spacing w:val="0"/>
          <w:kern w:val="0"/>
          <w:sz w:val="24"/>
          <w:szCs w:val="24"/>
          <w:highlight w:val="none"/>
          <w:u w:val="singl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批准建设，项目代码为</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2502-440224-04-01-128561、2603-440224-04-01-116739</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。本项目业主为</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仁化县周田镇人民政府</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，建设资金来自</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上级资金和县级财政资金安排解决</w:t>
      </w:r>
      <w:r>
        <w:rPr>
          <w:rFonts w:hint="eastAsia" w:ascii="宋体" w:hAnsi="宋体" w:eastAsia="宋体" w:cs="宋体"/>
          <w:snapToGrid w:val="0"/>
          <w:color w:val="000000" w:themeColor="text1"/>
          <w:spacing w:val="0"/>
          <w:kern w:val="0"/>
          <w:sz w:val="24"/>
          <w:szCs w:val="24"/>
          <w:highlight w:val="none"/>
          <w:u w:val="non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出资比例为</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100%</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招标人为</w:t>
      </w:r>
      <w:r>
        <w:rPr>
          <w:rFonts w:hint="eastAsia" w:ascii="宋体" w:hAnsi="宋体" w:eastAsia="宋体" w:cs="宋体"/>
          <w:snapToGrid w:val="0"/>
          <w:color w:val="000000" w:themeColor="text1"/>
          <w:spacing w:val="0"/>
          <w:kern w:val="0"/>
          <w:sz w:val="24"/>
          <w:szCs w:val="24"/>
          <w:highlight w:val="none"/>
          <w:u w:val="single"/>
          <w:lang w:eastAsia="zh-CN"/>
          <w14:textFill>
            <w14:solidFill>
              <w14:schemeClr w14:val="tx1"/>
            </w14:solidFill>
          </w14:textFill>
        </w:rPr>
        <w:t>仁化县周田镇人民政府</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，招标代理机构为</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成致项目管理有限公司</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。项目已具备招标条件，现对该项目的</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工程</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施工</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进行公开招标。</w:t>
      </w:r>
    </w:p>
    <w:p w14:paraId="238EB322">
      <w:pPr>
        <w:keepNext w:val="0"/>
        <w:keepLines w:val="0"/>
        <w:pageBreakBefore w:val="0"/>
        <w:widowControl/>
        <w:kinsoku w:val="0"/>
        <w:wordWrap w:val="0"/>
        <w:overflowPunct/>
        <w:topLinePunct w:val="0"/>
        <w:autoSpaceDE w:val="0"/>
        <w:autoSpaceDN w:val="0"/>
        <w:bidi w:val="0"/>
        <w:adjustRightInd w:val="0"/>
        <w:snapToGrid w:val="0"/>
        <w:spacing w:line="220" w:lineRule="auto"/>
        <w:ind w:left="496"/>
        <w:textAlignment w:val="baseline"/>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2" w:name="bookmark52"/>
      <w:bookmarkEnd w:id="12"/>
      <w:bookmarkStart w:id="13" w:name="bookmark59"/>
      <w:bookmarkEnd w:id="13"/>
      <w:bookmarkStart w:id="14" w:name="bookmark73"/>
      <w:bookmarkEnd w:id="14"/>
      <w:bookmarkStart w:id="15" w:name="_Toc15993"/>
      <w:bookmarkStart w:id="16" w:name="_Toc30196"/>
      <w:r>
        <w:rPr>
          <w:rFonts w:hint="eastAsia" w:ascii="宋体" w:hAnsi="宋体" w:eastAsia="宋体" w:cs="宋体"/>
          <w:b/>
          <w:bCs/>
          <w:color w:val="000000" w:themeColor="text1"/>
          <w:spacing w:val="0"/>
          <w:sz w:val="24"/>
          <w:szCs w:val="24"/>
          <w:highlight w:val="none"/>
          <w14:textFill>
            <w14:solidFill>
              <w14:schemeClr w14:val="tx1"/>
            </w14:solidFill>
          </w14:textFill>
        </w:rPr>
        <w:t>1 ．项目概况、招标范围和标段划分、投标费用等</w:t>
      </w:r>
      <w:bookmarkEnd w:id="15"/>
      <w:bookmarkEnd w:id="16"/>
    </w:p>
    <w:p w14:paraId="26BED16D">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  </w:t>
      </w:r>
      <w:r>
        <w:rPr>
          <w:rFonts w:hint="eastAsia" w:ascii="宋体" w:hAnsi="宋体" w:eastAsia="宋体" w:cs="宋体"/>
          <w:color w:val="000000" w:themeColor="text1"/>
          <w:spacing w:val="0"/>
          <w:sz w:val="24"/>
          <w:szCs w:val="24"/>
          <w:highlight w:val="none"/>
          <w14:textFill>
            <w14:solidFill>
              <w14:schemeClr w14:val="tx1"/>
            </w14:solidFill>
          </w14:textFill>
        </w:rPr>
        <w:t>项目概况</w:t>
      </w:r>
    </w:p>
    <w:p w14:paraId="33A0C0A8">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1.1.1  </w:t>
      </w:r>
      <w:r>
        <w:rPr>
          <w:rFonts w:hint="eastAsia" w:ascii="宋体" w:hAnsi="宋体" w:eastAsia="宋体" w:cs="宋体"/>
          <w:color w:val="000000" w:themeColor="text1"/>
          <w:spacing w:val="0"/>
          <w:sz w:val="24"/>
          <w:szCs w:val="24"/>
          <w:highlight w:val="none"/>
          <w14:textFill>
            <w14:solidFill>
              <w14:schemeClr w14:val="tx1"/>
            </w14:solidFill>
          </w14:textFill>
        </w:rPr>
        <w:t>建设地点：</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仁化县周田镇</w:t>
      </w:r>
    </w:p>
    <w:p w14:paraId="3B072489">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1.1.2  </w:t>
      </w:r>
      <w:r>
        <w:rPr>
          <w:rFonts w:hint="eastAsia" w:ascii="宋体" w:hAnsi="宋体" w:eastAsia="宋体" w:cs="宋体"/>
          <w:color w:val="000000" w:themeColor="text1"/>
          <w:spacing w:val="0"/>
          <w:sz w:val="24"/>
          <w:szCs w:val="24"/>
          <w:highlight w:val="none"/>
          <w14:textFill>
            <w14:solidFill>
              <w14:schemeClr w14:val="tx1"/>
            </w14:solidFill>
          </w14:textFill>
        </w:rPr>
        <w:t>建设内容和规模：</w:t>
      </w:r>
    </w:p>
    <w:p w14:paraId="337CC6CD">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0"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周田镇灵溪河沿岸整治建设工程；周田镇人居环境整治提升工程（雷坑村、龙坑村、台滩村)；周田镇综合停车场工程；周田镇人居环境整治提升工程（韶仁路）；周田镇标志性照明工程；周田镇充电桩工程等。占地面积约为63497平方米</w:t>
      </w:r>
    </w:p>
    <w:p w14:paraId="582D5F1D">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1.1.3  </w:t>
      </w:r>
      <w:r>
        <w:rPr>
          <w:rFonts w:hint="eastAsia" w:ascii="宋体" w:hAnsi="宋体" w:eastAsia="宋体" w:cs="宋体"/>
          <w:color w:val="000000" w:themeColor="text1"/>
          <w:spacing w:val="0"/>
          <w:sz w:val="24"/>
          <w:szCs w:val="24"/>
          <w:highlight w:val="none"/>
          <w14:textFill>
            <w14:solidFill>
              <w14:schemeClr w14:val="tx1"/>
            </w14:solidFill>
          </w14:textFill>
        </w:rPr>
        <w:t>项目总投资</w:t>
      </w:r>
      <w:r>
        <w:rPr>
          <w:rStyle w:val="26"/>
          <w:rFonts w:hint="eastAsia" w:ascii="宋体" w:hAnsi="宋体" w:eastAsia="宋体" w:cs="宋体"/>
          <w:color w:val="000000" w:themeColor="text1"/>
          <w:spacing w:val="0"/>
          <w:kern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项目概算总投资1920.00万元，其中工程费用1793.24万元、工程建设其他费用106.77万元、预备费用19.99万元。</w:t>
      </w:r>
    </w:p>
    <w:p w14:paraId="16BD1157">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u w:val="none"/>
          <w:lang w:val="en-US" w:eastAsia="zh-CN"/>
          <w14:textFill>
            <w14:solidFill>
              <w14:schemeClr w14:val="tx1"/>
            </w14:solidFill>
          </w14:textFill>
        </w:rPr>
        <w:t xml:space="preserve">1.2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招标范围和标段划分</w:t>
      </w:r>
    </w:p>
    <w:p w14:paraId="03788986">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1.2.1  </w:t>
      </w:r>
      <w:r>
        <w:rPr>
          <w:rFonts w:hint="eastAsia" w:ascii="宋体" w:hAnsi="宋体" w:eastAsia="宋体" w:cs="宋体"/>
          <w:color w:val="000000" w:themeColor="text1"/>
          <w:spacing w:val="0"/>
          <w:sz w:val="24"/>
          <w:szCs w:val="24"/>
          <w:highlight w:val="none"/>
          <w14:textFill>
            <w14:solidFill>
              <w14:schemeClr w14:val="tx1"/>
            </w14:solidFill>
          </w14:textFill>
        </w:rPr>
        <w:t>招标范围：</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按审查合格的施工图纸及工程量清单内容施工。</w:t>
      </w:r>
    </w:p>
    <w:p w14:paraId="0DFB5F34">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7" w:name="_Toc14190"/>
      <w:bookmarkStart w:id="18" w:name="_Toc24593"/>
      <w:bookmarkStart w:id="19" w:name="_Toc20855"/>
      <w:bookmarkStart w:id="20" w:name="_Toc28202"/>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  </w:t>
      </w:r>
      <w:r>
        <w:rPr>
          <w:rFonts w:hint="eastAsia" w:ascii="宋体" w:hAnsi="宋体" w:eastAsia="宋体" w:cs="宋体"/>
          <w:color w:val="000000" w:themeColor="text1"/>
          <w:spacing w:val="0"/>
          <w:sz w:val="24"/>
          <w:szCs w:val="24"/>
          <w:highlight w:val="none"/>
          <w14:textFill>
            <w14:solidFill>
              <w14:schemeClr w14:val="tx1"/>
            </w14:solidFill>
          </w14:textFill>
        </w:rPr>
        <w:t>标段划分：本招标项目不划分标段。</w:t>
      </w:r>
      <w:bookmarkEnd w:id="17"/>
      <w:bookmarkEnd w:id="18"/>
      <w:bookmarkEnd w:id="19"/>
      <w:bookmarkEnd w:id="20"/>
    </w:p>
    <w:p w14:paraId="3BE6141C">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  </w:t>
      </w:r>
      <w:r>
        <w:rPr>
          <w:rFonts w:hint="eastAsia" w:ascii="宋体" w:hAnsi="宋体" w:eastAsia="宋体" w:cs="宋体"/>
          <w:color w:val="000000" w:themeColor="text1"/>
          <w:spacing w:val="0"/>
          <w:sz w:val="24"/>
          <w:szCs w:val="24"/>
          <w:highlight w:val="none"/>
          <w14:textFill>
            <w14:solidFill>
              <w14:schemeClr w14:val="tx1"/>
            </w14:solidFill>
          </w14:textFill>
        </w:rPr>
        <w:t>投标费用：投标人应承担所有准备和参加投标的相关费用，不论投标结果如何，招标人均无义务和责任承担这些费用。</w:t>
      </w:r>
    </w:p>
    <w:p w14:paraId="6DC29DD6">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招标代理费用：  </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shd w:val="clear" w:color="auto" w:fill="FFFFFF"/>
          <w14:textFill>
            <w14:solidFill>
              <w14:schemeClr w14:val="tx1"/>
            </w14:solidFill>
          </w14:textFill>
        </w:rPr>
        <w:t xml:space="preserve"> 由</w:t>
      </w:r>
      <w:r>
        <w:rPr>
          <w:rFonts w:hint="eastAsia" w:ascii="宋体" w:hAnsi="宋体" w:eastAsia="宋体" w:cs="宋体"/>
          <w:color w:val="000000" w:themeColor="text1"/>
          <w:spacing w:val="0"/>
          <w:sz w:val="24"/>
          <w:szCs w:val="24"/>
          <w:highlight w:val="none"/>
          <w14:textFill>
            <w14:solidFill>
              <w14:schemeClr w14:val="tx1"/>
            </w14:solidFill>
          </w14:textFill>
        </w:rPr>
        <w:t>项目业主</w:t>
      </w:r>
      <w:r>
        <w:rPr>
          <w:rFonts w:hint="eastAsia" w:ascii="宋体" w:hAnsi="宋体" w:eastAsia="宋体" w:cs="宋体"/>
          <w:color w:val="000000" w:themeColor="text1"/>
          <w:spacing w:val="0"/>
          <w:sz w:val="24"/>
          <w:szCs w:val="24"/>
          <w:highlight w:val="none"/>
          <w:shd w:val="clear" w:color="auto" w:fill="FFFFFF"/>
          <w14:textFill>
            <w14:solidFill>
              <w14:schemeClr w14:val="tx1"/>
            </w14:solidFill>
          </w14:textFill>
        </w:rPr>
        <w:t>支</w:t>
      </w:r>
      <w:r>
        <w:rPr>
          <w:rFonts w:hint="eastAsia" w:ascii="宋体" w:hAnsi="宋体" w:eastAsia="宋体" w:cs="宋体"/>
          <w:color w:val="000000" w:themeColor="text1"/>
          <w:spacing w:val="0"/>
          <w:sz w:val="24"/>
          <w:szCs w:val="24"/>
          <w:highlight w:val="none"/>
          <w14:textFill>
            <w14:solidFill>
              <w14:schemeClr w14:val="tx1"/>
            </w14:solidFill>
          </w14:textFill>
        </w:rPr>
        <w:t>付</w:t>
      </w:r>
      <w:r>
        <w:rPr>
          <w:rFonts w:hint="eastAsia" w:ascii="宋体" w:hAnsi="宋体" w:eastAsia="宋体" w:cs="宋体"/>
          <w:color w:val="000000" w:themeColor="text1"/>
          <w:spacing w:val="0"/>
          <w:position w:val="-6"/>
          <w:sz w:val="24"/>
          <w:szCs w:val="24"/>
          <w:highlight w:val="none"/>
          <w:shd w:val="clear" w:color="auto" w:fill="FFFFFF"/>
          <w:lang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shd w:val="clear" w:color="auto" w:fill="FFFFFF"/>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shd w:val="clear" w:color="auto" w:fill="FFFFFF"/>
          <w14:textFill>
            <w14:solidFill>
              <w14:schemeClr w14:val="tx1"/>
            </w14:solidFill>
          </w14:textFill>
        </w:rPr>
        <w:t xml:space="preserve"> 由中标人支付。</w:t>
      </w:r>
    </w:p>
    <w:p w14:paraId="3514024E">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jc w:val="left"/>
        <w:textAlignment w:val="baseline"/>
        <w:outlineLvl w:val="2"/>
        <w:rPr>
          <w:rFonts w:hint="eastAsia" w:ascii="宋体" w:hAnsi="宋体" w:eastAsia="宋体" w:cs="宋体"/>
          <w:b w:val="0"/>
          <w:bCs w:val="0"/>
          <w:color w:val="000000" w:themeColor="text1"/>
          <w:spacing w:val="0"/>
          <w:sz w:val="24"/>
          <w:szCs w:val="24"/>
          <w:highlight w:val="none"/>
          <w14:textFill>
            <w14:solidFill>
              <w14:schemeClr w14:val="tx1"/>
            </w14:solidFill>
          </w14:textFill>
        </w:rPr>
      </w:pPr>
      <w:bookmarkStart w:id="21" w:name="_Toc6096"/>
      <w:r>
        <w:rPr>
          <w:rFonts w:hint="eastAsia" w:ascii="宋体" w:hAnsi="宋体" w:eastAsia="宋体" w:cs="宋体"/>
          <w:b/>
          <w:bCs/>
          <w:color w:val="000000" w:themeColor="text1"/>
          <w:spacing w:val="0"/>
          <w:sz w:val="24"/>
          <w:szCs w:val="24"/>
          <w:highlight w:val="none"/>
          <w14:textFill>
            <w14:solidFill>
              <w14:schemeClr w14:val="tx1"/>
            </w14:solidFill>
          </w14:textFill>
        </w:rPr>
        <w:t>2．</w:t>
      </w:r>
      <w:r>
        <w:rPr>
          <w:rFonts w:hint="eastAsia" w:ascii="宋体" w:hAnsi="宋体" w:eastAsia="宋体" w:cs="宋体"/>
          <w:b w:val="0"/>
          <w:bCs w:val="0"/>
          <w:color w:val="000000" w:themeColor="text1"/>
          <w:spacing w:val="0"/>
          <w:sz w:val="24"/>
          <w:szCs w:val="24"/>
          <w:highlight w:val="none"/>
          <w:lang w:eastAsia="zh-CN"/>
          <w14:textFill>
            <w14:solidFill>
              <w14:schemeClr w14:val="tx1"/>
            </w14:solidFill>
          </w14:textFill>
        </w:rPr>
        <w:t>投标人</w:t>
      </w:r>
      <w:r>
        <w:rPr>
          <w:rFonts w:hint="eastAsia" w:ascii="宋体" w:hAnsi="宋体" w:eastAsia="宋体" w:cs="宋体"/>
          <w:b w:val="0"/>
          <w:bCs w:val="0"/>
          <w:color w:val="000000" w:themeColor="text1"/>
          <w:spacing w:val="0"/>
          <w:sz w:val="24"/>
          <w:szCs w:val="24"/>
          <w:highlight w:val="none"/>
          <w14:textFill>
            <w14:solidFill>
              <w14:schemeClr w14:val="tx1"/>
            </w14:solidFill>
          </w14:textFill>
        </w:rPr>
        <w:t>资质要求</w:t>
      </w:r>
      <w:bookmarkEnd w:id="21"/>
    </w:p>
    <w:p w14:paraId="0B6753F0">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0"/>
          <w:kern w:val="0"/>
          <w:sz w:val="24"/>
          <w:szCs w:val="24"/>
          <w:highlight w:val="none"/>
          <w:lang w:val="en-US" w:eastAsia="zh-CN" w:bidi="ar-SA"/>
          <w14:textFill>
            <w14:solidFill>
              <w14:schemeClr w14:val="tx1"/>
            </w14:solidFill>
          </w14:textFill>
        </w:rPr>
        <w:t>2.1</w:t>
      </w:r>
      <w:r>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t xml:space="preserve"> 本次招标</w:t>
      </w:r>
      <w:r>
        <w:rPr>
          <w:rFonts w:hint="eastAsia" w:ascii="宋体" w:hAnsi="宋体" w:eastAsia="宋体" w:cs="宋体"/>
          <w:b/>
          <w:bCs/>
          <w:color w:val="000000" w:themeColor="text1"/>
          <w:spacing w:val="0"/>
          <w:kern w:val="0"/>
          <w:sz w:val="24"/>
          <w:szCs w:val="24"/>
          <w:highlight w:val="none"/>
          <w:lang w:val="en-US" w:eastAsia="zh-CN" w:bidi="ar-SA"/>
          <w14:textFill>
            <w14:solidFill>
              <w14:schemeClr w14:val="tx1"/>
            </w14:solidFill>
          </w14:textFill>
        </w:rPr>
        <w:t>不接受</w:t>
      </w:r>
      <w:r>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t>联合体投标。</w:t>
      </w:r>
    </w:p>
    <w:p w14:paraId="26DA6CF0">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0"/>
          <w:kern w:val="0"/>
          <w:sz w:val="24"/>
          <w:szCs w:val="24"/>
          <w:highlight w:val="none"/>
          <w:lang w:val="en-US" w:eastAsia="zh-CN" w:bidi="ar-SA"/>
          <w14:textFill>
            <w14:solidFill>
              <w14:schemeClr w14:val="tx1"/>
            </w14:solidFill>
          </w14:textFill>
        </w:rPr>
        <w:t>2.2</w:t>
      </w:r>
      <w:r>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t xml:space="preserve"> 资格资质要求</w:t>
      </w:r>
    </w:p>
    <w:p w14:paraId="598EC804">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0"/>
          <w:kern w:val="0"/>
          <w:sz w:val="24"/>
          <w:szCs w:val="24"/>
          <w:highlight w:val="none"/>
          <w:lang w:val="en-US" w:eastAsia="zh-CN" w:bidi="ar-SA"/>
          <w14:textFill>
            <w14:solidFill>
              <w14:schemeClr w14:val="tx1"/>
            </w14:solidFill>
          </w14:textFill>
        </w:rPr>
        <w:t>2.2.1</w:t>
      </w:r>
      <w:r>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t xml:space="preserve"> 投标人须具备独立法人资格，按国家法律经营。</w:t>
      </w:r>
    </w:p>
    <w:p w14:paraId="014575D1">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0"/>
          <w:kern w:val="0"/>
          <w:sz w:val="24"/>
          <w:szCs w:val="24"/>
          <w:highlight w:val="none"/>
          <w:lang w:val="en-US" w:eastAsia="zh-CN" w:bidi="ar-SA"/>
          <w14:textFill>
            <w14:solidFill>
              <w14:schemeClr w14:val="tx1"/>
            </w14:solidFill>
          </w14:textFill>
        </w:rPr>
        <w:t>2.2.2</w:t>
      </w:r>
      <w:r>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t xml:space="preserve"> 投标人须持有建设行政主管部门颁发的企业资质证书及安全生产许可证。</w:t>
      </w:r>
    </w:p>
    <w:p w14:paraId="18EA7E80">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0"/>
          <w:kern w:val="0"/>
          <w:sz w:val="24"/>
          <w:szCs w:val="24"/>
          <w:highlight w:val="none"/>
          <w:lang w:val="en-US" w:eastAsia="zh-CN" w:bidi="ar-SA"/>
          <w14:textFill>
            <w14:solidFill>
              <w14:schemeClr w14:val="tx1"/>
            </w14:solidFill>
          </w14:textFill>
        </w:rPr>
        <w:t xml:space="preserve">2.2.3 </w:t>
      </w:r>
      <w:r>
        <w:rPr>
          <w:rFonts w:hint="eastAsia" w:ascii="宋体" w:hAnsi="宋体" w:eastAsia="宋体" w:cs="宋体"/>
          <w:snapToGrid w:val="0"/>
          <w:color w:val="000000" w:themeColor="text1"/>
          <w:spacing w:val="0"/>
          <w:kern w:val="0"/>
          <w:sz w:val="24"/>
          <w:szCs w:val="24"/>
          <w:highlight w:val="none"/>
          <w:lang w:eastAsia="zh-CN" w:bidi="ar-SA"/>
          <w14:textFill>
            <w14:solidFill>
              <w14:schemeClr w14:val="tx1"/>
            </w14:solidFill>
          </w14:textFill>
        </w:rPr>
        <w:t>投标人须具备以下资质：具有建设行政主管部门颁发的</w:t>
      </w:r>
      <w:r>
        <w:rPr>
          <w:rFonts w:hint="eastAsia" w:ascii="宋体" w:hAnsi="宋体" w:eastAsia="宋体" w:cs="宋体"/>
          <w:snapToGrid w:val="0"/>
          <w:color w:val="000000" w:themeColor="text1"/>
          <w:spacing w:val="0"/>
          <w:kern w:val="0"/>
          <w:sz w:val="24"/>
          <w:szCs w:val="24"/>
          <w:highlight w:val="none"/>
          <w:u w:val="single"/>
          <w:lang w:eastAsia="zh-CN" w:bidi="ar-SA"/>
          <w14:textFill>
            <w14:solidFill>
              <w14:schemeClr w14:val="tx1"/>
            </w14:solidFill>
          </w14:textFill>
        </w:rPr>
        <w:t>市政公用工程施工总承包</w:t>
      </w:r>
      <w:r>
        <w:rPr>
          <w:rFonts w:hint="eastAsia" w:ascii="宋体" w:hAnsi="宋体" w:eastAsia="宋体" w:cs="宋体"/>
          <w:snapToGrid w:val="0"/>
          <w:color w:val="000000" w:themeColor="text1"/>
          <w:spacing w:val="0"/>
          <w:kern w:val="0"/>
          <w:sz w:val="24"/>
          <w:szCs w:val="24"/>
          <w:highlight w:val="none"/>
          <w:lang w:val="en-US" w:eastAsia="zh-CN" w:bidi="ar-SA"/>
          <w14:textFill>
            <w14:solidFill>
              <w14:schemeClr w14:val="tx1"/>
            </w14:solidFill>
          </w14:textFill>
        </w:rPr>
        <w:t>三</w:t>
      </w:r>
      <w:r>
        <w:rPr>
          <w:rFonts w:hint="eastAsia" w:ascii="宋体" w:hAnsi="宋体" w:eastAsia="宋体" w:cs="宋体"/>
          <w:snapToGrid w:val="0"/>
          <w:color w:val="000000" w:themeColor="text1"/>
          <w:spacing w:val="0"/>
          <w:kern w:val="0"/>
          <w:sz w:val="24"/>
          <w:szCs w:val="24"/>
          <w:highlight w:val="none"/>
          <w:lang w:eastAsia="zh-CN" w:bidi="ar-SA"/>
          <w14:textFill>
            <w14:solidFill>
              <w14:schemeClr w14:val="tx1"/>
            </w14:solidFill>
          </w14:textFill>
        </w:rPr>
        <w:t>级以上（含</w:t>
      </w:r>
      <w:r>
        <w:rPr>
          <w:rFonts w:hint="eastAsia" w:ascii="宋体" w:hAnsi="宋体" w:eastAsia="宋体" w:cs="宋体"/>
          <w:snapToGrid w:val="0"/>
          <w:color w:val="000000" w:themeColor="text1"/>
          <w:spacing w:val="0"/>
          <w:kern w:val="0"/>
          <w:sz w:val="24"/>
          <w:szCs w:val="24"/>
          <w:highlight w:val="none"/>
          <w:lang w:val="en-US" w:eastAsia="zh-CN" w:bidi="ar-SA"/>
          <w14:textFill>
            <w14:solidFill>
              <w14:schemeClr w14:val="tx1"/>
            </w14:solidFill>
          </w14:textFill>
        </w:rPr>
        <w:t>三</w:t>
      </w:r>
      <w:r>
        <w:rPr>
          <w:rFonts w:hint="eastAsia" w:ascii="宋体" w:hAnsi="宋体" w:eastAsia="宋体" w:cs="宋体"/>
          <w:snapToGrid w:val="0"/>
          <w:color w:val="000000" w:themeColor="text1"/>
          <w:spacing w:val="0"/>
          <w:kern w:val="0"/>
          <w:sz w:val="24"/>
          <w:szCs w:val="24"/>
          <w:highlight w:val="none"/>
          <w:lang w:eastAsia="zh-CN" w:bidi="ar-SA"/>
          <w14:textFill>
            <w14:solidFill>
              <w14:schemeClr w14:val="tx1"/>
            </w14:solidFill>
          </w14:textFill>
        </w:rPr>
        <w:t>级）资质。</w:t>
      </w:r>
    </w:p>
    <w:p w14:paraId="09954442">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pacing w:val="0"/>
          <w:kern w:val="0"/>
          <w:sz w:val="24"/>
          <w:szCs w:val="24"/>
          <w:highlight w:val="none"/>
          <w:lang w:val="en-US" w:eastAsia="zh-CN" w:bidi="ar-SA"/>
          <w14:textFill>
            <w14:solidFill>
              <w14:schemeClr w14:val="tx1"/>
            </w14:solidFill>
          </w14:textFill>
        </w:rPr>
        <w:t>2.2.4</w:t>
      </w:r>
      <w:r>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t xml:space="preserve">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2F9CF9A1">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2.3</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相关人员要求</w:t>
      </w:r>
    </w:p>
    <w:p w14:paraId="49155701">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 xml:space="preserve">2.3.1 </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拟派项目经理为</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市政公用工程</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专业一级或二级注册建造师，应持有住建部门印发的在使用有效期内的有效电子注册证书（根据广东省住房和城乡建设厅（粤建市函〔2023〕469号）文件精神，二级注册建造师可随注册企业在全国范围内执业）。同时均须具备有效安全生产考核合格证明（B证），且未担任其他在施（包括已中标未开工、已开工未竣工）建设工程项目的项目经理。</w:t>
      </w:r>
    </w:p>
    <w:p w14:paraId="5F0FE099">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2.3.2</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拟派项目技术负责人须具备</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市政工程</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相关专业</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中</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级以上（含</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中</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级）技术职称。</w:t>
      </w:r>
    </w:p>
    <w:p w14:paraId="4A2C1918">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 xml:space="preserve">2.3.3 </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投标人拟派专职安全生产管理人员须具备有效安全生产考核合格证明（C证，安全生产考核合格证书或“广东省建筑施工企业管理人员安全生产考核系统”考核合格信息打印页），且不少于</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 xml:space="preserve"> 1 </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人。</w:t>
      </w:r>
    </w:p>
    <w:p w14:paraId="4F82BDFF">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2.3.4</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投标人（包括组成联合体的所有成员单位）与其拟派往本项目管理机构的所有人员之间必须具备合法、唯一的劳动聘用关系。拟派人员中具备注册执业资格的，其注册单位须与投标人保持一致。</w:t>
      </w:r>
    </w:p>
    <w:p w14:paraId="6B5D9824">
      <w:pPr>
        <w:keepNext w:val="0"/>
        <w:keepLines w:val="0"/>
        <w:pageBreakBefore w:val="0"/>
        <w:wordWrap w:val="0"/>
        <w:overflowPunct/>
        <w:topLinePunct w:val="0"/>
        <w:bidi w:val="0"/>
        <w:spacing w:before="78" w:line="220" w:lineRule="auto"/>
        <w:ind w:left="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禁止投标条款</w:t>
      </w:r>
    </w:p>
    <w:p w14:paraId="4F43481F">
      <w:pPr>
        <w:keepNext w:val="0"/>
        <w:keepLines w:val="0"/>
        <w:pageBreakBefore w:val="0"/>
        <w:wordWrap w:val="0"/>
        <w:overflowPunct/>
        <w:topLinePunct w:val="0"/>
        <w:bidi w:val="0"/>
        <w:spacing w:before="153" w:line="220" w:lineRule="auto"/>
        <w:ind w:left="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2.4.1  </w:t>
      </w:r>
      <w:r>
        <w:rPr>
          <w:rFonts w:hint="eastAsia" w:ascii="宋体" w:hAnsi="宋体" w:eastAsia="宋体" w:cs="宋体"/>
          <w:color w:val="000000" w:themeColor="text1"/>
          <w:spacing w:val="0"/>
          <w:sz w:val="24"/>
          <w:szCs w:val="24"/>
          <w:highlight w:val="none"/>
          <w14:textFill>
            <w14:solidFill>
              <w14:schemeClr w14:val="tx1"/>
            </w14:solidFill>
          </w14:textFill>
        </w:rPr>
        <w:t>投标人不得存在下列情形之一：</w:t>
      </w:r>
    </w:p>
    <w:p w14:paraId="5ECD680F">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（1）为招标人不具有独立法人资格的附属机构（单位）；</w:t>
      </w:r>
    </w:p>
    <w:p w14:paraId="7BE80EB7">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（2）为本招标项目前期准备提供设计或咨询服务的；</w:t>
      </w:r>
    </w:p>
    <w:p w14:paraId="0466C218">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（3）与本招标项目的其他投标人为同一个单位负责人；</w:t>
      </w:r>
    </w:p>
    <w:p w14:paraId="51978EC7">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（4）与本招标项目的其他投标人存在控股、管理关系；</w:t>
      </w:r>
    </w:p>
    <w:p w14:paraId="27DE5D51">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（5）为本招标项目的监理人；</w:t>
      </w:r>
    </w:p>
    <w:p w14:paraId="01E2A759">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（6）为本招标项目的代建人；</w:t>
      </w:r>
    </w:p>
    <w:p w14:paraId="3F4CE4E0">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（7）为本招标项目的招标代理机构；</w:t>
      </w:r>
    </w:p>
    <w:p w14:paraId="32DC1C8C">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（8）与本招标项目的监理人或代建人或招标代理机构同为一个 法定代表人；</w:t>
      </w:r>
    </w:p>
    <w:p w14:paraId="356D5091">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（9）与本招标项目的监理人或代建人或招标代理机构存在控股或参股关系；</w:t>
      </w:r>
    </w:p>
    <w:p w14:paraId="1F6F6AFF">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（10）与本招标项目的监理人或代建人或招标代理机构存在相互任职或工作关系；</w:t>
      </w:r>
    </w:p>
    <w:p w14:paraId="62615967">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（11）被依法暂停或者取消投标资格；</w:t>
      </w:r>
    </w:p>
    <w:p w14:paraId="51CC66B8">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（12）被责令停产停业、暂扣或者吊销许可证、暂扣或者吊销执照；</w:t>
      </w:r>
    </w:p>
    <w:p w14:paraId="4D4EA795">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（13）进入清算程序，或被宣告破产，或其他丧失履约能力的情形；</w:t>
      </w:r>
    </w:p>
    <w:p w14:paraId="742CE9C2">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（14）在最近三年内发生重大工程质量或安全问题（以相关行业主管部门的行政处罚决定或司法机关出具的有关法律文书为准）；</w:t>
      </w:r>
    </w:p>
    <w:p w14:paraId="5FDD5BCF">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（15）被“信用中国 ”网站（https://www.creditchina.gov.cn）发布的《法人和非法人组织公共信用信息报告》列为严重失信主体名单的。</w:t>
      </w:r>
    </w:p>
    <w:p w14:paraId="28B49AD7">
      <w:pPr>
        <w:keepNext w:val="0"/>
        <w:keepLines w:val="0"/>
        <w:pageBreakBefore w:val="0"/>
        <w:wordWrap w:val="0"/>
        <w:overflowPunct/>
        <w:topLinePunct w:val="0"/>
        <w:bidi w:val="0"/>
        <w:spacing w:before="155" w:line="219" w:lineRule="auto"/>
        <w:ind w:left="70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2.4.2  </w:t>
      </w:r>
      <w:r>
        <w:rPr>
          <w:rFonts w:hint="eastAsia" w:ascii="宋体" w:hAnsi="宋体" w:eastAsia="宋体" w:cs="宋体"/>
          <w:color w:val="000000" w:themeColor="text1"/>
          <w:spacing w:val="0"/>
          <w:sz w:val="24"/>
          <w:szCs w:val="24"/>
          <w:highlight w:val="none"/>
          <w14:textFill>
            <w14:solidFill>
              <w14:schemeClr w14:val="tx1"/>
            </w14:solidFill>
          </w14:textFill>
        </w:rPr>
        <w:t>招标人拒绝以下名单中的单位参加本次投标：</w:t>
      </w:r>
    </w:p>
    <w:tbl>
      <w:tblPr>
        <w:tblStyle w:val="14"/>
        <w:tblW w:w="9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3772"/>
        <w:gridCol w:w="5338"/>
      </w:tblGrid>
      <w:tr w14:paraId="2635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8" w:type="dxa"/>
            <w:vAlign w:val="center"/>
          </w:tcPr>
          <w:p w14:paraId="2E257EED">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序号</w:t>
            </w:r>
          </w:p>
        </w:tc>
        <w:tc>
          <w:tcPr>
            <w:tcW w:w="3772" w:type="dxa"/>
            <w:vAlign w:val="center"/>
          </w:tcPr>
          <w:p w14:paraId="3BE59F6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单位名称</w:t>
            </w:r>
          </w:p>
        </w:tc>
        <w:tc>
          <w:tcPr>
            <w:tcW w:w="5338" w:type="dxa"/>
            <w:vAlign w:val="center"/>
          </w:tcPr>
          <w:p w14:paraId="08E046A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拒绝原因</w:t>
            </w:r>
          </w:p>
        </w:tc>
      </w:tr>
      <w:tr w14:paraId="4BD3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88" w:type="dxa"/>
            <w:vAlign w:val="center"/>
          </w:tcPr>
          <w:p w14:paraId="28B9B72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1</w:t>
            </w:r>
          </w:p>
        </w:tc>
        <w:tc>
          <w:tcPr>
            <w:tcW w:w="3772" w:type="dxa"/>
            <w:vAlign w:val="center"/>
          </w:tcPr>
          <w:p w14:paraId="3774472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仁化县周田镇人民政府</w:t>
            </w:r>
          </w:p>
        </w:tc>
        <w:tc>
          <w:tcPr>
            <w:tcW w:w="5338" w:type="dxa"/>
            <w:vAlign w:val="center"/>
          </w:tcPr>
          <w:p w14:paraId="4D06AD7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为本招标项目的招标人</w:t>
            </w:r>
          </w:p>
        </w:tc>
      </w:tr>
      <w:tr w14:paraId="7138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88" w:type="dxa"/>
            <w:vAlign w:val="center"/>
          </w:tcPr>
          <w:p w14:paraId="0337EEE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2</w:t>
            </w:r>
          </w:p>
        </w:tc>
        <w:tc>
          <w:tcPr>
            <w:tcW w:w="3772" w:type="dxa"/>
            <w:vAlign w:val="center"/>
          </w:tcPr>
          <w:p w14:paraId="0BD57B5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成致项目管理有限公司</w:t>
            </w:r>
          </w:p>
        </w:tc>
        <w:tc>
          <w:tcPr>
            <w:tcW w:w="5338" w:type="dxa"/>
            <w:vAlign w:val="center"/>
          </w:tcPr>
          <w:p w14:paraId="0820A20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为本招标项目的招标代理机构</w:t>
            </w:r>
          </w:p>
        </w:tc>
      </w:tr>
      <w:tr w14:paraId="5FC8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8" w:type="dxa"/>
            <w:vAlign w:val="center"/>
          </w:tcPr>
          <w:p w14:paraId="3E51A30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3</w:t>
            </w:r>
          </w:p>
        </w:tc>
        <w:tc>
          <w:tcPr>
            <w:tcW w:w="3772" w:type="dxa"/>
            <w:vAlign w:val="center"/>
          </w:tcPr>
          <w:p w14:paraId="72D7100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中设建联工程设计有限公司</w:t>
            </w:r>
          </w:p>
        </w:tc>
        <w:tc>
          <w:tcPr>
            <w:tcW w:w="5338" w:type="dxa"/>
            <w:vAlign w:val="center"/>
          </w:tcPr>
          <w:p w14:paraId="08D67BA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为本招标项目的可行性研究报告编制单位</w:t>
            </w:r>
          </w:p>
        </w:tc>
      </w:tr>
      <w:tr w14:paraId="424A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8" w:type="dxa"/>
            <w:vAlign w:val="center"/>
          </w:tcPr>
          <w:p w14:paraId="3C00839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4</w:t>
            </w:r>
          </w:p>
        </w:tc>
        <w:tc>
          <w:tcPr>
            <w:tcW w:w="3772" w:type="dxa"/>
            <w:vAlign w:val="center"/>
          </w:tcPr>
          <w:p w14:paraId="090E5EA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国昇设计有限责任公司</w:t>
            </w:r>
          </w:p>
        </w:tc>
        <w:tc>
          <w:tcPr>
            <w:tcW w:w="5338" w:type="dxa"/>
            <w:vAlign w:val="center"/>
          </w:tcPr>
          <w:p w14:paraId="6754F47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为本招标项目的勘察设计单位</w:t>
            </w:r>
          </w:p>
        </w:tc>
      </w:tr>
      <w:tr w14:paraId="2447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88" w:type="dxa"/>
            <w:vAlign w:val="center"/>
          </w:tcPr>
          <w:p w14:paraId="609A5CA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5</w:t>
            </w:r>
          </w:p>
        </w:tc>
        <w:tc>
          <w:tcPr>
            <w:tcW w:w="3772" w:type="dxa"/>
            <w:vAlign w:val="center"/>
          </w:tcPr>
          <w:p w14:paraId="5CAAAE3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广州三合工程咨询有限公司</w:t>
            </w:r>
          </w:p>
        </w:tc>
        <w:tc>
          <w:tcPr>
            <w:tcW w:w="5338" w:type="dxa"/>
            <w:vAlign w:val="center"/>
          </w:tcPr>
          <w:p w14:paraId="39A5AC4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为本招标项目的施工图审查单位</w:t>
            </w:r>
          </w:p>
        </w:tc>
      </w:tr>
    </w:tbl>
    <w:p w14:paraId="0EFB6702">
      <w:pPr>
        <w:keepNext w:val="0"/>
        <w:keepLines w:val="0"/>
        <w:pageBreakBefore w:val="0"/>
        <w:wordWrap w:val="0"/>
        <w:overflowPunct/>
        <w:topLinePunct w:val="0"/>
        <w:bidi w:val="0"/>
        <w:spacing w:line="93" w:lineRule="auto"/>
        <w:rPr>
          <w:rFonts w:hint="eastAsia" w:ascii="宋体" w:hAnsi="宋体" w:eastAsia="宋体" w:cs="宋体"/>
          <w:color w:val="000000" w:themeColor="text1"/>
          <w:spacing w:val="0"/>
          <w:sz w:val="2"/>
          <w:highlight w:val="none"/>
          <w14:textFill>
            <w14:solidFill>
              <w14:schemeClr w14:val="tx1"/>
            </w14:solidFill>
          </w14:textFill>
        </w:rPr>
      </w:pPr>
    </w:p>
    <w:p w14:paraId="103B6326">
      <w:pPr>
        <w:keepNext w:val="0"/>
        <w:keepLines w:val="0"/>
        <w:pageBreakBefore w:val="0"/>
        <w:wordWrap w:val="0"/>
        <w:overflowPunct/>
        <w:topLinePunct w:val="0"/>
        <w:bidi w:val="0"/>
        <w:spacing w:before="153" w:line="221" w:lineRule="auto"/>
        <w:ind w:left="70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2.5  </w:t>
      </w:r>
      <w:r>
        <w:rPr>
          <w:rFonts w:hint="eastAsia" w:ascii="宋体" w:hAnsi="宋体" w:eastAsia="宋体" w:cs="宋体"/>
          <w:color w:val="000000" w:themeColor="text1"/>
          <w:spacing w:val="0"/>
          <w:sz w:val="24"/>
          <w:szCs w:val="24"/>
          <w:highlight w:val="none"/>
          <w14:textFill>
            <w14:solidFill>
              <w14:schemeClr w14:val="tx1"/>
            </w14:solidFill>
          </w14:textFill>
        </w:rPr>
        <w:t>其他要求</w:t>
      </w:r>
    </w:p>
    <w:p w14:paraId="495DD04A">
      <w:pPr>
        <w:keepNext w:val="0"/>
        <w:keepLines w:val="0"/>
        <w:pageBreakBefore w:val="0"/>
        <w:wordWrap w:val="0"/>
        <w:overflowPunct/>
        <w:topLinePunct w:val="0"/>
        <w:bidi w:val="0"/>
        <w:spacing w:before="150" w:line="334" w:lineRule="auto"/>
        <w:ind w:left="232" w:right="99" w:firstLine="481"/>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省外企业及其拟派往本项目管理机构的所有人员均须按照《广东省住房和城乡建设厅关于取消省外建筑企业和人员进粤信息备案有关工作的通知》（粤建市﹝2015﹞52 号）规定在“进粤企业和人员诚信信息登记平台”录入相关信息并通过数据规范检查。</w:t>
      </w:r>
    </w:p>
    <w:p w14:paraId="1FE05A34">
      <w:pPr>
        <w:keepNext w:val="0"/>
        <w:keepLines w:val="0"/>
        <w:pageBreakBefore w:val="0"/>
        <w:wordWrap w:val="0"/>
        <w:overflowPunct/>
        <w:topLinePunct w:val="0"/>
        <w:bidi w:val="0"/>
        <w:spacing w:before="79" w:line="220" w:lineRule="auto"/>
        <w:ind w:left="71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2" w:name="_Toc23243"/>
      <w:bookmarkStart w:id="23" w:name="_Toc15370"/>
      <w:r>
        <w:rPr>
          <w:rFonts w:hint="eastAsia" w:ascii="宋体" w:hAnsi="宋体" w:eastAsia="宋体" w:cs="宋体"/>
          <w:b/>
          <w:bCs/>
          <w:color w:val="000000" w:themeColor="text1"/>
          <w:spacing w:val="0"/>
          <w:sz w:val="24"/>
          <w:szCs w:val="24"/>
          <w:highlight w:val="none"/>
          <w14:textFill>
            <w14:solidFill>
              <w14:schemeClr w14:val="tx1"/>
            </w14:solidFill>
          </w14:textFill>
        </w:rPr>
        <w:t>3．招标文件的获取</w:t>
      </w:r>
      <w:bookmarkEnd w:id="22"/>
      <w:bookmarkEnd w:id="23"/>
    </w:p>
    <w:p w14:paraId="58025C1D">
      <w:pPr>
        <w:keepNext w:val="0"/>
        <w:keepLines w:val="0"/>
        <w:pageBreakBefore w:val="0"/>
        <w:wordWrap w:val="0"/>
        <w:overflowPunct/>
        <w:topLinePunct w:val="0"/>
        <w:bidi w:val="0"/>
        <w:spacing w:before="182" w:line="219" w:lineRule="auto"/>
        <w:ind w:left="70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3.1  </w:t>
      </w:r>
      <w:r>
        <w:rPr>
          <w:rFonts w:hint="eastAsia" w:ascii="宋体" w:hAnsi="宋体" w:eastAsia="宋体" w:cs="宋体"/>
          <w:color w:val="000000" w:themeColor="text1"/>
          <w:spacing w:val="0"/>
          <w:sz w:val="24"/>
          <w:szCs w:val="24"/>
          <w:highlight w:val="none"/>
          <w14:textFill>
            <w14:solidFill>
              <w14:schemeClr w14:val="tx1"/>
            </w14:solidFill>
          </w14:textFill>
        </w:rPr>
        <w:t>本次招标实行电子投标。</w:t>
      </w:r>
    </w:p>
    <w:p w14:paraId="29156863">
      <w:pPr>
        <w:keepNext w:val="0"/>
        <w:keepLines w:val="0"/>
        <w:pageBreakBefore w:val="0"/>
        <w:wordWrap w:val="0"/>
        <w:overflowPunct/>
        <w:topLinePunct w:val="0"/>
        <w:bidi w:val="0"/>
        <w:spacing w:before="178" w:line="355" w:lineRule="auto"/>
        <w:ind w:left="0" w:leftChars="0" w:firstLine="481" w:firstLine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本次招标实行电子投标。本项目招标文件随招标公告一并在全国公共资源交易平台（广东省 ·韶关市）（https://ygp.gdzwfw.gov.cn/ggzy-portal/#/440200/index）网站发布。招标文件一经发布，视为发送投标人，招标文件及相关附件由投标人自行在全国公共资源交易平台（广东省 ·韶关市）网站下载。请于招标文件获取期间,（见本章第二节“重要事项时间地点一览表 ”）招标文件获取期间与招标公告发布时间一致，投标人须登录全国公共资源交易平台（广东省 ·韶关市）（https://ygp.gdzwfw.gov.cn/ggzy-portal/#/440200/index），使用新建设工程交易系统进行下载招标文件及相关附件，并于电子投标截止时间（见本章第二节“重要事项时间地点一览表 ”）前完成电子投标。投标人可登录全国公共资源交易平台（广东省 ·韶关市）（https://ygp.gdzwfw.gov.cn/ggzy-portal/#/440200/index），在【服务指南】栏目中建设工程交易中下载《韶关市公共资源建设工程交易系统-投标人操作指南（电子评标）》（附件2），了解网上获取招标文件操作流程。技术咨询电话：0751-8379671 伍先生，业务咨询电话：0751-8633211、8633071。</w:t>
      </w:r>
    </w:p>
    <w:p w14:paraId="039A8FB6">
      <w:pPr>
        <w:keepNext w:val="0"/>
        <w:keepLines w:val="0"/>
        <w:pageBreakBefore w:val="0"/>
        <w:wordWrap w:val="0"/>
        <w:overflowPunct/>
        <w:topLinePunct w:val="0"/>
        <w:bidi w:val="0"/>
        <w:spacing w:before="142" w:line="330" w:lineRule="auto"/>
        <w:ind w:left="11" w:right="105" w:firstLine="47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3.2  </w:t>
      </w:r>
      <w:r>
        <w:rPr>
          <w:rFonts w:hint="eastAsia" w:ascii="宋体" w:hAnsi="宋体" w:eastAsia="宋体" w:cs="宋体"/>
          <w:color w:val="000000" w:themeColor="text1"/>
          <w:spacing w:val="0"/>
          <w:sz w:val="24"/>
          <w:szCs w:val="24"/>
          <w:highlight w:val="none"/>
          <w14:textFill>
            <w14:solidFill>
              <w14:schemeClr w14:val="tx1"/>
            </w14:solidFill>
          </w14:textFill>
        </w:rPr>
        <w:t>只有申领了数字证书（CA）、“粤企签 ”或 GDCA/SZCA/NETCA 等符合法律法规规定的电子印章，并在交易系统中完成企业信息数据入库的投标人，方可使用建设工程交易系统进行招标文件及附件获取和电子投标。</w:t>
      </w:r>
    </w:p>
    <w:p w14:paraId="2FE752CB">
      <w:pPr>
        <w:keepNext w:val="0"/>
        <w:keepLines w:val="0"/>
        <w:pageBreakBefore w:val="0"/>
        <w:wordWrap w:val="0"/>
        <w:overflowPunct/>
        <w:topLinePunct w:val="0"/>
        <w:bidi w:val="0"/>
        <w:spacing w:before="32" w:line="332" w:lineRule="auto"/>
        <w:ind w:left="10" w:right="90" w:firstLine="48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首次在韶关市参与建设工程招标投标活动的投标人，必须在平台系统上传企业相关资料办理企业入库事宜。投标人可登录全国公共资源交易平台（广东省 ·韶关市）（</w:t>
      </w: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"https://ygp.gdzwfw.gov.cn/ggzy-portal/#/440200/index"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color w:val="000000" w:themeColor="text1"/>
          <w:spacing w:val="0"/>
          <w:sz w:val="24"/>
          <w:szCs w:val="24"/>
          <w:highlight w:val="none"/>
          <w14:textFill>
            <w14:solidFill>
              <w14:schemeClr w14:val="tx1"/>
            </w14:solidFill>
          </w14:textFill>
        </w:rPr>
        <w:t>https://ygp.gdzwfw.gov.cn/ggzy-portal/#/440200/index</w: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color w:val="000000" w:themeColor="text1"/>
          <w:spacing w:val="0"/>
          <w:sz w:val="24"/>
          <w:szCs w:val="24"/>
          <w:highlight w:val="none"/>
          <w14:textFill>
            <w14:solidFill>
              <w14:schemeClr w14:val="tx1"/>
            </w14:solidFill>
          </w14:textFill>
        </w:rPr>
        <w:t>）办理企业入库、数字证书及电子印章事宜，具体请在平台查阅相应的交易指引。</w:t>
      </w:r>
    </w:p>
    <w:p w14:paraId="6F360068">
      <w:pPr>
        <w:keepNext w:val="0"/>
        <w:keepLines w:val="0"/>
        <w:pageBreakBefore w:val="0"/>
        <w:wordWrap w:val="0"/>
        <w:overflowPunct/>
        <w:topLinePunct w:val="0"/>
        <w:bidi w:val="0"/>
        <w:spacing w:before="37" w:line="329" w:lineRule="auto"/>
        <w:ind w:left="9" w:right="105" w:firstLine="50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已入库企业有关信息（如单位名称、基本账号、资质、人员等）发生变化的，须及时在交易系统进行相应变更。投标人未及时变更信息而造成的损失和后果，由投标人自行承担。</w:t>
      </w:r>
    </w:p>
    <w:p w14:paraId="1BE8084A">
      <w:pPr>
        <w:keepNext w:val="0"/>
        <w:keepLines w:val="0"/>
        <w:pageBreakBefore w:val="0"/>
        <w:wordWrap w:val="0"/>
        <w:overflowPunct/>
        <w:topLinePunct w:val="0"/>
        <w:bidi w:val="0"/>
        <w:spacing w:before="33" w:line="335" w:lineRule="auto"/>
        <w:ind w:left="10" w:right="105" w:firstLine="508"/>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 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14:paraId="40CA127C">
      <w:pPr>
        <w:keepNext w:val="0"/>
        <w:keepLines w:val="0"/>
        <w:pageBreakBefore w:val="0"/>
        <w:wordWrap w:val="0"/>
        <w:overflowPunct/>
        <w:topLinePunct w:val="0"/>
        <w:bidi w:val="0"/>
        <w:spacing w:before="33" w:line="221" w:lineRule="auto"/>
        <w:ind w:left="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  </w:t>
      </w:r>
      <w:r>
        <w:rPr>
          <w:rFonts w:hint="eastAsia" w:ascii="宋体" w:hAnsi="宋体" w:eastAsia="宋体" w:cs="宋体"/>
          <w:color w:val="000000" w:themeColor="text1"/>
          <w:spacing w:val="0"/>
          <w:sz w:val="24"/>
          <w:szCs w:val="24"/>
          <w:highlight w:val="none"/>
          <w14:textFill>
            <w14:solidFill>
              <w14:schemeClr w14:val="tx1"/>
            </w14:solidFill>
          </w14:textFill>
        </w:rPr>
        <w:t>投标保证</w:t>
      </w:r>
    </w:p>
    <w:p w14:paraId="734994B7">
      <w:pPr>
        <w:keepNext w:val="0"/>
        <w:keepLines w:val="0"/>
        <w:pageBreakBefore w:val="0"/>
        <w:wordWrap w:val="0"/>
        <w:overflowPunct/>
        <w:topLinePunct w:val="0"/>
        <w:bidi w:val="0"/>
        <w:spacing w:before="152" w:line="280" w:lineRule="auto"/>
        <w:ind w:left="8" w:right="105"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3.3.1  </w:t>
      </w:r>
      <w:r>
        <w:rPr>
          <w:rFonts w:hint="eastAsia" w:ascii="宋体" w:hAnsi="宋体" w:eastAsia="宋体" w:cs="宋体"/>
          <w:color w:val="000000" w:themeColor="text1"/>
          <w:spacing w:val="0"/>
          <w:sz w:val="24"/>
          <w:szCs w:val="24"/>
          <w:highlight w:val="none"/>
          <w14:textFill>
            <w14:solidFill>
              <w14:schemeClr w14:val="tx1"/>
            </w14:solidFill>
          </w14:textFill>
        </w:rPr>
        <w:t>投标人须缴纳金额为</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80000.00</w:t>
      </w:r>
      <w:r>
        <w:rPr>
          <w:rFonts w:hint="eastAsia" w:ascii="宋体" w:hAnsi="宋体" w:eastAsia="宋体" w:cs="宋体"/>
          <w:color w:val="000000" w:themeColor="text1"/>
          <w:spacing w:val="0"/>
          <w:sz w:val="24"/>
          <w:szCs w:val="24"/>
          <w:highlight w:val="none"/>
          <w:u w:val="none"/>
          <w:lang w:val="en-US" w:eastAsia="zh-CN"/>
          <w14:textFill>
            <w14:solidFill>
              <w14:schemeClr w14:val="tx1"/>
            </w14:solidFill>
          </w14:textFill>
        </w:rPr>
        <w:t>元</w:t>
      </w:r>
      <w:r>
        <w:rPr>
          <w:rFonts w:hint="eastAsia" w:ascii="宋体" w:hAnsi="宋体" w:eastAsia="宋体" w:cs="宋体"/>
          <w:color w:val="000000" w:themeColor="text1"/>
          <w:spacing w:val="0"/>
          <w:sz w:val="24"/>
          <w:szCs w:val="24"/>
          <w:highlight w:val="none"/>
          <w14:textFill>
            <w14:solidFill>
              <w14:schemeClr w14:val="tx1"/>
            </w14:solidFill>
          </w14:textFill>
        </w:rPr>
        <w:t>人民币的投标保证。联合体投标的，由联合体牵头人缴纳。</w:t>
      </w:r>
    </w:p>
    <w:p w14:paraId="5595FFDA">
      <w:pPr>
        <w:keepNext w:val="0"/>
        <w:keepLines w:val="0"/>
        <w:pageBreakBefore w:val="0"/>
        <w:wordWrap w:val="0"/>
        <w:overflowPunct/>
        <w:topLinePunct w:val="0"/>
        <w:bidi w:val="0"/>
        <w:spacing w:before="35" w:line="325" w:lineRule="auto"/>
        <w:ind w:left="12" w:right="108" w:firstLine="471"/>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3.3.2  </w:t>
      </w:r>
      <w:r>
        <w:rPr>
          <w:rFonts w:hint="eastAsia" w:ascii="宋体" w:hAnsi="宋体" w:eastAsia="宋体" w:cs="宋体"/>
          <w:color w:val="000000" w:themeColor="text1"/>
          <w:spacing w:val="0"/>
          <w:sz w:val="24"/>
          <w:szCs w:val="24"/>
          <w:highlight w:val="none"/>
          <w14:textFill>
            <w14:solidFill>
              <w14:schemeClr w14:val="tx1"/>
            </w14:solidFill>
          </w14:textFill>
        </w:rPr>
        <w:t>投标保证的形式包括投标保证金、投标保证担保、投标保证保险三种，由投标人自主选择。</w:t>
      </w:r>
    </w:p>
    <w:p w14:paraId="52BC198A">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24" w:name="bookmark117"/>
      <w:bookmarkEnd w:id="24"/>
      <w:r>
        <w:rPr>
          <w:rFonts w:hint="eastAsia" w:ascii="宋体" w:hAnsi="宋体" w:eastAsia="宋体" w:cs="宋体"/>
          <w:color w:val="000000" w:themeColor="text1"/>
          <w:spacing w:val="0"/>
          <w:sz w:val="24"/>
          <w:szCs w:val="24"/>
          <w:highlight w:val="none"/>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见本招标文件“重要事项时间地点一览表 ”）前，从其基本账户将投标保证金转账到指定的缴纳账号。逾期到账的、从非投标人基本账户转出的，其投标无效。</w:t>
      </w:r>
    </w:p>
    <w:p w14:paraId="5AD570B6">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（2）采用投标保证担保的，投标人应提交有效的电子保函或保证保险，电子保函或保证保险的有效期不得短于投标有效期。投标人必须在投标保证担保截止时间（详见“重要事项时间地点一览表 ”）前，使用工程建设交易系统完成网上办理电子保函或保证保险。</w:t>
      </w:r>
    </w:p>
    <w:p w14:paraId="66604B82">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（3）采用投标保证保险的，投标人须在投标保证保险投保截止时间（见本招标文件“重要事项时间地点一览表 ”）前，使用建设工程交易系统完成网上投保。投标人可在系统选择保险机构、录入投保信息、支付保费、打印电子保单，电子保单的有效期不得短于投标有效期。投标人可登录全国公共资源交易平台（广东省·韶关市）（</w: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color w:val="000000" w:themeColor="text1"/>
          <w:spacing w:val="0"/>
          <w:sz w:val="24"/>
          <w:szCs w:val="24"/>
          <w:highlight w:val="none"/>
          <w14:textFill>
            <w14:solidFill>
              <w14:schemeClr w14:val="tx1"/>
            </w14:solidFill>
          </w14:textFill>
        </w:rPr>
        <w:instrText xml:space="preserve"> HYPERLINK "https://ygp.gdzwfw.gov.cn/ggzy-portal/#/440200/index" </w:instrTex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color w:val="000000" w:themeColor="text1"/>
          <w:spacing w:val="0"/>
          <w:sz w:val="24"/>
          <w:szCs w:val="24"/>
          <w:highlight w:val="none"/>
          <w14:textFill>
            <w14:solidFill>
              <w14:schemeClr w14:val="tx1"/>
            </w14:solidFill>
          </w14:textFill>
        </w:rPr>
        <w:t>https://ygp.gdzwfw.gov.cn/ggzy-portal/#/440200/index</w: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color w:val="000000" w:themeColor="text1"/>
          <w:spacing w:val="0"/>
          <w:sz w:val="24"/>
          <w:szCs w:val="24"/>
          <w:highlight w:val="none"/>
          <w14:textFill>
            <w14:solidFill>
              <w14:schemeClr w14:val="tx1"/>
            </w14:solidFill>
          </w14:textFill>
        </w:rPr>
        <w:t>），在【服务指南】栏目中下载《建设工程网上交易系统保险保证金缴纳操作指南》，了解网上投保具体操作流程。逾期投保的，其投标无效。</w:t>
      </w:r>
    </w:p>
    <w:p w14:paraId="20834965">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温馨提示：1.投标人采用投标保证担保或投标保证保险的，为避免在评标过程中因有效期发生争议，建议投标人将银行保函或电子保单有效期设置为较招标文件规定的投标有效期延长不少于 20 个日历天。</w:t>
      </w:r>
    </w:p>
    <w:p w14:paraId="1EC47989">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3.4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若投标人因自身原因未能正确完成获取招标文件、电子投标、缴纳投标保证的，其投标无效。</w:t>
      </w:r>
    </w:p>
    <w:p w14:paraId="385224D7">
      <w:pPr>
        <w:keepNext w:val="0"/>
        <w:keepLines w:val="0"/>
        <w:pageBreakBefore w:val="0"/>
        <w:wordWrap w:val="0"/>
        <w:overflowPunct/>
        <w:topLinePunct w:val="0"/>
        <w:bidi w:val="0"/>
        <w:spacing w:before="79" w:line="221" w:lineRule="auto"/>
        <w:ind w:left="487"/>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5" w:name="bookmark78"/>
      <w:bookmarkEnd w:id="25"/>
      <w:bookmarkStart w:id="26" w:name="bookmark64"/>
      <w:bookmarkEnd w:id="26"/>
      <w:bookmarkStart w:id="27" w:name="_Toc5728"/>
      <w:bookmarkStart w:id="28" w:name="_Toc15498"/>
      <w:r>
        <w:rPr>
          <w:rFonts w:hint="eastAsia" w:ascii="宋体" w:hAnsi="宋体" w:eastAsia="宋体" w:cs="宋体"/>
          <w:b/>
          <w:bCs/>
          <w:color w:val="000000" w:themeColor="text1"/>
          <w:spacing w:val="0"/>
          <w:sz w:val="24"/>
          <w:szCs w:val="24"/>
          <w:highlight w:val="none"/>
          <w14:textFill>
            <w14:solidFill>
              <w14:schemeClr w14:val="tx1"/>
            </w14:solidFill>
          </w14:textFill>
        </w:rPr>
        <w:t>4</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．工期要求</w:t>
      </w:r>
      <w:bookmarkEnd w:id="27"/>
      <w:bookmarkEnd w:id="28"/>
    </w:p>
    <w:p w14:paraId="10DC164E">
      <w:pPr>
        <w:keepNext w:val="0"/>
        <w:keepLines w:val="0"/>
        <w:pageBreakBefore w:val="0"/>
        <w:wordWrap w:val="0"/>
        <w:overflowPunct/>
        <w:topLinePunct w:val="0"/>
        <w:bidi w:val="0"/>
        <w:spacing w:before="153" w:line="324" w:lineRule="auto"/>
        <w:ind w:left="30" w:right="65" w:firstLine="46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本招标项目招标工期为</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180个日历天</w:t>
      </w:r>
      <w:r>
        <w:rPr>
          <w:rFonts w:hint="eastAsia" w:ascii="宋体" w:hAnsi="宋体" w:eastAsia="宋体" w:cs="宋体"/>
          <w:color w:val="000000" w:themeColor="text1"/>
          <w:spacing w:val="0"/>
          <w:sz w:val="24"/>
          <w:szCs w:val="24"/>
          <w:highlight w:val="none"/>
          <w14:textFill>
            <w14:solidFill>
              <w14:schemeClr w14:val="tx1"/>
            </w14:solidFill>
          </w14:textFill>
        </w:rPr>
        <w:t>，中标人必须在招标工期内完成招标范围内的全部内容。</w:t>
      </w:r>
    </w:p>
    <w:p w14:paraId="2574D13A">
      <w:pPr>
        <w:keepNext w:val="0"/>
        <w:keepLines w:val="0"/>
        <w:pageBreakBefore w:val="0"/>
        <w:wordWrap w:val="0"/>
        <w:overflowPunct/>
        <w:topLinePunct w:val="0"/>
        <w:bidi w:val="0"/>
        <w:spacing w:before="78" w:line="219"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9" w:name="_Toc17663"/>
      <w:bookmarkStart w:id="30" w:name="_Toc4154"/>
      <w:r>
        <w:rPr>
          <w:rFonts w:hint="eastAsia" w:ascii="宋体" w:hAnsi="宋体" w:eastAsia="宋体" w:cs="宋体"/>
          <w:b/>
          <w:bCs/>
          <w:color w:val="000000" w:themeColor="text1"/>
          <w:spacing w:val="0"/>
          <w:sz w:val="24"/>
          <w:szCs w:val="24"/>
          <w:highlight w:val="none"/>
          <w14:textFill>
            <w14:solidFill>
              <w14:schemeClr w14:val="tx1"/>
            </w14:solidFill>
          </w14:textFill>
        </w:rPr>
        <w:t>5</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．质量标准和材料、机械要求</w:t>
      </w:r>
      <w:bookmarkEnd w:id="29"/>
      <w:bookmarkEnd w:id="30"/>
    </w:p>
    <w:p w14:paraId="2EE63B7A">
      <w:pPr>
        <w:keepNext w:val="0"/>
        <w:keepLines w:val="0"/>
        <w:pageBreakBefore w:val="0"/>
        <w:wordWrap w:val="0"/>
        <w:overflowPunct/>
        <w:topLinePunct w:val="0"/>
        <w:bidi w:val="0"/>
        <w:spacing w:before="154" w:line="360" w:lineRule="auto"/>
        <w:ind w:left="11" w:right="99"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5.1  </w:t>
      </w:r>
      <w:r>
        <w:rPr>
          <w:rFonts w:hint="eastAsia" w:ascii="宋体" w:hAnsi="宋体" w:eastAsia="宋体" w:cs="宋体"/>
          <w:color w:val="000000" w:themeColor="text1"/>
          <w:spacing w:val="0"/>
          <w:sz w:val="24"/>
          <w:szCs w:val="24"/>
          <w:highlight w:val="none"/>
          <w14:textFill>
            <w14:solidFill>
              <w14:schemeClr w14:val="tx1"/>
            </w14:solidFill>
          </w14:textFill>
        </w:rPr>
        <w:t>施工工艺严格按照国家和广东省的有关现行施工技术规范及标准执行，工程质量标准</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符合现行国家有关工程施工质量验收规范和标准的要求，达到验收合格标准</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550F785F">
      <w:pPr>
        <w:keepNext w:val="0"/>
        <w:keepLines w:val="0"/>
        <w:pageBreakBefore w:val="0"/>
        <w:wordWrap w:val="0"/>
        <w:overflowPunct/>
        <w:topLinePunct w:val="0"/>
        <w:bidi w:val="0"/>
        <w:spacing w:before="154" w:line="360" w:lineRule="auto"/>
        <w:ind w:left="10" w:right="99"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5.2</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中标人在施工中如果工程质量不符合设计要求和有关规定，招标人或监理单位要求停工和返工的必须立即执行，并承担由此产生的各种费用，工期不予顺延。</w:t>
      </w:r>
    </w:p>
    <w:p w14:paraId="7AA414CC">
      <w:pPr>
        <w:keepNext w:val="0"/>
        <w:keepLines w:val="0"/>
        <w:pageBreakBefore w:val="0"/>
        <w:wordWrap w:val="0"/>
        <w:overflowPunct/>
        <w:topLinePunct w:val="0"/>
        <w:bidi w:val="0"/>
        <w:spacing w:before="152" w:line="360" w:lineRule="auto"/>
        <w:ind w:left="9"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5.3  </w:t>
      </w:r>
      <w:r>
        <w:rPr>
          <w:rFonts w:hint="eastAsia" w:ascii="宋体" w:hAnsi="宋体" w:eastAsia="宋体" w:cs="宋体"/>
          <w:color w:val="000000" w:themeColor="text1"/>
          <w:spacing w:val="0"/>
          <w:sz w:val="24"/>
          <w:szCs w:val="24"/>
          <w:highlight w:val="none"/>
          <w14:textFill>
            <w14:solidFill>
              <w14:schemeClr w14:val="tx1"/>
            </w14:solidFill>
          </w14:textFill>
        </w:rPr>
        <w:t>保修期限按《建设工程质量管理条例》（中华人民共和国国务院令第 279号）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46FB79BE">
      <w:pPr>
        <w:keepNext w:val="0"/>
        <w:keepLines w:val="0"/>
        <w:pageBreakBefore w:val="0"/>
        <w:wordWrap w:val="0"/>
        <w:overflowPunct/>
        <w:topLinePunct w:val="0"/>
        <w:bidi w:val="0"/>
        <w:spacing w:before="152" w:line="360" w:lineRule="auto"/>
        <w:ind w:left="9"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5.4</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根据韶关市人民政府《关于加快推进全市绿色建筑发展工作的通知》（韶府办明电〔2013〕277 号）有关规定，结合《韶关市住建管理局关于贯彻落实&lt;广东省绿色建筑条例&gt;有关工作的通知》（韶市建字〔2021〕85 号）等有关规定，</w:t>
      </w:r>
      <w:r>
        <w:rPr>
          <w:rFonts w:hint="eastAsia" w:ascii="宋体" w:hAnsi="宋体" w:eastAsia="宋体" w:cs="宋体"/>
          <w:color w:val="000000" w:themeColor="text1"/>
          <w:spacing w:val="0"/>
          <w:sz w:val="24"/>
          <w:szCs w:val="24"/>
          <w:highlight w:val="none"/>
          <w14:textFill>
            <w14:solidFill>
              <w14:schemeClr w14:val="tx1"/>
            </w14:solidFill>
          </w14:textFill>
        </w:rPr>
        <w:t>本招标项目</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不</w:t>
      </w:r>
      <w:r>
        <w:rPr>
          <w:rFonts w:hint="eastAsia" w:ascii="宋体" w:hAnsi="宋体" w:eastAsia="宋体" w:cs="宋体"/>
          <w:color w:val="000000" w:themeColor="text1"/>
          <w:spacing w:val="0"/>
          <w:sz w:val="24"/>
          <w:szCs w:val="24"/>
          <w:highlight w:val="none"/>
          <w14:textFill>
            <w14:solidFill>
              <w14:schemeClr w14:val="tx1"/>
            </w14:solidFill>
          </w14:textFill>
        </w:rPr>
        <w:t>纳入绿色建设实施范围</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096BED74">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5.5</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其它：</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本招标项目</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不</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纳入装配式建造建设实施范围。</w:t>
      </w:r>
    </w:p>
    <w:p w14:paraId="744CB0C9">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5.6</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则中标人必须使用合格材料或设备。</w:t>
      </w:r>
    </w:p>
    <w:p w14:paraId="10FFFDBC">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7</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54A8F521">
      <w:pPr>
        <w:keepNext w:val="0"/>
        <w:keepLines w:val="0"/>
        <w:pageBreakBefore w:val="0"/>
        <w:wordWrap w:val="0"/>
        <w:overflowPunct/>
        <w:topLinePunct w:val="0"/>
        <w:bidi w:val="0"/>
        <w:spacing w:before="78" w:line="220" w:lineRule="auto"/>
        <w:ind w:left="489"/>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31" w:name="_Toc7763"/>
      <w:bookmarkStart w:id="32" w:name="_Toc2095"/>
      <w:r>
        <w:rPr>
          <w:rFonts w:hint="eastAsia" w:ascii="宋体" w:hAnsi="宋体" w:eastAsia="宋体" w:cs="宋体"/>
          <w:b/>
          <w:bCs/>
          <w:color w:val="000000" w:themeColor="text1"/>
          <w:spacing w:val="0"/>
          <w:sz w:val="24"/>
          <w:szCs w:val="24"/>
          <w:highlight w:val="none"/>
          <w14:textFill>
            <w14:solidFill>
              <w14:schemeClr w14:val="tx1"/>
            </w14:solidFill>
          </w14:textFill>
        </w:rPr>
        <w:t>6 ．施工条件及现场踏勘</w:t>
      </w:r>
      <w:bookmarkEnd w:id="31"/>
      <w:bookmarkEnd w:id="32"/>
    </w:p>
    <w:p w14:paraId="33B1E63A">
      <w:pPr>
        <w:keepNext w:val="0"/>
        <w:keepLines w:val="0"/>
        <w:pageBreakBefore w:val="0"/>
        <w:wordWrap w:val="0"/>
        <w:overflowPunct/>
        <w:topLinePunct w:val="0"/>
        <w:bidi w:val="0"/>
        <w:spacing w:before="155" w:line="360"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6.1  </w:t>
      </w:r>
      <w:r>
        <w:rPr>
          <w:rFonts w:hint="eastAsia" w:ascii="宋体" w:hAnsi="宋体" w:eastAsia="宋体" w:cs="宋体"/>
          <w:color w:val="000000" w:themeColor="text1"/>
          <w:spacing w:val="0"/>
          <w:sz w:val="24"/>
          <w:szCs w:val="24"/>
          <w:highlight w:val="none"/>
          <w14:textFill>
            <w14:solidFill>
              <w14:schemeClr w14:val="tx1"/>
            </w14:solidFill>
          </w14:textFill>
        </w:rPr>
        <w:t>招标人仅在本招标项目征地红线范围内提供场地，其他一切场地费用由中标人自行负责（含临时道路）。</w:t>
      </w:r>
    </w:p>
    <w:p w14:paraId="43C889C7">
      <w:pPr>
        <w:keepNext w:val="0"/>
        <w:keepLines w:val="0"/>
        <w:pageBreakBefore w:val="0"/>
        <w:wordWrap w:val="0"/>
        <w:overflowPunct/>
        <w:topLinePunct w:val="0"/>
        <w:bidi w:val="0"/>
        <w:spacing w:before="155" w:line="360"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bookmarkStart w:id="33" w:name="bookmark118"/>
      <w:bookmarkEnd w:id="33"/>
      <w:r>
        <w:rPr>
          <w:rFonts w:hint="eastAsia" w:ascii="宋体" w:hAnsi="宋体" w:eastAsia="宋体" w:cs="宋体"/>
          <w:b/>
          <w:bCs/>
          <w:color w:val="000000" w:themeColor="text1"/>
          <w:spacing w:val="0"/>
          <w:sz w:val="24"/>
          <w:szCs w:val="24"/>
          <w:highlight w:val="none"/>
          <w14:textFill>
            <w14:solidFill>
              <w14:schemeClr w14:val="tx1"/>
            </w14:solidFill>
          </w14:textFill>
        </w:rPr>
        <w:t>6.2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施工用水：</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由中标人自行解决，费用考虑在投标报价中</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5DA5ED0F">
      <w:pPr>
        <w:keepNext w:val="0"/>
        <w:keepLines w:val="0"/>
        <w:pageBreakBefore w:val="0"/>
        <w:wordWrap w:val="0"/>
        <w:overflowPunct/>
        <w:topLinePunct w:val="0"/>
        <w:bidi w:val="0"/>
        <w:spacing w:before="155" w:line="360"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6.3</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施工用电：</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由中标人自行解决，费用考虑在投标报价中</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4117B1E2">
      <w:pPr>
        <w:keepNext w:val="0"/>
        <w:keepLines w:val="0"/>
        <w:pageBreakBefore w:val="0"/>
        <w:wordWrap w:val="0"/>
        <w:overflowPunct/>
        <w:topLinePunct w:val="0"/>
        <w:bidi w:val="0"/>
        <w:spacing w:before="155" w:line="360"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6.4</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施工用水、用电各提供一驳接点到现场边缘。要求中标人单独安装水表、电表，其水、电费按项目所在地</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仁化县</w:t>
      </w:r>
      <w:r>
        <w:rPr>
          <w:rFonts w:hint="eastAsia" w:ascii="宋体" w:hAnsi="宋体" w:eastAsia="宋体" w:cs="宋体"/>
          <w:color w:val="000000" w:themeColor="text1"/>
          <w:spacing w:val="0"/>
          <w:sz w:val="24"/>
          <w:szCs w:val="24"/>
          <w:highlight w:val="none"/>
          <w14:textFill>
            <w14:solidFill>
              <w14:schemeClr w14:val="tx1"/>
            </w14:solidFill>
          </w14:textFill>
        </w:rPr>
        <w:t>基建工程水、电计费标准计算并由中标人缴纳。</w:t>
      </w:r>
    </w:p>
    <w:p w14:paraId="7B035D82">
      <w:pPr>
        <w:keepNext w:val="0"/>
        <w:keepLines w:val="0"/>
        <w:pageBreakBefore w:val="0"/>
        <w:wordWrap w:val="0"/>
        <w:overflowPunct/>
        <w:topLinePunct w:val="0"/>
        <w:bidi w:val="0"/>
        <w:spacing w:before="154" w:line="360" w:lineRule="auto"/>
        <w:ind w:left="9" w:right="16"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6.5  </w:t>
      </w:r>
      <w:r>
        <w:rPr>
          <w:rFonts w:hint="eastAsia" w:ascii="宋体" w:hAnsi="宋体" w:eastAsia="宋体" w:cs="宋体"/>
          <w:color w:val="000000" w:themeColor="text1"/>
          <w:spacing w:val="0"/>
          <w:sz w:val="24"/>
          <w:szCs w:val="24"/>
          <w:highlight w:val="none"/>
          <w14:textFill>
            <w14:solidFill>
              <w14:schemeClr w14:val="tx1"/>
            </w14:solidFill>
          </w14:textFill>
        </w:rPr>
        <w:t>招标人不组织现场踏勘，但会在招标文件及有关设计文件中明确告知招标项目的具体位置和周边环境，并在现场设置足以识别的标识或提供足以表明招标项目具体位置的文字或图片。投标人需要了解现场情况的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可自行进行现场踏勘。</w:t>
      </w:r>
    </w:p>
    <w:p w14:paraId="7738F7AC">
      <w:pPr>
        <w:keepNext w:val="0"/>
        <w:keepLines w:val="0"/>
        <w:pageBreakBefore w:val="0"/>
        <w:wordWrap w:val="0"/>
        <w:overflowPunct/>
        <w:topLinePunct w:val="0"/>
        <w:bidi w:val="0"/>
        <w:spacing w:before="153" w:line="360" w:lineRule="auto"/>
        <w:ind w:left="9" w:right="16"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6.6  </w:t>
      </w:r>
      <w:r>
        <w:rPr>
          <w:rFonts w:hint="eastAsia" w:ascii="宋体" w:hAnsi="宋体" w:eastAsia="宋体" w:cs="宋体"/>
          <w:color w:val="000000" w:themeColor="text1"/>
          <w:spacing w:val="0"/>
          <w:sz w:val="24"/>
          <w:szCs w:val="24"/>
          <w:highlight w:val="none"/>
          <w14:textFill>
            <w14:solidFill>
              <w14:schemeClr w14:val="tx1"/>
            </w14:solidFill>
          </w14:textFill>
        </w:rPr>
        <w:t>在现场踏勘过程中，投标人应确保自身安全，投标人如果发生人身伤亡、财物或其他损失，法律法规有规定的按有关规定处理，没有规定的由投标人自行负责。</w:t>
      </w:r>
    </w:p>
    <w:p w14:paraId="7E2F99A6">
      <w:pPr>
        <w:keepNext w:val="0"/>
        <w:keepLines w:val="0"/>
        <w:pageBreakBefore w:val="0"/>
        <w:wordWrap w:val="0"/>
        <w:overflowPunct/>
        <w:topLinePunct w:val="0"/>
        <w:bidi w:val="0"/>
        <w:spacing w:before="153" w:line="360" w:lineRule="auto"/>
        <w:ind w:left="568"/>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6.7  </w:t>
      </w:r>
      <w:r>
        <w:rPr>
          <w:rFonts w:hint="eastAsia" w:ascii="宋体" w:hAnsi="宋体" w:eastAsia="宋体" w:cs="宋体"/>
          <w:color w:val="000000" w:themeColor="text1"/>
          <w:spacing w:val="0"/>
          <w:sz w:val="24"/>
          <w:szCs w:val="24"/>
          <w:highlight w:val="none"/>
          <w14:textFill>
            <w14:solidFill>
              <w14:schemeClr w14:val="tx1"/>
            </w14:solidFill>
          </w14:textFill>
        </w:rPr>
        <w:t>现场踏勘期间的交通、食宿由投标人自行安排，费用自理。</w:t>
      </w:r>
    </w:p>
    <w:p w14:paraId="1757ED06">
      <w:pPr>
        <w:keepNext w:val="0"/>
        <w:keepLines w:val="0"/>
        <w:pageBreakBefore w:val="0"/>
        <w:wordWrap w:val="0"/>
        <w:overflowPunct/>
        <w:topLinePunct w:val="0"/>
        <w:bidi w:val="0"/>
        <w:spacing w:before="78" w:line="360"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34" w:name="bookmark69"/>
      <w:bookmarkEnd w:id="34"/>
      <w:bookmarkStart w:id="35" w:name="bookmark81"/>
      <w:bookmarkEnd w:id="35"/>
      <w:bookmarkStart w:id="36" w:name="bookmark67"/>
      <w:bookmarkEnd w:id="36"/>
      <w:bookmarkStart w:id="37" w:name="_Toc31147"/>
      <w:bookmarkStart w:id="38" w:name="_Toc15543"/>
      <w:r>
        <w:rPr>
          <w:rFonts w:hint="eastAsia" w:ascii="宋体" w:hAnsi="宋体" w:eastAsia="宋体" w:cs="宋体"/>
          <w:b/>
          <w:bCs/>
          <w:color w:val="000000" w:themeColor="text1"/>
          <w:spacing w:val="0"/>
          <w:sz w:val="24"/>
          <w:szCs w:val="24"/>
          <w:highlight w:val="none"/>
          <w14:textFill>
            <w14:solidFill>
              <w14:schemeClr w14:val="tx1"/>
            </w14:solidFill>
          </w14:textFill>
        </w:rPr>
        <w:t>7 ．招标文件的提问和答疑</w:t>
      </w:r>
      <w:bookmarkEnd w:id="37"/>
      <w:bookmarkEnd w:id="38"/>
    </w:p>
    <w:p w14:paraId="58203EDA">
      <w:pPr>
        <w:keepNext w:val="0"/>
        <w:keepLines w:val="0"/>
        <w:pageBreakBefore w:val="0"/>
        <w:wordWrap w:val="0"/>
        <w:overflowPunct/>
        <w:topLinePunct w:val="0"/>
        <w:bidi w:val="0"/>
        <w:spacing w:before="153" w:line="360" w:lineRule="auto"/>
        <w:ind w:left="9" w:right="16" w:firstLine="47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7.1  </w:t>
      </w:r>
      <w:r>
        <w:rPr>
          <w:rFonts w:hint="eastAsia" w:ascii="宋体" w:hAnsi="宋体" w:eastAsia="宋体" w:cs="宋体"/>
          <w:color w:val="000000" w:themeColor="text1"/>
          <w:spacing w:val="0"/>
          <w:sz w:val="24"/>
          <w:szCs w:val="24"/>
          <w:highlight w:val="none"/>
          <w14:textFill>
            <w14:solidFill>
              <w14:schemeClr w14:val="tx1"/>
            </w14:solidFill>
          </w14:textFill>
        </w:rPr>
        <w:t>投标人若对招标文件（含施工图、招标工程量清单）有疑问，应在提问截止时间（见本章第二节“重要事项时间地点一览表 ”）前使用建设工程交易系统提出问题。未在指定时间前、未采用指定方式提出的，招标人不予受理。</w:t>
      </w:r>
    </w:p>
    <w:p w14:paraId="79A8D99B">
      <w:pPr>
        <w:keepNext w:val="0"/>
        <w:keepLines w:val="0"/>
        <w:pageBreakBefore w:val="0"/>
        <w:wordWrap w:val="0"/>
        <w:overflowPunct/>
        <w:topLinePunct w:val="0"/>
        <w:bidi w:val="0"/>
        <w:spacing w:before="154" w:line="360" w:lineRule="auto"/>
        <w:ind w:left="9" w:right="16"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7.2  </w:t>
      </w:r>
      <w:r>
        <w:rPr>
          <w:rFonts w:hint="eastAsia" w:ascii="宋体" w:hAnsi="宋体" w:eastAsia="宋体" w:cs="宋体"/>
          <w:color w:val="000000" w:themeColor="text1"/>
          <w:spacing w:val="0"/>
          <w:sz w:val="24"/>
          <w:szCs w:val="24"/>
          <w:highlight w:val="none"/>
          <w14:textFill>
            <w14:solidFill>
              <w14:schemeClr w14:val="tx1"/>
            </w14:solidFill>
          </w14:textFill>
        </w:rPr>
        <w:t>招标人在提问截止时间（见本章第二节“重要事项时间地点一览表 ”）后 3 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446874AE">
      <w:pPr>
        <w:keepNext w:val="0"/>
        <w:keepLines w:val="0"/>
        <w:pageBreakBefore w:val="0"/>
        <w:wordWrap w:val="0"/>
        <w:overflowPunct/>
        <w:topLinePunct w:val="0"/>
        <w:bidi w:val="0"/>
        <w:spacing w:before="152" w:line="360" w:lineRule="auto"/>
        <w:ind w:firstLine="482" w:firstLineChars="200"/>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7.3  </w:t>
      </w:r>
      <w:r>
        <w:rPr>
          <w:rFonts w:hint="eastAsia" w:ascii="宋体" w:hAnsi="宋体" w:eastAsia="宋体" w:cs="宋体"/>
          <w:color w:val="000000" w:themeColor="text1"/>
          <w:spacing w:val="0"/>
          <w:sz w:val="24"/>
          <w:szCs w:val="24"/>
          <w:highlight w:val="none"/>
          <w14:textFill>
            <w14:solidFill>
              <w14:schemeClr w14:val="tx1"/>
            </w14:solidFill>
          </w14:textFill>
        </w:rPr>
        <w:t>招标人对招标文件所作的答疑（或修改）公告，构成招标文件的组成部分。</w:t>
      </w:r>
    </w:p>
    <w:p w14:paraId="1850E2AC">
      <w:pPr>
        <w:keepNext w:val="0"/>
        <w:keepLines w:val="0"/>
        <w:pageBreakBefore w:val="0"/>
        <w:wordWrap w:val="0"/>
        <w:overflowPunct/>
        <w:topLinePunct w:val="0"/>
        <w:bidi w:val="0"/>
        <w:spacing w:before="79" w:line="360"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39" w:name="_Toc6897"/>
      <w:bookmarkStart w:id="40" w:name="_Toc15237"/>
      <w:r>
        <w:rPr>
          <w:rFonts w:hint="eastAsia" w:ascii="宋体" w:hAnsi="宋体" w:eastAsia="宋体" w:cs="宋体"/>
          <w:b/>
          <w:bCs/>
          <w:color w:val="000000" w:themeColor="text1"/>
          <w:spacing w:val="0"/>
          <w:sz w:val="24"/>
          <w:szCs w:val="24"/>
          <w:highlight w:val="none"/>
          <w14:textFill>
            <w14:solidFill>
              <w14:schemeClr w14:val="tx1"/>
            </w14:solidFill>
          </w14:textFill>
        </w:rPr>
        <w:t>8 ．</w:t>
      </w:r>
      <w:bookmarkEnd w:id="39"/>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bookmarkEnd w:id="40"/>
    </w:p>
    <w:p w14:paraId="37FBB470">
      <w:pPr>
        <w:keepNext w:val="0"/>
        <w:keepLines w:val="0"/>
        <w:pageBreakBefore w:val="0"/>
        <w:wordWrap w:val="0"/>
        <w:overflowPunct/>
        <w:topLinePunct w:val="0"/>
        <w:bidi w:val="0"/>
        <w:spacing w:before="155" w:line="360"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8.1  </w:t>
      </w:r>
      <w:r>
        <w:rPr>
          <w:rFonts w:hint="eastAsia" w:ascii="宋体" w:hAnsi="宋体" w:eastAsia="宋体" w:cs="宋体"/>
          <w:color w:val="000000" w:themeColor="text1"/>
          <w:spacing w:val="0"/>
          <w:sz w:val="24"/>
          <w:szCs w:val="24"/>
          <w:highlight w:val="none"/>
          <w14:textFill>
            <w14:solidFill>
              <w14:schemeClr w14:val="tx1"/>
            </w14:solidFill>
          </w14:textFill>
        </w:rPr>
        <w:t>本招标项目按照以下依据编制</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1070EE1C">
      <w:pPr>
        <w:keepNext w:val="0"/>
        <w:keepLines w:val="0"/>
        <w:pageBreakBefore w:val="0"/>
        <w:wordWrap w:val="0"/>
        <w:overflowPunct/>
        <w:topLinePunct w:val="0"/>
        <w:bidi w:val="0"/>
        <w:spacing w:before="157" w:line="36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4A7247E5">
      <w:pPr>
        <w:keepNext w:val="0"/>
        <w:keepLines w:val="0"/>
        <w:pageBreakBefore w:val="0"/>
        <w:wordWrap w:val="0"/>
        <w:overflowPunct/>
        <w:topLinePunct w:val="0"/>
        <w:bidi w:val="0"/>
        <w:spacing w:before="153" w:line="360" w:lineRule="auto"/>
        <w:ind w:left="9" w:right="16"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31DF117C">
      <w:pPr>
        <w:keepNext w:val="0"/>
        <w:keepLines w:val="0"/>
        <w:pageBreakBefore w:val="0"/>
        <w:wordWrap w:val="0"/>
        <w:overflowPunct/>
        <w:topLinePunct w:val="0"/>
        <w:bidi w:val="0"/>
        <w:spacing w:before="154" w:line="36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（3）施工图及相关资料；</w:t>
      </w:r>
    </w:p>
    <w:p w14:paraId="2964A12F">
      <w:pPr>
        <w:keepNext w:val="0"/>
        <w:keepLines w:val="0"/>
        <w:pageBreakBefore w:val="0"/>
        <w:wordWrap w:val="0"/>
        <w:overflowPunct/>
        <w:topLinePunct w:val="0"/>
        <w:bidi w:val="0"/>
        <w:spacing w:before="78" w:line="360" w:lineRule="auto"/>
        <w:ind w:left="502"/>
        <w:rPr>
          <w:rFonts w:hint="eastAsia" w:ascii="宋体" w:hAnsi="宋体" w:eastAsia="宋体" w:cs="宋体"/>
          <w:color w:val="000000" w:themeColor="text1"/>
          <w:spacing w:val="0"/>
          <w:sz w:val="24"/>
          <w:szCs w:val="24"/>
          <w:highlight w:val="none"/>
          <w14:textFill>
            <w14:solidFill>
              <w14:schemeClr w14:val="tx1"/>
            </w14:solidFill>
          </w14:textFill>
        </w:rPr>
      </w:pPr>
      <w:bookmarkStart w:id="41" w:name="bookmark119"/>
      <w:bookmarkEnd w:id="41"/>
      <w:r>
        <w:rPr>
          <w:rFonts w:hint="eastAsia" w:ascii="宋体" w:hAnsi="宋体" w:eastAsia="宋体" w:cs="宋体"/>
          <w:color w:val="000000" w:themeColor="text1"/>
          <w:spacing w:val="0"/>
          <w:sz w:val="24"/>
          <w:szCs w:val="24"/>
          <w:highlight w:val="none"/>
          <w14:textFill>
            <w14:solidFill>
              <w14:schemeClr w14:val="tx1"/>
            </w14:solidFill>
          </w14:textFill>
        </w:rPr>
        <w:t>（4）招标文件及招标工程量清单；</w:t>
      </w:r>
    </w:p>
    <w:p w14:paraId="76D0A57F">
      <w:pPr>
        <w:keepNext w:val="0"/>
        <w:keepLines w:val="0"/>
        <w:pageBreakBefore w:val="0"/>
        <w:wordWrap w:val="0"/>
        <w:overflowPunct/>
        <w:topLinePunct w:val="0"/>
        <w:bidi w:val="0"/>
        <w:spacing w:before="155" w:line="360" w:lineRule="auto"/>
        <w:ind w:left="50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（5）施工现场情况、工程特点及常规施工方案；</w:t>
      </w:r>
    </w:p>
    <w:p w14:paraId="504E4C98">
      <w:pPr>
        <w:keepNext w:val="0"/>
        <w:keepLines w:val="0"/>
        <w:pageBreakBefore w:val="0"/>
        <w:wordWrap w:val="0"/>
        <w:overflowPunct/>
        <w:topLinePunct w:val="0"/>
        <w:bidi w:val="0"/>
        <w:spacing w:before="153" w:line="360" w:lineRule="auto"/>
        <w:ind w:left="12" w:right="136"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（6）项目所在地工程造价管理机构发布的工程造价信息，工程造价信息缺项的，参照市场价格；</w:t>
      </w:r>
    </w:p>
    <w:p w14:paraId="6B6B220A">
      <w:pPr>
        <w:keepNext w:val="0"/>
        <w:keepLines w:val="0"/>
        <w:pageBreakBefore w:val="0"/>
        <w:wordWrap w:val="0"/>
        <w:overflowPunct/>
        <w:topLinePunct w:val="0"/>
        <w:bidi w:val="0"/>
        <w:spacing w:before="157" w:line="360" w:lineRule="auto"/>
        <w:ind w:left="50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（7）与建设项目相关的标准、规范、技术资料。</w:t>
      </w:r>
    </w:p>
    <w:p w14:paraId="5D519EB1">
      <w:pPr>
        <w:keepNext w:val="0"/>
        <w:keepLines w:val="0"/>
        <w:pageBreakBefore w:val="0"/>
        <w:wordWrap w:val="0"/>
        <w:overflowPunct/>
        <w:topLinePunct w:val="0"/>
        <w:bidi w:val="0"/>
        <w:spacing w:before="79" w:line="360" w:lineRule="auto"/>
        <w:ind w:left="11" w:firstLine="479"/>
        <w:jc w:val="both"/>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本招标项目的</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、工程量清单、</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施工图纸</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在投标截止时间15天前以补充公告的形式在广东省招标投标监管网（http://zbtb.gd.gov.cn）、全国公共资源交易平台（广东省·韶关市）（https://ygp.gdzwfw.gov.cn/ggzy-portal/#/440200/index）网站公布。</w:t>
      </w:r>
    </w:p>
    <w:p w14:paraId="458077E8">
      <w:pPr>
        <w:keepNext w:val="0"/>
        <w:keepLines w:val="0"/>
        <w:pageBreakBefore w:val="0"/>
        <w:wordWrap w:val="0"/>
        <w:overflowPunct/>
        <w:topLinePunct w:val="0"/>
        <w:bidi w:val="0"/>
        <w:spacing w:before="79" w:line="360" w:lineRule="auto"/>
        <w:ind w:left="11" w:firstLine="479"/>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3</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1698FFA3">
      <w:pPr>
        <w:keepNext w:val="0"/>
        <w:keepLines w:val="0"/>
        <w:pageBreakBefore w:val="0"/>
        <w:wordWrap w:val="0"/>
        <w:overflowPunct/>
        <w:topLinePunct w:val="0"/>
        <w:bidi w:val="0"/>
        <w:spacing w:before="36" w:line="360" w:lineRule="auto"/>
        <w:ind w:left="10" w:right="200"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4</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本招标项目以暂估价形式列入招标工程量清单中的材料、工程设备、专业工程（以下统称“暂估价项目 ”）包括：</w:t>
      </w:r>
      <w:r>
        <w:rPr>
          <w:rFonts w:hint="eastAsia" w:ascii="宋体" w:hAnsi="宋体" w:eastAsia="宋体" w:cs="宋体"/>
          <w:color w:val="000000" w:themeColor="text1"/>
          <w:spacing w:val="0"/>
          <w:sz w:val="24"/>
          <w:szCs w:val="24"/>
          <w:highlight w:val="none"/>
          <w:u w:val="single"/>
          <w14:textFill>
            <w14:solidFill>
              <w14:schemeClr w14:val="tx1"/>
            </w14:solidFill>
          </w14:textFill>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p>
    <w:p w14:paraId="27DBB8AB">
      <w:pPr>
        <w:keepNext w:val="0"/>
        <w:keepLines w:val="0"/>
        <w:pageBreakBefore w:val="0"/>
        <w:wordWrap w:val="0"/>
        <w:overflowPunct/>
        <w:topLinePunct w:val="0"/>
        <w:bidi w:val="0"/>
        <w:spacing w:before="154" w:line="360" w:lineRule="auto"/>
        <w:ind w:left="12" w:right="200"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5</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当暂估价项目的内容、标准、要求在项目实施过程中得以深化、明确、固定后，按以下原则发包：</w:t>
      </w:r>
    </w:p>
    <w:p w14:paraId="2E6E5889">
      <w:pPr>
        <w:keepNext w:val="0"/>
        <w:keepLines w:val="0"/>
        <w:pageBreakBefore w:val="0"/>
        <w:wordWrap w:val="0"/>
        <w:overflowPunct/>
        <w:topLinePunct w:val="0"/>
        <w:bidi w:val="0"/>
        <w:spacing w:before="153" w:line="360" w:lineRule="auto"/>
        <w:ind w:left="-3" w:lef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（1）暂估价项目按工程、货物（指材料或工程设备，下同）的类别分类汇总的金额，达到必须招标规模标准的，由</w:t>
      </w:r>
      <w:r>
        <w:rPr>
          <w:rFonts w:hint="eastAsia" w:ascii="宋体" w:hAnsi="宋体" w:eastAsia="宋体" w:cs="宋体"/>
          <w:b/>
          <w:bCs/>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pacing w:val="0"/>
          <w:sz w:val="24"/>
          <w:szCs w:val="24"/>
          <w:highlight w:val="none"/>
          <w:u w:val="single"/>
          <w14:textFill>
            <w14:solidFill>
              <w14:schemeClr w14:val="tx1"/>
            </w14:solidFill>
          </w14:textFill>
        </w:rPr>
        <w:t xml:space="preserve">中标人招标，招标人参与管理 </w:t>
      </w:r>
      <w:r>
        <w:rPr>
          <w:rFonts w:hint="eastAsia" w:ascii="宋体" w:hAnsi="宋体" w:eastAsia="宋体" w:cs="宋体"/>
          <w:bCs/>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确定专业工程承包人（或材料、工程 设备供应商）和合同价格。</w:t>
      </w:r>
    </w:p>
    <w:p w14:paraId="748F67E9">
      <w:pPr>
        <w:keepNext w:val="0"/>
        <w:keepLines w:val="0"/>
        <w:pageBreakBefore w:val="0"/>
        <w:wordWrap w:val="0"/>
        <w:overflowPunct/>
        <w:topLinePunct w:val="0"/>
        <w:bidi w:val="0"/>
        <w:spacing w:before="30" w:line="299" w:lineRule="auto"/>
        <w:ind w:left="11" w:right="65"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（2）暂估价项目按工程、货物的类别分类汇总的金额，未达到必须招标规模标准但适用政府采购规定的，按照政府采购规定确定专业工程承包人（或材料、工程设备供应商）和合同价格。</w:t>
      </w:r>
    </w:p>
    <w:p w14:paraId="6736DF1E">
      <w:pPr>
        <w:keepNext w:val="0"/>
        <w:keepLines w:val="0"/>
        <w:pageBreakBefore w:val="0"/>
        <w:wordWrap w:val="0"/>
        <w:overflowPunct/>
        <w:topLinePunct w:val="0"/>
        <w:bidi w:val="0"/>
        <w:spacing w:before="154" w:line="309" w:lineRule="auto"/>
        <w:ind w:left="11" w:right="65"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6EC26BD9">
      <w:pPr>
        <w:keepNext w:val="0"/>
        <w:keepLines w:val="0"/>
        <w:pageBreakBefore w:val="0"/>
        <w:wordWrap w:val="0"/>
        <w:overflowPunct/>
        <w:topLinePunct w:val="0"/>
        <w:bidi w:val="0"/>
        <w:spacing w:before="154" w:line="299" w:lineRule="auto"/>
        <w:ind w:left="11" w:right="65"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（4）暂估价项目按工程、货物的类别分类汇总的金额，未达到必须招标规模标准也不适用政府采购规定，中标人既不具备相应资格条件又不具备分包权的，由招标人另行发包。</w:t>
      </w:r>
    </w:p>
    <w:p w14:paraId="51638999">
      <w:pPr>
        <w:keepNext w:val="0"/>
        <w:keepLines w:val="0"/>
        <w:pageBreakBefore w:val="0"/>
        <w:wordWrap w:val="0"/>
        <w:overflowPunct/>
        <w:topLinePunct w:val="0"/>
        <w:bidi w:val="0"/>
        <w:spacing w:before="155" w:line="279" w:lineRule="auto"/>
        <w:ind w:left="9" w:right="66"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（5）暂估价项目由其他承包人承包的，纳入中标人的管理和协调范围，由其他承包人向中标人承担质量、安全、文明施工、工期责任，中标人向招标人承担责任。</w:t>
      </w:r>
    </w:p>
    <w:p w14:paraId="06A8222B">
      <w:pPr>
        <w:keepNext w:val="0"/>
        <w:keepLines w:val="0"/>
        <w:pageBreakBefore w:val="0"/>
        <w:wordWrap w:val="0"/>
        <w:overflowPunct/>
        <w:topLinePunct w:val="0"/>
        <w:bidi w:val="0"/>
        <w:spacing w:before="155" w:line="333" w:lineRule="auto"/>
        <w:ind w:left="10" w:right="65" w:firstLine="478"/>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本招标项目以暂列金额形式列入招标工程量清单中的所需货物和服务的采购（以下统称“暂列金额项目 ”）若有发生，按照本节第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8.5 </w:t>
      </w:r>
      <w:r>
        <w:rPr>
          <w:rFonts w:hint="eastAsia" w:ascii="宋体" w:hAnsi="宋体" w:eastAsia="宋体" w:cs="宋体"/>
          <w:color w:val="000000" w:themeColor="text1"/>
          <w:spacing w:val="0"/>
          <w:sz w:val="24"/>
          <w:szCs w:val="24"/>
          <w:highlight w:val="none"/>
          <w14:textFill>
            <w14:solidFill>
              <w14:schemeClr w14:val="tx1"/>
            </w14:solidFill>
          </w14:textFill>
        </w:rPr>
        <w:t>条的规定确定货物（或服务）供应商和合同价格。暂列金额项目由其他承包人承包的，纳入中标人的管理和协调范围</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由其他承包人向中标人承担质量、安全、文明施工、工期责任，中标人向招标人承担责任。</w:t>
      </w:r>
    </w:p>
    <w:p w14:paraId="44041CF4">
      <w:pPr>
        <w:keepNext w:val="0"/>
        <w:keepLines w:val="0"/>
        <w:pageBreakBefore w:val="0"/>
        <w:wordWrap w:val="0"/>
        <w:overflowPunct/>
        <w:topLinePunct w:val="0"/>
        <w:bidi w:val="0"/>
        <w:spacing w:before="79" w:line="219" w:lineRule="auto"/>
        <w:ind w:left="487"/>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42" w:name="_Toc7353"/>
      <w:bookmarkStart w:id="43" w:name="_Toc22978"/>
      <w:r>
        <w:rPr>
          <w:rFonts w:hint="eastAsia" w:ascii="宋体" w:hAnsi="宋体" w:eastAsia="宋体" w:cs="宋体"/>
          <w:b/>
          <w:bCs/>
          <w:color w:val="000000" w:themeColor="text1"/>
          <w:spacing w:val="0"/>
          <w:sz w:val="24"/>
          <w:szCs w:val="24"/>
          <w:highlight w:val="none"/>
          <w14:textFill>
            <w14:solidFill>
              <w14:schemeClr w14:val="tx1"/>
            </w14:solidFill>
          </w14:textFill>
        </w:rPr>
        <w:t>9 ．投标报价</w:t>
      </w:r>
      <w:bookmarkEnd w:id="42"/>
      <w:bookmarkEnd w:id="43"/>
    </w:p>
    <w:p w14:paraId="0ED2EF22">
      <w:pPr>
        <w:keepNext w:val="0"/>
        <w:keepLines w:val="0"/>
        <w:pageBreakBefore w:val="0"/>
        <w:wordWrap w:val="0"/>
        <w:overflowPunct/>
        <w:topLinePunct w:val="0"/>
        <w:bidi w:val="0"/>
        <w:spacing w:before="157" w:line="219"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9.1  </w:t>
      </w:r>
      <w:r>
        <w:rPr>
          <w:rFonts w:hint="eastAsia" w:ascii="宋体" w:hAnsi="宋体" w:eastAsia="宋体" w:cs="宋体"/>
          <w:color w:val="000000" w:themeColor="text1"/>
          <w:spacing w:val="0"/>
          <w:sz w:val="24"/>
          <w:szCs w:val="24"/>
          <w:highlight w:val="none"/>
          <w14:textFill>
            <w14:solidFill>
              <w14:schemeClr w14:val="tx1"/>
            </w14:solidFill>
          </w14:textFill>
        </w:rPr>
        <w:t>投标人应按照以下依据编制投标报价：</w:t>
      </w:r>
    </w:p>
    <w:p w14:paraId="5DFFCF42">
      <w:pPr>
        <w:keepNext w:val="0"/>
        <w:keepLines w:val="0"/>
        <w:pageBreakBefore w:val="0"/>
        <w:wordWrap w:val="0"/>
        <w:overflowPunct/>
        <w:topLinePunct w:val="0"/>
        <w:bidi w:val="0"/>
        <w:spacing w:before="155"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1C5DC104">
      <w:pPr>
        <w:keepNext w:val="0"/>
        <w:keepLines w:val="0"/>
        <w:pageBreakBefore w:val="0"/>
        <w:wordWrap w:val="0"/>
        <w:overflowPunct/>
        <w:topLinePunct w:val="0"/>
        <w:bidi w:val="0"/>
        <w:spacing w:before="153" w:line="309" w:lineRule="auto"/>
        <w:ind w:left="9" w:right="65"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6A82739">
      <w:pPr>
        <w:keepNext w:val="0"/>
        <w:keepLines w:val="0"/>
        <w:pageBreakBefore w:val="0"/>
        <w:wordWrap w:val="0"/>
        <w:overflowPunct/>
        <w:topLinePunct w:val="0"/>
        <w:bidi w:val="0"/>
        <w:spacing w:before="78"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bookmarkStart w:id="44" w:name="bookmark120"/>
      <w:bookmarkEnd w:id="44"/>
      <w:r>
        <w:rPr>
          <w:rFonts w:hint="eastAsia" w:ascii="宋体" w:hAnsi="宋体" w:eastAsia="宋体" w:cs="宋体"/>
          <w:color w:val="000000" w:themeColor="text1"/>
          <w:spacing w:val="0"/>
          <w:sz w:val="24"/>
          <w:szCs w:val="24"/>
          <w:highlight w:val="none"/>
          <w14:textFill>
            <w14:solidFill>
              <w14:schemeClr w14:val="tx1"/>
            </w14:solidFill>
          </w14:textFill>
        </w:rPr>
        <w:t>（3）企业定额；</w:t>
      </w:r>
    </w:p>
    <w:p w14:paraId="21D7AB3A">
      <w:pPr>
        <w:keepNext w:val="0"/>
        <w:keepLines w:val="0"/>
        <w:pageBreakBefore w:val="0"/>
        <w:wordWrap w:val="0"/>
        <w:overflowPunct/>
        <w:topLinePunct w:val="0"/>
        <w:bidi w:val="0"/>
        <w:spacing w:before="155"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（4）招标文件及其答疑（或修改）公告、招标工程量清单；</w:t>
      </w:r>
    </w:p>
    <w:p w14:paraId="6C148BBB">
      <w:pPr>
        <w:keepNext w:val="0"/>
        <w:keepLines w:val="0"/>
        <w:pageBreakBefore w:val="0"/>
        <w:wordWrap w:val="0"/>
        <w:overflowPunct/>
        <w:topLinePunct w:val="0"/>
        <w:bidi w:val="0"/>
        <w:spacing w:before="154" w:line="221"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（5）施工图及相关资料；</w:t>
      </w:r>
    </w:p>
    <w:p w14:paraId="05C84BB3">
      <w:pPr>
        <w:keepNext w:val="0"/>
        <w:keepLines w:val="0"/>
        <w:pageBreakBefore w:val="0"/>
        <w:wordWrap w:val="0"/>
        <w:overflowPunct/>
        <w:topLinePunct w:val="0"/>
        <w:bidi w:val="0"/>
        <w:spacing w:before="152"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（6）施工现场情况、工程特点及投标时拟定的施工组织设计或施工方案；</w:t>
      </w:r>
    </w:p>
    <w:p w14:paraId="42F852A9">
      <w:pPr>
        <w:keepNext w:val="0"/>
        <w:keepLines w:val="0"/>
        <w:pageBreakBefore w:val="0"/>
        <w:wordWrap w:val="0"/>
        <w:overflowPunct/>
        <w:topLinePunct w:val="0"/>
        <w:bidi w:val="0"/>
        <w:spacing w:before="156"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（7）市场价格信息或项目所在地工程造价管理机构发布的工程造价信息；</w:t>
      </w:r>
    </w:p>
    <w:p w14:paraId="42E67E93">
      <w:pPr>
        <w:keepNext w:val="0"/>
        <w:keepLines w:val="0"/>
        <w:pageBreakBefore w:val="0"/>
        <w:wordWrap w:val="0"/>
        <w:overflowPunct/>
        <w:topLinePunct w:val="0"/>
        <w:bidi w:val="0"/>
        <w:spacing w:before="155"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（8）与建设项目相关的标准、规范、技术资料。</w:t>
      </w:r>
    </w:p>
    <w:p w14:paraId="655BD8EA">
      <w:pPr>
        <w:keepNext w:val="0"/>
        <w:keepLines w:val="0"/>
        <w:pageBreakBefore w:val="0"/>
        <w:wordWrap w:val="0"/>
        <w:overflowPunct/>
        <w:topLinePunct w:val="0"/>
        <w:bidi w:val="0"/>
        <w:spacing w:before="153" w:line="309" w:lineRule="auto"/>
        <w:ind w:left="8" w:right="150"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9.2  </w:t>
      </w:r>
      <w:r>
        <w:rPr>
          <w:rFonts w:hint="eastAsia" w:ascii="宋体" w:hAnsi="宋体" w:eastAsia="宋体" w:cs="宋体"/>
          <w:color w:val="000000" w:themeColor="text1"/>
          <w:spacing w:val="0"/>
          <w:sz w:val="24"/>
          <w:szCs w:val="24"/>
          <w:highlight w:val="none"/>
          <w14:textFill>
            <w14:solidFill>
              <w14:schemeClr w14:val="tx1"/>
            </w14:solidFill>
          </w14:textFill>
        </w:rPr>
        <w:t>投标人应根据招标工程量清单、工程量清单计价</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标准</w:t>
      </w:r>
      <w:r>
        <w:rPr>
          <w:rFonts w:hint="eastAsia" w:ascii="宋体" w:hAnsi="宋体" w:eastAsia="宋体" w:cs="宋体"/>
          <w:color w:val="000000" w:themeColor="text1"/>
          <w:spacing w:val="0"/>
          <w:sz w:val="24"/>
          <w:szCs w:val="24"/>
          <w:highlight w:val="none"/>
          <w14:textFill>
            <w14:solidFill>
              <w14:schemeClr w14:val="tx1"/>
            </w14:solidFill>
          </w14:textFill>
        </w:rPr>
        <w:t>中的工作内容、设计文件和有关要求、施工现场实际情况、投标人拟定的施工组织设计、本单位的企业定额和市场价格进行编制，自行报价，并承担一定范围内的风险费用。所谓“一定范围内的风险 ”是指合同约定的风险。</w:t>
      </w:r>
    </w:p>
    <w:p w14:paraId="7D8B28AF">
      <w:pPr>
        <w:keepNext w:val="0"/>
        <w:keepLines w:val="0"/>
        <w:pageBreakBefore w:val="0"/>
        <w:wordWrap w:val="0"/>
        <w:overflowPunct/>
        <w:topLinePunct w:val="0"/>
        <w:bidi w:val="0"/>
        <w:spacing w:before="152" w:line="309" w:lineRule="auto"/>
        <w:ind w:left="9" w:right="150" w:firstLine="55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9.3  </w:t>
      </w:r>
      <w:r>
        <w:rPr>
          <w:rFonts w:hint="eastAsia" w:ascii="宋体" w:hAnsi="宋体" w:eastAsia="宋体" w:cs="宋体"/>
          <w:color w:val="000000" w:themeColor="text1"/>
          <w:spacing w:val="0"/>
          <w:sz w:val="24"/>
          <w:szCs w:val="24"/>
          <w:highlight w:val="none"/>
          <w14:textFill>
            <w14:solidFill>
              <w14:schemeClr w14:val="tx1"/>
            </w14:solidFill>
          </w14:textFill>
        </w:rPr>
        <w:t>招标人及招标代理机构不集中组织现场踏勘，投标人需要了解现场情况的，可自行进行现场踏勘。各投标人应勘察施工现场及周围环境、地形、地貌、水文、交通等情况，以获得一切可能影响到投标的直接资料。投标人应针对现场情况编制施工组织设计，并在编制投标报价时考虑现场情况的影响。</w:t>
      </w:r>
    </w:p>
    <w:p w14:paraId="7BD0F3F4">
      <w:pPr>
        <w:keepNext w:val="0"/>
        <w:keepLines w:val="0"/>
        <w:pageBreakBefore w:val="0"/>
        <w:wordWrap w:val="0"/>
        <w:overflowPunct/>
        <w:topLinePunct w:val="0"/>
        <w:bidi w:val="0"/>
        <w:spacing w:before="155" w:line="279" w:lineRule="auto"/>
        <w:ind w:left="10" w:right="150"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9.4  </w:t>
      </w:r>
      <w:r>
        <w:rPr>
          <w:rFonts w:hint="eastAsia" w:ascii="宋体" w:hAnsi="宋体" w:eastAsia="宋体" w:cs="宋体"/>
          <w:color w:val="000000" w:themeColor="text1"/>
          <w:spacing w:val="0"/>
          <w:sz w:val="24"/>
          <w:szCs w:val="24"/>
          <w:highlight w:val="none"/>
          <w14:textFill>
            <w14:solidFill>
              <w14:schemeClr w14:val="tx1"/>
            </w14:solidFill>
          </w14:textFill>
        </w:rPr>
        <w:t>招标人向投标人提供的有关现场的数据和资料，是招标人现有的能被投标人利用的资料，招标人对投标人做出的任何推论、理解和结论均不负责任。</w:t>
      </w:r>
    </w:p>
    <w:p w14:paraId="18DC3EDD">
      <w:pPr>
        <w:keepNext w:val="0"/>
        <w:keepLines w:val="0"/>
        <w:pageBreakBefore w:val="0"/>
        <w:wordWrap w:val="0"/>
        <w:overflowPunct/>
        <w:topLinePunct w:val="0"/>
        <w:bidi w:val="0"/>
        <w:spacing w:before="154" w:line="299" w:lineRule="auto"/>
        <w:ind w:left="12" w:firstLine="55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9.5  </w:t>
      </w:r>
      <w:r>
        <w:rPr>
          <w:rFonts w:hint="eastAsia" w:ascii="宋体" w:hAnsi="宋体" w:eastAsia="宋体" w:cs="宋体"/>
          <w:color w:val="000000" w:themeColor="text1"/>
          <w:spacing w:val="0"/>
          <w:sz w:val="24"/>
          <w:szCs w:val="24"/>
          <w:highlight w:val="none"/>
          <w14:textFill>
            <w14:solidFill>
              <w14:schemeClr w14:val="tx1"/>
            </w14:solidFill>
          </w14:textFill>
        </w:rPr>
        <w:t>投标人必须按照招标工程量清单及表格填报价格。项目编码、项目名称、项目特征、计量单位、工程量必须与招标工程量清单一致。所有报价均以人民币“元 ”为单位，并保留小数点后两位。</w:t>
      </w:r>
    </w:p>
    <w:p w14:paraId="2DEC74A0">
      <w:pPr>
        <w:keepNext w:val="0"/>
        <w:keepLines w:val="0"/>
        <w:pageBreakBefore w:val="0"/>
        <w:wordWrap w:val="0"/>
        <w:overflowPunct/>
        <w:topLinePunct w:val="0"/>
        <w:bidi w:val="0"/>
        <w:spacing w:before="158" w:line="314" w:lineRule="auto"/>
        <w:ind w:left="9" w:right="150" w:firstLine="55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9.6  </w:t>
      </w:r>
      <w:r>
        <w:rPr>
          <w:rFonts w:hint="eastAsia" w:ascii="宋体" w:hAnsi="宋体" w:eastAsia="宋体" w:cs="宋体"/>
          <w:color w:val="000000" w:themeColor="text1"/>
          <w:spacing w:val="0"/>
          <w:sz w:val="24"/>
          <w:szCs w:val="24"/>
          <w:highlight w:val="none"/>
          <w14:textFill>
            <w14:solidFill>
              <w14:schemeClr w14:val="tx1"/>
            </w14:solidFill>
          </w14:textFill>
        </w:rPr>
        <w:t>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40CE886C">
      <w:pPr>
        <w:keepNext w:val="0"/>
        <w:keepLines w:val="0"/>
        <w:pageBreakBefore w:val="0"/>
        <w:wordWrap w:val="0"/>
        <w:overflowPunct/>
        <w:topLinePunct w:val="0"/>
        <w:bidi w:val="0"/>
        <w:spacing w:before="152" w:line="309" w:lineRule="auto"/>
        <w:ind w:left="7" w:right="120" w:firstLine="48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9.7  </w:t>
      </w:r>
      <w:r>
        <w:rPr>
          <w:rFonts w:hint="eastAsia" w:ascii="宋体" w:hAnsi="宋体" w:eastAsia="宋体" w:cs="宋体"/>
          <w:color w:val="000000" w:themeColor="text1"/>
          <w:spacing w:val="0"/>
          <w:sz w:val="24"/>
          <w:szCs w:val="24"/>
          <w:highlight w:val="none"/>
          <w14:textFill>
            <w14:solidFill>
              <w14:schemeClr w14:val="tx1"/>
            </w14:solidFill>
          </w14:textFill>
        </w:rPr>
        <w:t>投标人的投标总价不得高于</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，也不得低于工程成本。投标人对投标总价的所有优惠（降价、让利等），均应当反映在具体清单项目或其综合单价的报价上。</w:t>
      </w:r>
      <w:r>
        <w:rPr>
          <w:rFonts w:hint="eastAsia" w:ascii="宋体" w:hAnsi="宋体" w:eastAsia="宋体" w:cs="宋体"/>
          <w:b/>
          <w:bCs/>
          <w:color w:val="000000" w:themeColor="text1"/>
          <w:spacing w:val="0"/>
          <w:sz w:val="24"/>
          <w:szCs w:val="24"/>
          <w:highlight w:val="none"/>
          <w14:textFill>
            <w14:solidFill>
              <w14:schemeClr w14:val="tx1"/>
            </w14:solidFill>
          </w14:textFill>
        </w:rPr>
        <w:t>如果投标人的投标总价下浮率高于</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15%时，投标人必须在投标文件中专项作出详细合理的书面说明并提供以往类似工程详细成本分析报告供评标委员会审查。</w:t>
      </w:r>
    </w:p>
    <w:p w14:paraId="2EE97EFC">
      <w:pPr>
        <w:keepNext w:val="0"/>
        <w:keepLines w:val="0"/>
        <w:pageBreakBefore w:val="0"/>
        <w:wordWrap w:val="0"/>
        <w:overflowPunct/>
        <w:topLinePunct w:val="0"/>
        <w:bidi w:val="0"/>
        <w:outlineLvl w:val="9"/>
        <w:rPr>
          <w:rFonts w:hint="eastAsia" w:ascii="宋体" w:hAnsi="宋体" w:eastAsia="宋体" w:cs="宋体"/>
          <w:color w:val="000000" w:themeColor="text1"/>
          <w:spacing w:val="0"/>
          <w:highlight w:val="none"/>
          <w:lang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投标总价下浮率=（1-投标总价</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100%</w:t>
      </w:r>
    </w:p>
    <w:p w14:paraId="0A848A62">
      <w:pPr>
        <w:keepNext w:val="0"/>
        <w:keepLines w:val="0"/>
        <w:pageBreakBefore w:val="0"/>
        <w:wordWrap w:val="0"/>
        <w:overflowPunct/>
        <w:topLinePunct w:val="0"/>
        <w:bidi w:val="0"/>
        <w:spacing w:before="146" w:line="325" w:lineRule="auto"/>
        <w:ind w:left="29" w:right="153" w:firstLine="458"/>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9.8  </w:t>
      </w:r>
      <w:r>
        <w:rPr>
          <w:rFonts w:hint="eastAsia" w:ascii="宋体" w:hAnsi="宋体" w:eastAsia="宋体" w:cs="宋体"/>
          <w:color w:val="000000" w:themeColor="text1"/>
          <w:spacing w:val="0"/>
          <w:sz w:val="24"/>
          <w:szCs w:val="24"/>
          <w:highlight w:val="none"/>
          <w14:textFill>
            <w14:solidFill>
              <w14:schemeClr w14:val="tx1"/>
            </w14:solidFill>
          </w14:textFill>
        </w:rPr>
        <w:t>投标人的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报价必须达到或超过</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中提供的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76AD78D0">
      <w:pPr>
        <w:keepNext w:val="0"/>
        <w:keepLines w:val="0"/>
        <w:pageBreakBefore w:val="0"/>
        <w:wordWrap w:val="0"/>
        <w:overflowPunct/>
        <w:topLinePunct w:val="0"/>
        <w:bidi w:val="0"/>
        <w:spacing w:before="78" w:line="309" w:lineRule="auto"/>
        <w:ind w:right="99"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9.9  </w:t>
      </w:r>
      <w:r>
        <w:rPr>
          <w:rFonts w:hint="eastAsia" w:ascii="宋体" w:hAnsi="宋体" w:eastAsia="宋体" w:cs="宋体"/>
          <w:color w:val="000000" w:themeColor="text1"/>
          <w:spacing w:val="0"/>
          <w:sz w:val="24"/>
          <w:szCs w:val="24"/>
          <w:highlight w:val="none"/>
          <w14:textFill>
            <w14:solidFill>
              <w14:schemeClr w14:val="tx1"/>
            </w14:solidFill>
          </w14:textFill>
        </w:rPr>
        <w:t>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p>
    <w:p w14:paraId="31555D04">
      <w:pPr>
        <w:pStyle w:val="5"/>
        <w:keepNext w:val="0"/>
        <w:keepLines w:val="0"/>
        <w:pageBreakBefore w:val="0"/>
        <w:widowControl/>
        <w:kinsoku w:val="0"/>
        <w:wordWrap w:val="0"/>
        <w:overflowPunct/>
        <w:topLinePunct w:val="0"/>
        <w:autoSpaceDE w:val="0"/>
        <w:autoSpaceDN w:val="0"/>
        <w:bidi w:val="0"/>
        <w:adjustRightInd w:val="0"/>
        <w:snapToGrid w:val="0"/>
        <w:spacing w:line="310" w:lineRule="auto"/>
        <w:ind w:firstLine="422" w:firstLineChars="200"/>
        <w:textAlignment w:val="baseline"/>
        <w:rPr>
          <w:rFonts w:hint="eastAsia" w:ascii="宋体" w:hAnsi="宋体" w:eastAsia="宋体" w:cs="宋体"/>
          <w:snapToGrid w:val="0"/>
          <w:color w:val="000000" w:themeColor="text1"/>
          <w:spacing w:val="0"/>
          <w:sz w:val="24"/>
          <w:szCs w:val="24"/>
          <w:highlight w:val="none"/>
          <w:lang w:val="en-US" w:eastAsia="en-US" w:bidi="ar-SA"/>
          <w14:textFill>
            <w14:solidFill>
              <w14:schemeClr w14:val="tx1"/>
            </w14:solidFill>
          </w14:textFill>
        </w:rPr>
      </w:pPr>
      <w:r>
        <w:rPr>
          <w:rFonts w:hint="eastAsia" w:ascii="宋体" w:hAnsi="宋体" w:eastAsia="宋体" w:cs="宋体"/>
          <w:b/>
          <w:bCs/>
          <w:color w:val="000000" w:themeColor="text1"/>
          <w:spacing w:val="0"/>
          <w:highlight w:val="none"/>
          <w14:textFill>
            <w14:solidFill>
              <w14:schemeClr w14:val="tx1"/>
            </w14:solidFill>
          </w14:textFill>
        </w:rPr>
        <w:t xml:space="preserve">9.10 </w:t>
      </w:r>
      <w:r>
        <w:rPr>
          <w:rFonts w:hint="eastAsia" w:ascii="宋体" w:hAnsi="宋体" w:eastAsia="宋体" w:cs="宋体"/>
          <w:snapToGrid w:val="0"/>
          <w:color w:val="000000" w:themeColor="text1"/>
          <w:spacing w:val="0"/>
          <w:sz w:val="24"/>
          <w:szCs w:val="24"/>
          <w:highlight w:val="none"/>
          <w:lang w:val="en-US" w:eastAsia="en-US" w:bidi="ar-SA"/>
          <w14:textFill>
            <w14:solidFill>
              <w14:schemeClr w14:val="tx1"/>
            </w14:solidFill>
          </w14:textFill>
        </w:rPr>
        <w:t>预算包干费预算审核时，不计取该项费用；结算审核时，按实结算。</w:t>
      </w:r>
    </w:p>
    <w:p w14:paraId="02BC6D0D">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45" w:name="_Toc16322"/>
      <w:bookmarkStart w:id="46" w:name="_Toc1984"/>
      <w:r>
        <w:rPr>
          <w:rFonts w:hint="eastAsia" w:ascii="宋体" w:hAnsi="宋体" w:eastAsia="宋体" w:cs="宋体"/>
          <w:b/>
          <w:bCs/>
          <w:color w:val="000000" w:themeColor="text1"/>
          <w:spacing w:val="0"/>
          <w:sz w:val="24"/>
          <w:szCs w:val="24"/>
          <w:highlight w:val="none"/>
          <w14:textFill>
            <w14:solidFill>
              <w14:schemeClr w14:val="tx1"/>
            </w14:solidFill>
          </w14:textFill>
        </w:rPr>
        <w:t>10 ．投标文件的编制要求</w:t>
      </w:r>
      <w:bookmarkEnd w:id="45"/>
      <w:bookmarkEnd w:id="46"/>
    </w:p>
    <w:p w14:paraId="1ADA1598">
      <w:pPr>
        <w:keepNext w:val="0"/>
        <w:keepLines w:val="0"/>
        <w:pageBreakBefore w:val="0"/>
        <w:wordWrap w:val="0"/>
        <w:overflowPunct/>
        <w:topLinePunct w:val="0"/>
        <w:bidi w:val="0"/>
        <w:spacing w:before="152" w:line="360" w:lineRule="auto"/>
        <w:ind w:left="496"/>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47" w:name="_Toc22937"/>
      <w:bookmarkStart w:id="48" w:name="_Toc20590"/>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  </w:t>
      </w:r>
      <w:r>
        <w:rPr>
          <w:rFonts w:hint="eastAsia" w:ascii="宋体" w:hAnsi="宋体" w:eastAsia="宋体" w:cs="宋体"/>
          <w:color w:val="000000" w:themeColor="text1"/>
          <w:spacing w:val="0"/>
          <w:sz w:val="24"/>
          <w:szCs w:val="24"/>
          <w:highlight w:val="none"/>
          <w14:textFill>
            <w14:solidFill>
              <w14:schemeClr w14:val="tx1"/>
            </w14:solidFill>
          </w14:textFill>
        </w:rPr>
        <w:t>一般要求</w:t>
      </w:r>
      <w:bookmarkEnd w:id="47"/>
      <w:bookmarkEnd w:id="48"/>
    </w:p>
    <w:p w14:paraId="3BA09E09">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投标文件应按第六章投标文件格式规定的内容，投标人提交的投标文件应当使用招标文件所提供的投标文件全部格式。</w:t>
      </w:r>
    </w:p>
    <w:p w14:paraId="64F68F54">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10.1.1  </w:t>
      </w:r>
      <w:r>
        <w:rPr>
          <w:rFonts w:hint="eastAsia" w:ascii="宋体" w:hAnsi="宋体" w:eastAsia="宋体" w:cs="宋体"/>
          <w:color w:val="000000" w:themeColor="text1"/>
          <w:spacing w:val="0"/>
          <w:sz w:val="24"/>
          <w:szCs w:val="24"/>
          <w:highlight w:val="none"/>
          <w14:textFill>
            <w14:solidFill>
              <w14:schemeClr w14:val="tx1"/>
            </w14:solidFill>
          </w14:textFill>
        </w:rPr>
        <w:t>投标人必须响应招标文件，并在充分理解招标人提供的全部文件、设计图纸、资料及现场条件的基础上编制投标文件。因投标文件不符合招标文件的要求而造成的损失和后果，由投标人自行承担。</w:t>
      </w:r>
    </w:p>
    <w:p w14:paraId="51122B59">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10.1.2  </w:t>
      </w:r>
      <w:r>
        <w:rPr>
          <w:rFonts w:hint="eastAsia" w:ascii="宋体" w:hAnsi="宋体" w:eastAsia="宋体" w:cs="宋体"/>
          <w:color w:val="000000" w:themeColor="text1"/>
          <w:spacing w:val="0"/>
          <w:sz w:val="24"/>
          <w:szCs w:val="24"/>
          <w:highlight w:val="none"/>
          <w14:textFill>
            <w14:solidFill>
              <w14:schemeClr w14:val="tx1"/>
            </w14:solidFill>
          </w14:textFill>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 ·韶关市）交易指引。</w:t>
      </w:r>
    </w:p>
    <w:p w14:paraId="1C1308EF">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10.1.3  </w:t>
      </w:r>
      <w:r>
        <w:rPr>
          <w:rFonts w:hint="eastAsia" w:ascii="宋体" w:hAnsi="宋体" w:eastAsia="宋体" w:cs="宋体"/>
          <w:color w:val="000000" w:themeColor="text1"/>
          <w:spacing w:val="0"/>
          <w:sz w:val="24"/>
          <w:szCs w:val="24"/>
          <w:highlight w:val="none"/>
          <w14:textFill>
            <w14:solidFill>
              <w14:schemeClr w14:val="tx1"/>
            </w14:solidFill>
          </w14:textFill>
        </w:rPr>
        <w:t>投标文件需按以下要求签字、盖章：电子投标文件：</w:t>
      </w:r>
    </w:p>
    <w:p w14:paraId="75FDA074">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"10.1.3.1"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10.1.3.1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投标文件封面、组成内容中凡注明“签字 ”处由要求的人员签字或电子签章；凡注明“签字或盖章 ”处由要求的人员签字或盖其私章（电子印章）；凡注明 “签字并盖执业印章 ”处由要求的人员签字并盖其执业印章。</w:t>
      </w:r>
    </w:p>
    <w:p w14:paraId="6358B792">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"10.1.3.2"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10.1.3.2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投标文件封套、封面、组成内容中凡要求录入投标人名称且注明“盖单位章 ”处盖单位法人公章（电子印章）。</w:t>
      </w:r>
    </w:p>
    <w:p w14:paraId="3F70DCC9">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"10.1.3.3"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10.1.3.3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投标文件的签字均为签字人本人亲笔署名或签章（电子印章），其余部分的复印件无须另行签字、盖章。</w:t>
      </w:r>
    </w:p>
    <w:p w14:paraId="2DA037BE">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2" w:firstLineChars="200"/>
        <w:textAlignment w:val="baseline"/>
        <w:outlineLvl w:val="9"/>
        <w:rPr>
          <w:rFonts w:hint="eastAsia" w:ascii="宋体" w:hAnsi="宋体" w:eastAsia="宋体" w:cs="宋体"/>
          <w:b w:val="0"/>
          <w:bCs w:val="0"/>
          <w:color w:val="000000" w:themeColor="text1"/>
          <w:spacing w:val="0"/>
          <w:sz w:val="24"/>
          <w:szCs w:val="24"/>
          <w:highlight w:val="none"/>
          <w14:textFill>
            <w14:solidFill>
              <w14:schemeClr w14:val="tx1"/>
            </w14:solidFill>
          </w14:textFill>
        </w:rPr>
      </w:pPr>
      <w:bookmarkStart w:id="49" w:name="_Toc20223"/>
      <w:bookmarkStart w:id="50" w:name="_Toc21271"/>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10.1.3.4 </w:t>
      </w:r>
      <w:r>
        <w:rPr>
          <w:rFonts w:hint="eastAsia" w:ascii="宋体" w:hAnsi="宋体" w:eastAsia="宋体" w:cs="宋体"/>
          <w:color w:val="000000" w:themeColor="text1"/>
          <w:spacing w:val="0"/>
          <w:sz w:val="24"/>
          <w:szCs w:val="24"/>
          <w:highlight w:val="none"/>
          <w14:textFill>
            <w14:solidFill>
              <w14:schemeClr w14:val="tx1"/>
            </w14:solidFill>
          </w14:textFill>
        </w:rPr>
        <w:t>联合体投标的，除《联合体协议书》外，由联合体牵头人按以上要求签亲笔署名或签章（电子印章）即可。</w:t>
      </w:r>
    </w:p>
    <w:p w14:paraId="0C858C64">
      <w:pPr>
        <w:keepNext w:val="0"/>
        <w:keepLines w:val="0"/>
        <w:pageBreakBefore w:val="0"/>
        <w:wordWrap w:val="0"/>
        <w:overflowPunct/>
        <w:topLinePunct w:val="0"/>
        <w:bidi w:val="0"/>
        <w:spacing w:before="155" w:line="219" w:lineRule="auto"/>
        <w:ind w:left="500"/>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  </w:t>
      </w:r>
      <w:r>
        <w:rPr>
          <w:rFonts w:hint="eastAsia" w:ascii="宋体" w:hAnsi="宋体" w:eastAsia="宋体" w:cs="宋体"/>
          <w:color w:val="000000" w:themeColor="text1"/>
          <w:spacing w:val="0"/>
          <w:sz w:val="24"/>
          <w:szCs w:val="24"/>
          <w:highlight w:val="none"/>
          <w14:textFill>
            <w14:solidFill>
              <w14:schemeClr w14:val="tx1"/>
            </w14:solidFill>
          </w14:textFill>
        </w:rPr>
        <w:t>商务标书的编制要求</w:t>
      </w:r>
      <w:bookmarkEnd w:id="49"/>
      <w:bookmarkEnd w:id="50"/>
    </w:p>
    <w:p w14:paraId="0C2AF9BC">
      <w:pPr>
        <w:keepNext w:val="0"/>
        <w:keepLines w:val="0"/>
        <w:pageBreakBefore w:val="0"/>
        <w:wordWrap w:val="0"/>
        <w:overflowPunct/>
        <w:topLinePunct w:val="0"/>
        <w:bidi w:val="0"/>
        <w:spacing w:before="157" w:line="219" w:lineRule="auto"/>
        <w:ind w:left="5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10.2.1 </w:t>
      </w:r>
      <w:r>
        <w:rPr>
          <w:rFonts w:hint="eastAsia" w:ascii="宋体" w:hAnsi="宋体" w:eastAsia="宋体" w:cs="宋体"/>
          <w:color w:val="000000" w:themeColor="text1"/>
          <w:spacing w:val="0"/>
          <w:sz w:val="24"/>
          <w:szCs w:val="24"/>
          <w:highlight w:val="none"/>
          <w14:textFill>
            <w14:solidFill>
              <w14:schemeClr w14:val="tx1"/>
            </w14:solidFill>
          </w14:textFill>
        </w:rPr>
        <w:t>商务标书包括但不限于以下内容：</w:t>
      </w:r>
    </w:p>
    <w:p w14:paraId="352E57AE">
      <w:pPr>
        <w:keepNext w:val="0"/>
        <w:keepLines w:val="0"/>
        <w:pageBreakBefore w:val="0"/>
        <w:wordWrap w:val="0"/>
        <w:overflowPunct/>
        <w:topLinePunct w:val="0"/>
        <w:bidi w:val="0"/>
        <w:spacing w:before="154"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（1）封面（格式一）；</w:t>
      </w:r>
    </w:p>
    <w:p w14:paraId="76EADC31">
      <w:pPr>
        <w:keepNext w:val="0"/>
        <w:keepLines w:val="0"/>
        <w:pageBreakBefore w:val="0"/>
        <w:wordWrap w:val="0"/>
        <w:overflowPunct/>
        <w:topLinePunct w:val="0"/>
        <w:bidi w:val="0"/>
        <w:spacing w:before="153" w:line="222"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目录；</w:t>
      </w:r>
    </w:p>
    <w:p w14:paraId="774FBD39">
      <w:pPr>
        <w:keepNext w:val="0"/>
        <w:keepLines w:val="0"/>
        <w:pageBreakBefore w:val="0"/>
        <w:wordWrap w:val="0"/>
        <w:overflowPunct/>
        <w:topLinePunct w:val="0"/>
        <w:bidi w:val="0"/>
        <w:spacing w:before="153"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（3）《投标函》（格式二）；</w:t>
      </w:r>
    </w:p>
    <w:p w14:paraId="720161C8">
      <w:pPr>
        <w:keepNext w:val="0"/>
        <w:keepLines w:val="0"/>
        <w:pageBreakBefore w:val="0"/>
        <w:wordWrap w:val="0"/>
        <w:overflowPunct/>
        <w:topLinePunct w:val="0"/>
        <w:bidi w:val="0"/>
        <w:spacing w:before="153"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（4）《各项承诺一览表》（格式三）；</w:t>
      </w:r>
    </w:p>
    <w:p w14:paraId="7094AFC2">
      <w:pPr>
        <w:keepNext w:val="0"/>
        <w:keepLines w:val="0"/>
        <w:pageBreakBefore w:val="0"/>
        <w:wordWrap w:val="0"/>
        <w:overflowPunct/>
        <w:topLinePunct w:val="0"/>
        <w:bidi w:val="0"/>
        <w:spacing w:before="154"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（5）《授权委托书》（格式四）；</w:t>
      </w:r>
    </w:p>
    <w:p w14:paraId="3AF70EF9">
      <w:pPr>
        <w:keepNext w:val="0"/>
        <w:keepLines w:val="0"/>
        <w:pageBreakBefore w:val="0"/>
        <w:wordWrap w:val="0"/>
        <w:overflowPunct/>
        <w:topLinePunct w:val="0"/>
        <w:bidi w:val="0"/>
        <w:spacing w:before="156"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（6）《法定代表人身份证明》（格式五）；</w:t>
      </w:r>
    </w:p>
    <w:p w14:paraId="2DB8A529">
      <w:pPr>
        <w:keepNext w:val="0"/>
        <w:keepLines w:val="0"/>
        <w:pageBreakBefore w:val="0"/>
        <w:wordWrap w:val="0"/>
        <w:overflowPunct/>
        <w:topLinePunct w:val="0"/>
        <w:bidi w:val="0"/>
        <w:spacing w:before="154"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（7）《联合体协议书》（格式六）及所附资料；</w:t>
      </w:r>
    </w:p>
    <w:p w14:paraId="6673BC70">
      <w:pPr>
        <w:keepNext w:val="0"/>
        <w:keepLines w:val="0"/>
        <w:pageBreakBefore w:val="0"/>
        <w:wordWrap w:val="0"/>
        <w:overflowPunct/>
        <w:topLinePunct w:val="0"/>
        <w:bidi w:val="0"/>
        <w:spacing w:before="153" w:line="309" w:lineRule="auto"/>
        <w:ind w:left="13" w:right="133"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投标保证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b/>
          <w:bCs/>
          <w:color w:val="000000" w:themeColor="text1"/>
          <w:spacing w:val="0"/>
          <w:sz w:val="24"/>
          <w:szCs w:val="24"/>
          <w:highlight w:val="none"/>
          <w14:textFill>
            <w14:solidFill>
              <w14:schemeClr w14:val="tx1"/>
            </w14:solidFill>
          </w14:textFill>
        </w:rPr>
        <w:t>《韶关市公共资源交易一体化平台保证金缴纳信息》页面截图</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36031B27">
      <w:pPr>
        <w:keepNext w:val="0"/>
        <w:keepLines w:val="0"/>
        <w:pageBreakBefore w:val="0"/>
        <w:wordWrap w:val="0"/>
        <w:overflowPunct/>
        <w:topLinePunct w:val="0"/>
        <w:bidi w:val="0"/>
        <w:spacing w:before="156"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（9）《投标人基本情况表》（格式七）及所附资料；</w:t>
      </w:r>
    </w:p>
    <w:p w14:paraId="2CE7262F">
      <w:pPr>
        <w:keepNext w:val="0"/>
        <w:keepLines w:val="0"/>
        <w:pageBreakBefore w:val="0"/>
        <w:wordWrap w:val="0"/>
        <w:overflowPunct/>
        <w:topLinePunct w:val="0"/>
        <w:bidi w:val="0"/>
        <w:spacing w:before="155"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（10）《项目经理简历表》（格式八）及所附资料；</w:t>
      </w:r>
    </w:p>
    <w:p w14:paraId="4BF4D313">
      <w:pPr>
        <w:keepNext w:val="0"/>
        <w:keepLines w:val="0"/>
        <w:pageBreakBefore w:val="0"/>
        <w:wordWrap w:val="0"/>
        <w:overflowPunct/>
        <w:topLinePunct w:val="0"/>
        <w:bidi w:val="0"/>
        <w:spacing w:before="154"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（11）《项目经理任职声明》（格式九）；</w:t>
      </w:r>
    </w:p>
    <w:p w14:paraId="6D95CC60">
      <w:pPr>
        <w:keepNext w:val="0"/>
        <w:keepLines w:val="0"/>
        <w:pageBreakBefore w:val="0"/>
        <w:wordWrap w:val="0"/>
        <w:overflowPunct/>
        <w:topLinePunct w:val="0"/>
        <w:bidi w:val="0"/>
        <w:spacing w:before="156"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（12）《项目技术负责人简历表》（格式十）及所附资料；</w:t>
      </w:r>
    </w:p>
    <w:p w14:paraId="0132BAD9">
      <w:pPr>
        <w:keepNext w:val="0"/>
        <w:keepLines w:val="0"/>
        <w:pageBreakBefore w:val="0"/>
        <w:wordWrap w:val="0"/>
        <w:overflowPunct/>
        <w:topLinePunct w:val="0"/>
        <w:bidi w:val="0"/>
        <w:spacing w:before="154"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（13）《项</w:t>
      </w:r>
      <w:bookmarkStart w:id="51" w:name="OLE_LINK7"/>
      <w:r>
        <w:rPr>
          <w:rFonts w:hint="eastAsia" w:ascii="宋体" w:hAnsi="宋体" w:eastAsia="宋体" w:cs="宋体"/>
          <w:color w:val="000000" w:themeColor="text1"/>
          <w:spacing w:val="0"/>
          <w:sz w:val="24"/>
          <w:szCs w:val="24"/>
          <w:highlight w:val="none"/>
          <w14:textFill>
            <w14:solidFill>
              <w14:schemeClr w14:val="tx1"/>
            </w14:solidFill>
          </w14:textFill>
        </w:rPr>
        <w:t>目管理机构组成表》（格式十一）及</w:t>
      </w:r>
      <w:bookmarkEnd w:id="51"/>
      <w:r>
        <w:rPr>
          <w:rFonts w:hint="eastAsia" w:ascii="宋体" w:hAnsi="宋体" w:eastAsia="宋体" w:cs="宋体"/>
          <w:color w:val="000000" w:themeColor="text1"/>
          <w:spacing w:val="0"/>
          <w:sz w:val="24"/>
          <w:szCs w:val="24"/>
          <w:highlight w:val="none"/>
          <w14:textFill>
            <w14:solidFill>
              <w14:schemeClr w14:val="tx1"/>
            </w14:solidFill>
          </w14:textFill>
        </w:rPr>
        <w:t>所附资料；</w:t>
      </w:r>
    </w:p>
    <w:p w14:paraId="6E0A04ED">
      <w:pPr>
        <w:keepNext w:val="0"/>
        <w:keepLines w:val="0"/>
        <w:pageBreakBefore w:val="0"/>
        <w:wordWrap w:val="0"/>
        <w:overflowPunct/>
        <w:topLinePunct w:val="0"/>
        <w:bidi w:val="0"/>
        <w:spacing w:before="155" w:line="36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（14）本节第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15.5.1 </w:t>
      </w:r>
      <w:r>
        <w:rPr>
          <w:rFonts w:hint="eastAsia" w:ascii="宋体" w:hAnsi="宋体" w:eastAsia="宋体" w:cs="宋体"/>
          <w:color w:val="000000" w:themeColor="text1"/>
          <w:spacing w:val="0"/>
          <w:sz w:val="24"/>
          <w:szCs w:val="24"/>
          <w:highlight w:val="none"/>
          <w14:textFill>
            <w14:solidFill>
              <w14:schemeClr w14:val="tx1"/>
            </w14:solidFill>
          </w14:textFill>
        </w:rPr>
        <w:t>目“评标方法 ”要求提供的评审资料；</w:t>
      </w:r>
    </w:p>
    <w:p w14:paraId="03DF9A5F">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（15）投标人认为有必要补充的其他资料。（例如投标人已经工商变更，但其企业资质证书、安全生产许可证或其员工执业资格注册证书上的企业名称未能在投标期间完成变更的书面说明和佐证材料等）</w:t>
      </w:r>
    </w:p>
    <w:p w14:paraId="29D2CA8C">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10.2.1  </w:t>
      </w:r>
      <w:r>
        <w:rPr>
          <w:rFonts w:hint="eastAsia" w:ascii="宋体" w:hAnsi="宋体" w:eastAsia="宋体" w:cs="宋体"/>
          <w:color w:val="000000" w:themeColor="text1"/>
          <w:spacing w:val="0"/>
          <w:sz w:val="24"/>
          <w:szCs w:val="24"/>
          <w:highlight w:val="none"/>
          <w14:textFill>
            <w14:solidFill>
              <w14:schemeClr w14:val="tx1"/>
            </w14:solidFill>
          </w14:textFill>
        </w:rPr>
        <w:t>目中所列出的商务标书组成内容中，第（1）至第（13）项所有投标人均应提供，</w:t>
      </w:r>
      <w:r>
        <w:rPr>
          <w:rFonts w:hint="eastAsia" w:ascii="宋体" w:hAnsi="宋体" w:eastAsia="宋体" w:cs="宋体"/>
          <w:b/>
          <w:bCs/>
          <w:color w:val="000000" w:themeColor="text1"/>
          <w:spacing w:val="0"/>
          <w:sz w:val="24"/>
          <w:szCs w:val="24"/>
          <w:highlight w:val="none"/>
          <w14:textFill>
            <w14:solidFill>
              <w14:schemeClr w14:val="tx1"/>
            </w14:solidFill>
          </w14:textFill>
        </w:rPr>
        <w:t>但非联合体投标的，无需提供第（7）项内容。</w:t>
      </w:r>
    </w:p>
    <w:p w14:paraId="2F3F2186">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10.2.3 </w:t>
      </w:r>
      <w:r>
        <w:rPr>
          <w:rFonts w:hint="eastAsia" w:ascii="宋体" w:hAnsi="宋体" w:eastAsia="宋体" w:cs="宋体"/>
          <w:color w:val="000000" w:themeColor="text1"/>
          <w:spacing w:val="0"/>
          <w:sz w:val="24"/>
          <w:szCs w:val="24"/>
          <w:highlight w:val="none"/>
          <w14:textFill>
            <w14:solidFill>
              <w14:schemeClr w14:val="tx1"/>
            </w14:solidFill>
          </w14:textFill>
        </w:rPr>
        <w:t>商务标书的组成内容按本节第 10.2.1 目规定的顺序整理、编排后，逐页（页码起始从封面开始）连续标记页码。</w:t>
      </w:r>
    </w:p>
    <w:p w14:paraId="2D4DCA8F">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firstLineChars="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52" w:name="_Toc10602"/>
      <w:bookmarkStart w:id="53" w:name="_Toc29370"/>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  </w:t>
      </w:r>
      <w:r>
        <w:rPr>
          <w:rFonts w:hint="eastAsia" w:ascii="宋体" w:hAnsi="宋体" w:eastAsia="宋体" w:cs="宋体"/>
          <w:color w:val="000000" w:themeColor="text1"/>
          <w:spacing w:val="0"/>
          <w:sz w:val="24"/>
          <w:szCs w:val="24"/>
          <w:highlight w:val="none"/>
          <w14:textFill>
            <w14:solidFill>
              <w14:schemeClr w14:val="tx1"/>
            </w14:solidFill>
          </w14:textFill>
        </w:rPr>
        <w:t>经济标书的编制要求</w:t>
      </w:r>
      <w:bookmarkEnd w:id="52"/>
      <w:bookmarkEnd w:id="53"/>
    </w:p>
    <w:p w14:paraId="1F78619A">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10.3.1  </w:t>
      </w:r>
      <w:r>
        <w:rPr>
          <w:rFonts w:hint="eastAsia" w:ascii="宋体" w:hAnsi="宋体" w:eastAsia="宋体" w:cs="宋体"/>
          <w:color w:val="000000" w:themeColor="text1"/>
          <w:spacing w:val="0"/>
          <w:sz w:val="24"/>
          <w:szCs w:val="24"/>
          <w:highlight w:val="none"/>
          <w14:textFill>
            <w14:solidFill>
              <w14:schemeClr w14:val="tx1"/>
            </w14:solidFill>
          </w14:textFill>
        </w:rPr>
        <w:t>经济标书包括以下内容：</w:t>
      </w:r>
    </w:p>
    <w:p w14:paraId="57663477">
      <w:pPr>
        <w:keepNext w:val="0"/>
        <w:keepLines w:val="0"/>
        <w:pageBreakBefore w:val="0"/>
        <w:wordWrap w:val="0"/>
        <w:overflowPunct/>
        <w:topLinePunct w:val="0"/>
        <w:bidi w:val="0"/>
        <w:spacing w:before="156"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（1）封面（格式一）；</w:t>
      </w:r>
    </w:p>
    <w:p w14:paraId="18A4AD47">
      <w:pPr>
        <w:keepNext w:val="0"/>
        <w:keepLines w:val="0"/>
        <w:pageBreakBefore w:val="0"/>
        <w:wordWrap w:val="0"/>
        <w:overflowPunct/>
        <w:topLinePunct w:val="0"/>
        <w:bidi w:val="0"/>
        <w:spacing w:before="153" w:line="222"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目录；</w:t>
      </w:r>
    </w:p>
    <w:p w14:paraId="74083071">
      <w:pPr>
        <w:keepNext w:val="0"/>
        <w:keepLines w:val="0"/>
        <w:pageBreakBefore w:val="0"/>
        <w:wordWrap w:val="0"/>
        <w:overflowPunct/>
        <w:topLinePunct w:val="0"/>
        <w:bidi w:val="0"/>
        <w:spacing w:before="150"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（3）《投标总价》；</w:t>
      </w:r>
    </w:p>
    <w:p w14:paraId="105877BB">
      <w:pPr>
        <w:keepNext w:val="0"/>
        <w:keepLines w:val="0"/>
        <w:pageBreakBefore w:val="0"/>
        <w:widowControl/>
        <w:kinsoku w:val="0"/>
        <w:wordWrap w:val="0"/>
        <w:overflowPunct/>
        <w:topLinePunct w:val="0"/>
        <w:autoSpaceDE w:val="0"/>
        <w:autoSpaceDN w:val="0"/>
        <w:bidi w:val="0"/>
        <w:adjustRightInd w:val="0"/>
        <w:snapToGrid w:val="0"/>
        <w:spacing w:before="155" w:line="360" w:lineRule="auto"/>
        <w:ind w:left="5"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说明：《投标总价》的格式按照《</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》（GB/T50500-2024）执行，并应满足以下要求：</w:t>
      </w:r>
    </w:p>
    <w:p w14:paraId="2569EC2C">
      <w:pPr>
        <w:keepNext w:val="0"/>
        <w:keepLines w:val="0"/>
        <w:pageBreakBefore w:val="0"/>
        <w:widowControl/>
        <w:kinsoku w:val="0"/>
        <w:wordWrap w:val="0"/>
        <w:overflowPunct/>
        <w:topLinePunct w:val="0"/>
        <w:autoSpaceDE w:val="0"/>
        <w:autoSpaceDN w:val="0"/>
        <w:bidi w:val="0"/>
        <w:adjustRightInd w:val="0"/>
        <w:snapToGrid w:val="0"/>
        <w:spacing w:before="150" w:line="360" w:lineRule="auto"/>
        <w:ind w:left="8" w:firstLine="482"/>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．《投标总价扉页》后应附编制人的造价工程师注册证书彩色扫描件（须扫描至变更注册栏，</w:t>
      </w:r>
      <w:r>
        <w:rPr>
          <w:rFonts w:hint="eastAsia" w:ascii="宋体" w:hAnsi="宋体" w:eastAsia="宋体" w:cs="宋体"/>
          <w:b/>
          <w:bCs/>
          <w:color w:val="000000" w:themeColor="text1"/>
          <w:spacing w:val="0"/>
          <w:sz w:val="24"/>
          <w:szCs w:val="24"/>
          <w:highlight w:val="none"/>
          <w14:textFill>
            <w14:solidFill>
              <w14:schemeClr w14:val="tx1"/>
            </w14:solidFill>
          </w14:textFill>
        </w:rPr>
        <w:t>一级造价师或二级造价师均可提供电子证书</w:t>
      </w:r>
      <w:r>
        <w:rPr>
          <w:rFonts w:hint="eastAsia" w:ascii="宋体" w:hAnsi="宋体" w:eastAsia="宋体" w:cs="宋体"/>
          <w:color w:val="000000" w:themeColor="text1"/>
          <w:spacing w:val="0"/>
          <w:sz w:val="24"/>
          <w:szCs w:val="24"/>
          <w:highlight w:val="none"/>
          <w14:textFill>
            <w14:solidFill>
              <w14:schemeClr w14:val="tx1"/>
            </w14:solidFill>
          </w14:textFill>
        </w:rPr>
        <w:t>）；投标人委托造价咨询单位编制《投标总价》的，在该扉页“投标人”栏目加盖造价咨询人公章，并在该扉页后附造价咨询人的营业执照副本彩色扫描件。</w:t>
      </w:r>
    </w:p>
    <w:p w14:paraId="068BAFD3">
      <w:pPr>
        <w:keepNext w:val="0"/>
        <w:keepLines w:val="0"/>
        <w:pageBreakBefore w:val="0"/>
        <w:widowControl/>
        <w:kinsoku w:val="0"/>
        <w:wordWrap w:val="0"/>
        <w:overflowPunct/>
        <w:topLinePunct w:val="0"/>
        <w:autoSpaceDE w:val="0"/>
        <w:autoSpaceDN w:val="0"/>
        <w:bidi w:val="0"/>
        <w:adjustRightInd w:val="0"/>
        <w:snapToGrid w:val="0"/>
        <w:spacing w:before="119" w:line="360" w:lineRule="auto"/>
        <w:ind w:left="10" w:right="61" w:firstLine="474"/>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b.  </w:t>
      </w:r>
      <w:r>
        <w:rPr>
          <w:rFonts w:hint="eastAsia" w:ascii="宋体" w:hAnsi="宋体" w:eastAsia="宋体" w:cs="宋体"/>
          <w:color w:val="000000" w:themeColor="text1"/>
          <w:spacing w:val="0"/>
          <w:sz w:val="24"/>
          <w:szCs w:val="24"/>
          <w:highlight w:val="none"/>
          <w14:textFill>
            <w14:solidFill>
              <w14:schemeClr w14:val="tx1"/>
            </w14:solidFill>
          </w14:textFill>
        </w:rPr>
        <w:t>投标人认为有必要补充的其他资料（例如关于投标总价下浮率超过 15%的书面说明和佐证材料）。</w:t>
      </w:r>
    </w:p>
    <w:p w14:paraId="05D38EAE">
      <w:pPr>
        <w:keepNext w:val="0"/>
        <w:keepLines w:val="0"/>
        <w:pageBreakBefore w:val="0"/>
        <w:wordWrap w:val="0"/>
        <w:overflowPunct/>
        <w:topLinePunct w:val="0"/>
        <w:bidi w:val="0"/>
        <w:spacing w:before="99" w:line="360" w:lineRule="auto"/>
        <w:ind w:left="10" w:right="63" w:firstLine="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10.3.1  </w:t>
      </w:r>
      <w:r>
        <w:rPr>
          <w:rFonts w:hint="eastAsia" w:ascii="宋体" w:hAnsi="宋体" w:eastAsia="宋体" w:cs="宋体"/>
          <w:color w:val="000000" w:themeColor="text1"/>
          <w:spacing w:val="0"/>
          <w:sz w:val="24"/>
          <w:szCs w:val="24"/>
          <w:highlight w:val="none"/>
          <w14:textFill>
            <w14:solidFill>
              <w14:schemeClr w14:val="tx1"/>
            </w14:solidFill>
          </w14:textFill>
        </w:rPr>
        <w:t>目中所列出的经济标书组成内容中，第（1）至第（3）项所有投标人均应提供。</w:t>
      </w:r>
    </w:p>
    <w:p w14:paraId="1592DD8B">
      <w:pPr>
        <w:keepNext w:val="0"/>
        <w:keepLines w:val="0"/>
        <w:pageBreakBefore w:val="0"/>
        <w:wordWrap w:val="0"/>
        <w:overflowPunct/>
        <w:topLinePunct w:val="0"/>
        <w:bidi w:val="0"/>
        <w:spacing w:before="155" w:line="360" w:lineRule="auto"/>
        <w:ind w:left="8" w:right="61" w:firstLine="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10.3.3 </w:t>
      </w:r>
      <w:r>
        <w:rPr>
          <w:rFonts w:hint="eastAsia" w:ascii="宋体" w:hAnsi="宋体" w:eastAsia="宋体" w:cs="宋体"/>
          <w:color w:val="000000" w:themeColor="text1"/>
          <w:spacing w:val="0"/>
          <w:sz w:val="24"/>
          <w:szCs w:val="24"/>
          <w:highlight w:val="none"/>
          <w14:textFill>
            <w14:solidFill>
              <w14:schemeClr w14:val="tx1"/>
            </w14:solidFill>
          </w14:textFill>
        </w:rPr>
        <w:t>经济标书的组成内容按本节第 10.3.1 目规定的顺序整理、编排后，逐页（页码起始从封面开始）连续标记页码。</w:t>
      </w:r>
    </w:p>
    <w:p w14:paraId="3A6D334B">
      <w:pPr>
        <w:keepNext w:val="0"/>
        <w:keepLines w:val="0"/>
        <w:pageBreakBefore w:val="0"/>
        <w:wordWrap w:val="0"/>
        <w:overflowPunct/>
        <w:topLinePunct w:val="0"/>
        <w:bidi w:val="0"/>
        <w:spacing w:before="82" w:line="360" w:lineRule="auto"/>
        <w:ind w:left="496"/>
        <w:outlineLvl w:val="9"/>
        <w:rPr>
          <w:rFonts w:hint="eastAsia" w:ascii="宋体" w:hAnsi="宋体" w:eastAsia="宋体" w:cs="宋体"/>
          <w:color w:val="000000" w:themeColor="text1"/>
          <w:spacing w:val="0"/>
          <w:sz w:val="25"/>
          <w:szCs w:val="25"/>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施工组织设计的编制要求</w:t>
      </w:r>
    </w:p>
    <w:p w14:paraId="7828F48B">
      <w:pPr>
        <w:keepNext w:val="0"/>
        <w:keepLines w:val="0"/>
        <w:pageBreakBefore w:val="0"/>
        <w:wordWrap w:val="0"/>
        <w:overflowPunct/>
        <w:topLinePunct w:val="0"/>
        <w:bidi w:val="0"/>
        <w:spacing w:before="151" w:line="36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10.4.1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施工组织设计的编制依据包括且不限于：</w:t>
      </w:r>
    </w:p>
    <w:p w14:paraId="69CA5D7C">
      <w:pPr>
        <w:keepNext w:val="0"/>
        <w:keepLines w:val="0"/>
        <w:pageBreakBefore w:val="0"/>
        <w:wordWrap w:val="0"/>
        <w:overflowPunct/>
        <w:topLinePunct w:val="0"/>
        <w:bidi w:val="0"/>
        <w:spacing w:before="156"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（1）招标文件及其答疑（或修改）公告；</w:t>
      </w:r>
    </w:p>
    <w:p w14:paraId="3D9B573B">
      <w:pPr>
        <w:keepNext w:val="0"/>
        <w:keepLines w:val="0"/>
        <w:pageBreakBefore w:val="0"/>
        <w:wordWrap w:val="0"/>
        <w:overflowPunct/>
        <w:topLinePunct w:val="0"/>
        <w:bidi w:val="0"/>
        <w:spacing w:before="155" w:line="221"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（2）施工图及相关资料；</w:t>
      </w:r>
    </w:p>
    <w:p w14:paraId="56E6D366">
      <w:pPr>
        <w:keepNext w:val="0"/>
        <w:keepLines w:val="0"/>
        <w:pageBreakBefore w:val="0"/>
        <w:wordWrap w:val="0"/>
        <w:overflowPunct/>
        <w:topLinePunct w:val="0"/>
        <w:bidi w:val="0"/>
        <w:spacing w:before="152"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（3）施工现场情况、工程特点；</w:t>
      </w:r>
    </w:p>
    <w:p w14:paraId="3FE9ED6F">
      <w:pPr>
        <w:keepNext w:val="0"/>
        <w:keepLines w:val="0"/>
        <w:pageBreakBefore w:val="0"/>
        <w:wordWrap w:val="0"/>
        <w:overflowPunct/>
        <w:topLinePunct w:val="0"/>
        <w:bidi w:val="0"/>
        <w:spacing w:before="78"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（4）相关法律、法规、规定；</w:t>
      </w:r>
    </w:p>
    <w:p w14:paraId="059FD045">
      <w:pPr>
        <w:keepNext w:val="0"/>
        <w:keepLines w:val="0"/>
        <w:pageBreakBefore w:val="0"/>
        <w:wordWrap w:val="0"/>
        <w:overflowPunct/>
        <w:topLinePunct w:val="0"/>
        <w:bidi w:val="0"/>
        <w:spacing w:before="153" w:line="299" w:lineRule="auto"/>
        <w:ind w:left="10" w:right="21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50B2B5BD">
      <w:pPr>
        <w:keepNext w:val="0"/>
        <w:keepLines w:val="0"/>
        <w:pageBreakBefore w:val="0"/>
        <w:wordWrap w:val="0"/>
        <w:overflowPunct/>
        <w:topLinePunct w:val="0"/>
        <w:bidi w:val="0"/>
        <w:spacing w:before="155"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（6）企业内部标准、工法。</w:t>
      </w:r>
    </w:p>
    <w:p w14:paraId="6608343E">
      <w:pPr>
        <w:keepNext w:val="0"/>
        <w:keepLines w:val="0"/>
        <w:pageBreakBefore w:val="0"/>
        <w:wordWrap w:val="0"/>
        <w:overflowPunct/>
        <w:topLinePunct w:val="0"/>
        <w:bidi w:val="0"/>
        <w:spacing w:before="153"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10.4.2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施工组织设计包括但不限于以下内容：</w:t>
      </w:r>
    </w:p>
    <w:p w14:paraId="11AC19C5">
      <w:pPr>
        <w:keepNext w:val="0"/>
        <w:keepLines w:val="0"/>
        <w:pageBreakBefore w:val="0"/>
        <w:wordWrap w:val="0"/>
        <w:overflowPunct/>
        <w:topLinePunct w:val="0"/>
        <w:bidi w:val="0"/>
        <w:spacing w:before="153"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（1）封面（格式一）；</w:t>
      </w:r>
    </w:p>
    <w:p w14:paraId="0D89566C">
      <w:pPr>
        <w:keepNext w:val="0"/>
        <w:keepLines w:val="0"/>
        <w:pageBreakBefore w:val="0"/>
        <w:wordWrap w:val="0"/>
        <w:overflowPunct/>
        <w:topLinePunct w:val="0"/>
        <w:bidi w:val="0"/>
        <w:spacing w:before="156" w:line="222"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（2）目录；</w:t>
      </w:r>
    </w:p>
    <w:p w14:paraId="42EF60D6">
      <w:pPr>
        <w:keepNext w:val="0"/>
        <w:keepLines w:val="0"/>
        <w:pageBreakBefore w:val="0"/>
        <w:wordWrap w:val="0"/>
        <w:overflowPunct/>
        <w:topLinePunct w:val="0"/>
        <w:bidi w:val="0"/>
        <w:spacing w:before="150"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（3）总体概述（包括施工程序总体设想及施工段划分等内容）；</w:t>
      </w:r>
    </w:p>
    <w:p w14:paraId="2188CD8A">
      <w:pPr>
        <w:keepNext w:val="0"/>
        <w:keepLines w:val="0"/>
        <w:pageBreakBefore w:val="0"/>
        <w:wordWrap w:val="0"/>
        <w:overflowPunct/>
        <w:topLinePunct w:val="0"/>
        <w:bidi w:val="0"/>
        <w:spacing w:before="154" w:line="299" w:lineRule="auto"/>
        <w:ind w:left="9" w:right="211"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（4）施工总进度计划及保证措施（包括进度管理目标；以横道图或标明关键线路的网络进度计划；保障进度计划需要的人、材、机需求计划及保证措施；违约责任承诺等内容）；</w:t>
      </w:r>
    </w:p>
    <w:p w14:paraId="1FC69F82">
      <w:pPr>
        <w:keepNext w:val="0"/>
        <w:keepLines w:val="0"/>
        <w:pageBreakBefore w:val="0"/>
        <w:wordWrap w:val="0"/>
        <w:overflowPunct/>
        <w:topLinePunct w:val="0"/>
        <w:bidi w:val="0"/>
        <w:spacing w:before="153"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（5）质量保证措施（包括质量管理目标；相应保证措施；违约责任承诺等内容</w:t>
      </w:r>
      <w:r>
        <w:rPr>
          <w:rFonts w:hint="eastAsia" w:ascii="宋体" w:hAnsi="宋体" w:eastAsia="宋体" w:cs="宋体"/>
          <w:color w:val="000000" w:themeColor="text1"/>
          <w:spacing w:val="0"/>
          <w:w w:val="97"/>
          <w:sz w:val="24"/>
          <w:szCs w:val="24"/>
          <w:highlight w:val="none"/>
          <w14:textFill>
            <w14:solidFill>
              <w14:schemeClr w14:val="tx1"/>
            </w14:solidFill>
          </w14:textFill>
        </w:rPr>
        <w:t>）；</w:t>
      </w:r>
    </w:p>
    <w:p w14:paraId="69700B99">
      <w:pPr>
        <w:keepNext w:val="0"/>
        <w:keepLines w:val="0"/>
        <w:pageBreakBefore w:val="0"/>
        <w:wordWrap w:val="0"/>
        <w:overflowPunct/>
        <w:topLinePunct w:val="0"/>
        <w:bidi w:val="0"/>
        <w:spacing w:before="156" w:line="279" w:lineRule="auto"/>
        <w:ind w:left="11" w:right="211"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（6）施工技术措施（包括关键施工技术、工艺及工程项目实施的重点、难点分析和解决方案；新技术应用与承诺等内容）；</w:t>
      </w:r>
    </w:p>
    <w:p w14:paraId="4D11B874">
      <w:pPr>
        <w:keepNext w:val="0"/>
        <w:keepLines w:val="0"/>
        <w:pageBreakBefore w:val="0"/>
        <w:wordWrap w:val="0"/>
        <w:overflowPunct/>
        <w:topLinePunct w:val="0"/>
        <w:bidi w:val="0"/>
        <w:spacing w:before="118" w:line="297" w:lineRule="auto"/>
        <w:ind w:left="11" w:right="31"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（7）绿色施工、安全防护、文明施工措施计划(应对建设单位组织的勘察设计等单位在施工招标文件中列出的危大工程清单(详见格式十三)进行投标文件回应，如有)；</w:t>
      </w:r>
    </w:p>
    <w:p w14:paraId="00EDD96D">
      <w:pPr>
        <w:keepNext w:val="0"/>
        <w:keepLines w:val="0"/>
        <w:pageBreakBefore w:val="0"/>
        <w:wordWrap w:val="0"/>
        <w:overflowPunct/>
        <w:topLinePunct w:val="0"/>
        <w:bidi w:val="0"/>
        <w:spacing w:before="118" w:line="297" w:lineRule="auto"/>
        <w:ind w:left="11" w:right="31"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（8）施工现场总平面布置（</w:t>
      </w:r>
      <w:bookmarkStart w:id="54" w:name="OLE_LINK8"/>
      <w:r>
        <w:rPr>
          <w:rFonts w:hint="eastAsia" w:ascii="宋体" w:hAnsi="宋体" w:eastAsia="宋体" w:cs="宋体"/>
          <w:color w:val="000000" w:themeColor="text1"/>
          <w:spacing w:val="0"/>
          <w:sz w:val="24"/>
          <w:szCs w:val="24"/>
          <w:highlight w:val="none"/>
          <w14:textFill>
            <w14:solidFill>
              <w14:schemeClr w14:val="tx1"/>
            </w14:solidFill>
          </w14:textFill>
        </w:rPr>
        <w:t>投标人应递交一份施工现场总平面布置图，绘出现场临时设施布置图表并附文字说明，说明临时设施、加工车间、现场办公、设备及仓储、供电、供水、卫生、生活、道路、消防等设施的情况和布置</w:t>
      </w:r>
      <w:bookmarkEnd w:id="54"/>
      <w:r>
        <w:rPr>
          <w:rFonts w:hint="eastAsia" w:ascii="宋体" w:hAnsi="宋体" w:eastAsia="宋体" w:cs="宋体"/>
          <w:color w:val="000000" w:themeColor="text1"/>
          <w:spacing w:val="0"/>
          <w:sz w:val="24"/>
          <w:szCs w:val="24"/>
          <w:highlight w:val="none"/>
          <w14:textFill>
            <w14:solidFill>
              <w14:schemeClr w14:val="tx1"/>
            </w14:solidFill>
          </w14:textFill>
        </w:rPr>
        <w:t>）；</w:t>
      </w:r>
    </w:p>
    <w:p w14:paraId="523DCF6A">
      <w:pPr>
        <w:keepNext w:val="0"/>
        <w:keepLines w:val="0"/>
        <w:pageBreakBefore w:val="0"/>
        <w:wordWrap w:val="0"/>
        <w:overflowPunct/>
        <w:topLinePunct w:val="0"/>
        <w:bidi w:val="0"/>
        <w:spacing w:before="155"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（9）项目管理机构。</w:t>
      </w:r>
    </w:p>
    <w:p w14:paraId="16991E29">
      <w:pPr>
        <w:keepNext w:val="0"/>
        <w:keepLines w:val="0"/>
        <w:pageBreakBefore w:val="0"/>
        <w:wordWrap w:val="0"/>
        <w:overflowPunct/>
        <w:topLinePunct w:val="0"/>
        <w:bidi w:val="0"/>
        <w:spacing w:before="154" w:line="360" w:lineRule="auto"/>
        <w:ind w:right="211"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（10）投标人认为有必要补充的其他内容（例如对总包管理的认识以及对专业分包工程的管理、协调、配合、服务方案）。</w:t>
      </w:r>
    </w:p>
    <w:p w14:paraId="5EA512C0">
      <w:pPr>
        <w:keepNext w:val="0"/>
        <w:keepLines w:val="0"/>
        <w:pageBreakBefore w:val="0"/>
        <w:wordWrap w:val="0"/>
        <w:overflowPunct/>
        <w:topLinePunct w:val="0"/>
        <w:bidi w:val="0"/>
        <w:spacing w:before="152" w:line="360" w:lineRule="auto"/>
        <w:ind w:right="196"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10.4.3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10.4.2  </w:t>
      </w:r>
      <w:r>
        <w:rPr>
          <w:rFonts w:hint="eastAsia" w:ascii="宋体" w:hAnsi="宋体" w:eastAsia="宋体" w:cs="宋体"/>
          <w:color w:val="000000" w:themeColor="text1"/>
          <w:spacing w:val="0"/>
          <w:sz w:val="24"/>
          <w:szCs w:val="24"/>
          <w:highlight w:val="none"/>
          <w14:textFill>
            <w14:solidFill>
              <w14:schemeClr w14:val="tx1"/>
            </w14:solidFill>
          </w14:textFill>
        </w:rPr>
        <w:t>目中所列出的施工组织设计组成内容中，第（1）至第（9）项所有投标人均应提供。</w:t>
      </w:r>
    </w:p>
    <w:p w14:paraId="6B854B9F">
      <w:pPr>
        <w:keepNext w:val="0"/>
        <w:keepLines w:val="0"/>
        <w:pageBreakBefore w:val="0"/>
        <w:wordWrap w:val="0"/>
        <w:overflowPunct/>
        <w:topLinePunct w:val="0"/>
        <w:bidi w:val="0"/>
        <w:spacing w:before="157" w:line="360" w:lineRule="auto"/>
        <w:ind w:right="211"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10.4.4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施工组织设计的组成内容按本节第 10.4.2 目规定的顺序整理、编排后，逐页（页码起始从封面开始）连续标记页码。</w:t>
      </w:r>
    </w:p>
    <w:p w14:paraId="7DA830C4">
      <w:pPr>
        <w:keepNext w:val="0"/>
        <w:keepLines w:val="0"/>
        <w:pageBreakBefore w:val="0"/>
        <w:wordWrap w:val="0"/>
        <w:overflowPunct/>
        <w:topLinePunct w:val="0"/>
        <w:bidi w:val="0"/>
        <w:spacing w:line="360" w:lineRule="auto"/>
        <w:outlineLvl w:val="9"/>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10.4.5</w:t>
      </w:r>
      <w:bookmarkStart w:id="55" w:name="OLE_LINK9"/>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施工组织设计的正文不得超过</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150</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页</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bookmarkEnd w:id="55"/>
      <w:bookmarkStart w:id="56" w:name="bookmark121"/>
      <w:bookmarkEnd w:id="56"/>
    </w:p>
    <w:p w14:paraId="4B5482FE">
      <w:pPr>
        <w:widowControl w:val="0"/>
        <w:kinsoku/>
        <w:wordWrap w:val="0"/>
        <w:autoSpaceDE/>
        <w:autoSpaceDN/>
        <w:adjustRightInd/>
        <w:snapToGrid/>
        <w:spacing w:line="400" w:lineRule="exact"/>
        <w:ind w:firstLine="482" w:firstLineChars="200"/>
        <w:jc w:val="both"/>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57" w:name="_Toc21936"/>
      <w:r>
        <w:rPr>
          <w:rFonts w:hint="eastAsia" w:ascii="宋体" w:hAnsi="宋体" w:eastAsia="宋体" w:cs="宋体"/>
          <w:b/>
          <w:bCs/>
          <w:color w:val="000000" w:themeColor="text1"/>
          <w:sz w:val="24"/>
          <w:szCs w:val="24"/>
          <w:highlight w:val="none"/>
          <w:lang w:eastAsia="zh-CN"/>
          <w14:textFill>
            <w14:solidFill>
              <w14:schemeClr w14:val="tx1"/>
            </w14:solidFill>
          </w14:textFill>
        </w:rPr>
        <w:t>10.5定标文件的编制要求：</w:t>
      </w:r>
    </w:p>
    <w:p w14:paraId="4CF15BB9">
      <w:pPr>
        <w:wordWrap w:val="0"/>
        <w:spacing w:before="152" w:line="279" w:lineRule="auto"/>
        <w:ind w:right="196"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10.5.1 定标文件包括以下内容：</w:t>
      </w:r>
    </w:p>
    <w:p w14:paraId="5904E37A">
      <w:pPr>
        <w:wordWrap w:val="0"/>
        <w:spacing w:before="152" w:line="279" w:lineRule="auto"/>
        <w:ind w:right="196" w:firstLine="480" w:firstLineChars="200"/>
        <w:rPr>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（1）封面（格式一）</w:t>
      </w:r>
    </w:p>
    <w:p w14:paraId="3E8FB86A">
      <w:pPr>
        <w:wordWrap w:val="0"/>
        <w:spacing w:before="152" w:line="279" w:lineRule="auto"/>
        <w:ind w:right="196"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(2)定标因素评审资料（格式十六）</w:t>
      </w:r>
    </w:p>
    <w:p w14:paraId="2298A603">
      <w:pPr>
        <w:keepNext w:val="0"/>
        <w:keepLines w:val="0"/>
        <w:pageBreakBefore w:val="0"/>
        <w:wordWrap w:val="0"/>
        <w:overflowPunct/>
        <w:topLinePunct w:val="0"/>
        <w:bidi w:val="0"/>
        <w:spacing w:before="78" w:line="360" w:lineRule="auto"/>
        <w:ind w:left="0" w:leftChars="0" w:firstLine="480" w:firstLineChars="200"/>
        <w:outlineLvl w:val="9"/>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10.5.2 本节第10.5.1目中所列出的组成内容中，第（1）至第（2）项所有投标人均应提供。</w:t>
      </w:r>
    </w:p>
    <w:p w14:paraId="334D0149">
      <w:pPr>
        <w:keepNext w:val="0"/>
        <w:keepLines w:val="0"/>
        <w:pageBreakBefore w:val="0"/>
        <w:wordWrap w:val="0"/>
        <w:overflowPunct/>
        <w:topLinePunct w:val="0"/>
        <w:bidi w:val="0"/>
        <w:spacing w:before="78" w:line="360"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58" w:name="_Toc20976"/>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 </w:t>
      </w:r>
      <w:r>
        <w:rPr>
          <w:rFonts w:hint="eastAsia" w:ascii="宋体" w:hAnsi="宋体" w:eastAsia="宋体" w:cs="宋体"/>
          <w:color w:val="000000" w:themeColor="text1"/>
          <w:spacing w:val="0"/>
          <w:sz w:val="24"/>
          <w:szCs w:val="24"/>
          <w:highlight w:val="none"/>
          <w14:textFill>
            <w14:solidFill>
              <w14:schemeClr w14:val="tx1"/>
            </w14:solidFill>
          </w14:textFill>
        </w:rPr>
        <w:t>电子投标</w:t>
      </w:r>
      <w:bookmarkEnd w:id="57"/>
      <w:bookmarkEnd w:id="58"/>
    </w:p>
    <w:p w14:paraId="2928C8B1">
      <w:pPr>
        <w:keepNext w:val="0"/>
        <w:keepLines w:val="0"/>
        <w:pageBreakBefore w:val="0"/>
        <w:wordWrap w:val="0"/>
        <w:overflowPunct/>
        <w:topLinePunct w:val="0"/>
        <w:bidi w:val="0"/>
        <w:spacing w:before="112" w:line="360" w:lineRule="auto"/>
        <w:ind w:left="10" w:firstLine="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11.1  </w:t>
      </w:r>
      <w:r>
        <w:rPr>
          <w:rFonts w:hint="eastAsia" w:ascii="宋体" w:hAnsi="宋体" w:eastAsia="宋体" w:cs="宋体"/>
          <w:color w:val="000000" w:themeColor="text1"/>
          <w:spacing w:val="0"/>
          <w:sz w:val="24"/>
          <w:szCs w:val="24"/>
          <w:highlight w:val="none"/>
          <w14:textFill>
            <w14:solidFill>
              <w14:schemeClr w14:val="tx1"/>
            </w14:solidFill>
          </w14:textFill>
        </w:rPr>
        <w:t>在建设工程交易系统上传加盖了电子印章的投标文件、录入相关信息及标书页码信息，</w:t>
      </w:r>
      <w:r>
        <w:rPr>
          <w:rFonts w:hint="eastAsia" w:ascii="宋体" w:hAnsi="宋体" w:eastAsia="宋体" w:cs="宋体"/>
          <w:b/>
          <w:bCs/>
          <w:color w:val="000000" w:themeColor="text1"/>
          <w:spacing w:val="0"/>
          <w:sz w:val="24"/>
          <w:szCs w:val="24"/>
          <w:highlight w:val="none"/>
          <w14:textFill>
            <w14:solidFill>
              <w14:schemeClr w14:val="tx1"/>
            </w14:solidFill>
          </w14:textFill>
        </w:rPr>
        <w:t>（页码起始从封面开始）</w:t>
      </w:r>
      <w:r>
        <w:rPr>
          <w:rFonts w:hint="eastAsia" w:ascii="宋体" w:hAnsi="宋体" w:eastAsia="宋体" w:cs="宋体"/>
          <w:color w:val="000000" w:themeColor="text1"/>
          <w:spacing w:val="0"/>
          <w:sz w:val="24"/>
          <w:szCs w:val="24"/>
          <w:highlight w:val="none"/>
          <w14:textFill>
            <w14:solidFill>
              <w14:schemeClr w14:val="tx1"/>
            </w14:solidFill>
          </w14:textFill>
        </w:rPr>
        <w:t>并提交投标标书。提交标书为已加密投标文件。 具体操作参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71973AD4">
      <w:pPr>
        <w:keepNext w:val="0"/>
        <w:keepLines w:val="0"/>
        <w:pageBreakBefore w:val="0"/>
        <w:wordWrap w:val="0"/>
        <w:overflowPunct/>
        <w:topLinePunct w:val="0"/>
        <w:bidi w:val="0"/>
        <w:spacing w:before="115" w:line="360" w:lineRule="auto"/>
        <w:ind w:left="10" w:right="81" w:firstLine="485"/>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11.2  </w:t>
      </w:r>
      <w:r>
        <w:rPr>
          <w:rFonts w:hint="eastAsia" w:ascii="宋体" w:hAnsi="宋体" w:eastAsia="宋体" w:cs="宋体"/>
          <w:color w:val="000000" w:themeColor="text1"/>
          <w:spacing w:val="0"/>
          <w:sz w:val="24"/>
          <w:szCs w:val="24"/>
          <w:highlight w:val="none"/>
          <w14:textFill>
            <w14:solidFill>
              <w14:schemeClr w14:val="tx1"/>
            </w14:solidFill>
          </w14:textFill>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05B82554">
      <w:pPr>
        <w:keepNext w:val="0"/>
        <w:keepLines w:val="0"/>
        <w:pageBreakBefore w:val="0"/>
        <w:widowControl/>
        <w:numPr>
          <w:ilvl w:val="0"/>
          <w:numId w:val="0"/>
        </w:numPr>
        <w:kinsoku w:val="0"/>
        <w:wordWrap w:val="0"/>
        <w:overflowPunct/>
        <w:topLinePunct w:val="0"/>
        <w:autoSpaceDE w:val="0"/>
        <w:autoSpaceDN w:val="0"/>
        <w:bidi w:val="0"/>
        <w:adjustRightInd w:val="0"/>
        <w:snapToGrid w:val="0"/>
        <w:spacing w:before="78" w:line="286" w:lineRule="auto"/>
        <w:ind w:firstLine="482" w:firstLineChars="200"/>
        <w:textAlignment w:val="baseline"/>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59" w:name="_Toc27655"/>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12.</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bookmarkStart w:id="60" w:name="_Toc29834"/>
      <w:r>
        <w:rPr>
          <w:rFonts w:hint="eastAsia" w:ascii="宋体" w:hAnsi="宋体" w:eastAsia="宋体" w:cs="宋体"/>
          <w:b/>
          <w:bCs/>
          <w:color w:val="000000" w:themeColor="text1"/>
          <w:spacing w:val="0"/>
          <w:sz w:val="24"/>
          <w:szCs w:val="24"/>
          <w:highlight w:val="none"/>
          <w14:textFill>
            <w14:solidFill>
              <w14:schemeClr w14:val="tx1"/>
            </w14:solidFill>
          </w14:textFill>
        </w:rPr>
        <w:t>电子投标及投标解密失败及突发情况的补救方案</w:t>
      </w:r>
      <w:bookmarkEnd w:id="59"/>
      <w:bookmarkEnd w:id="60"/>
    </w:p>
    <w:p w14:paraId="656A950F">
      <w:pPr>
        <w:keepNext w:val="0"/>
        <w:keepLines w:val="0"/>
        <w:pageBreakBefore w:val="0"/>
        <w:widowControl/>
        <w:kinsoku w:val="0"/>
        <w:wordWrap w:val="0"/>
        <w:overflowPunct/>
        <w:topLinePunct w:val="0"/>
        <w:autoSpaceDE w:val="0"/>
        <w:autoSpaceDN w:val="0"/>
        <w:bidi w:val="0"/>
        <w:adjustRightInd w:val="0"/>
        <w:snapToGrid w:val="0"/>
        <w:spacing w:before="78" w:line="286" w:lineRule="auto"/>
        <w:ind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12.1 </w:t>
      </w:r>
      <w:r>
        <w:rPr>
          <w:rFonts w:hint="eastAsia" w:ascii="宋体" w:hAnsi="宋体" w:eastAsia="宋体" w:cs="宋体"/>
          <w:color w:val="000000" w:themeColor="text1"/>
          <w:spacing w:val="0"/>
          <w:sz w:val="24"/>
          <w:szCs w:val="24"/>
          <w:highlight w:val="none"/>
          <w14:textFill>
            <w14:solidFill>
              <w14:schemeClr w14:val="tx1"/>
            </w14:solidFill>
          </w14:textFill>
        </w:rPr>
        <w:t>按照交易平台关于全流程电子化项目的相关指南进行操作。详见：全国公共资源交易平台（广东省 ·韶关市）（https://ygp.gdzwfw.gov.cn/ggzy-portal/#/44 0200/index）服务指南栏目发布的最新版操作指引。</w:t>
      </w:r>
    </w:p>
    <w:p w14:paraId="3E34A594">
      <w:pPr>
        <w:keepNext w:val="0"/>
        <w:keepLines w:val="0"/>
        <w:pageBreakBefore w:val="0"/>
        <w:widowControl/>
        <w:kinsoku w:val="0"/>
        <w:wordWrap w:val="0"/>
        <w:overflowPunct/>
        <w:topLinePunct w:val="0"/>
        <w:autoSpaceDE w:val="0"/>
        <w:autoSpaceDN w:val="0"/>
        <w:bidi w:val="0"/>
        <w:adjustRightInd w:val="0"/>
        <w:snapToGrid w:val="0"/>
        <w:spacing w:before="113" w:line="286" w:lineRule="auto"/>
        <w:ind w:left="49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  </w:t>
      </w:r>
      <w:r>
        <w:rPr>
          <w:rFonts w:hint="eastAsia" w:ascii="宋体" w:hAnsi="宋体" w:eastAsia="宋体" w:cs="宋体"/>
          <w:color w:val="000000" w:themeColor="text1"/>
          <w:spacing w:val="0"/>
          <w:sz w:val="24"/>
          <w:szCs w:val="24"/>
          <w:highlight w:val="none"/>
          <w14:textFill>
            <w14:solidFill>
              <w14:schemeClr w14:val="tx1"/>
            </w14:solidFill>
          </w14:textFill>
        </w:rPr>
        <w:t>补救方案：</w:t>
      </w:r>
    </w:p>
    <w:p w14:paraId="7A5C0062">
      <w:pPr>
        <w:keepNext w:val="0"/>
        <w:keepLines w:val="0"/>
        <w:pageBreakBefore w:val="0"/>
        <w:wordWrap w:val="0"/>
        <w:overflowPunct/>
        <w:topLinePunct w:val="0"/>
        <w:bidi w:val="0"/>
        <w:spacing w:before="115"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12.2.1  </w:t>
      </w:r>
      <w:r>
        <w:rPr>
          <w:rFonts w:hint="eastAsia" w:ascii="宋体" w:hAnsi="宋体" w:eastAsia="宋体" w:cs="宋体"/>
          <w:color w:val="000000" w:themeColor="text1"/>
          <w:spacing w:val="0"/>
          <w:sz w:val="24"/>
          <w:szCs w:val="24"/>
          <w:highlight w:val="none"/>
          <w14:textFill>
            <w14:solidFill>
              <w14:schemeClr w14:val="tx1"/>
            </w14:solidFill>
          </w14:textFill>
        </w:rPr>
        <w:t>投标文件解密失败的补救方案：</w:t>
      </w:r>
    </w:p>
    <w:p w14:paraId="2D1DE68F">
      <w:pPr>
        <w:keepNext w:val="0"/>
        <w:keepLines w:val="0"/>
        <w:pageBreakBefore w:val="0"/>
        <w:wordWrap w:val="0"/>
        <w:overflowPunct/>
        <w:topLinePunct w:val="0"/>
        <w:bidi w:val="0"/>
        <w:spacing w:before="115" w:line="298" w:lineRule="auto"/>
        <w:ind w:right="81"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 30 分钟内）内</w:t>
      </w:r>
      <w:bookmarkStart w:id="61" w:name="bookmark122"/>
      <w:bookmarkEnd w:id="61"/>
      <w:r>
        <w:rPr>
          <w:rFonts w:hint="eastAsia" w:ascii="宋体" w:hAnsi="宋体" w:eastAsia="宋体" w:cs="宋体"/>
          <w:color w:val="000000" w:themeColor="text1"/>
          <w:spacing w:val="0"/>
          <w:sz w:val="24"/>
          <w:szCs w:val="24"/>
          <w:highlight w:val="none"/>
          <w14:textFill>
            <w14:solidFill>
              <w14:schemeClr w14:val="tx1"/>
            </w14:solidFill>
          </w14:textFill>
        </w:rPr>
        <w:t>重新提交投标文件继续开标程序。</w:t>
      </w:r>
    </w:p>
    <w:p w14:paraId="0F175F6A">
      <w:pPr>
        <w:keepNext w:val="0"/>
        <w:keepLines w:val="0"/>
        <w:pageBreakBefore w:val="0"/>
        <w:wordWrap w:val="0"/>
        <w:overflowPunct/>
        <w:topLinePunct w:val="0"/>
        <w:bidi w:val="0"/>
        <w:spacing w:before="114"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12.2.2  </w:t>
      </w:r>
      <w:r>
        <w:rPr>
          <w:rFonts w:hint="eastAsia" w:ascii="宋体" w:hAnsi="宋体" w:eastAsia="宋体" w:cs="宋体"/>
          <w:color w:val="000000" w:themeColor="text1"/>
          <w:spacing w:val="0"/>
          <w:sz w:val="24"/>
          <w:szCs w:val="24"/>
          <w:highlight w:val="none"/>
          <w14:textFill>
            <w14:solidFill>
              <w14:schemeClr w14:val="tx1"/>
            </w14:solidFill>
          </w14:textFill>
        </w:rPr>
        <w:t>评标时突发情况的补救方案</w:t>
      </w:r>
    </w:p>
    <w:p w14:paraId="5863CD1F">
      <w:pPr>
        <w:keepNext w:val="0"/>
        <w:keepLines w:val="0"/>
        <w:pageBreakBefore w:val="0"/>
        <w:wordWrap w:val="0"/>
        <w:overflowPunct/>
        <w:topLinePunct w:val="0"/>
        <w:bidi w:val="0"/>
        <w:spacing w:before="114" w:line="303" w:lineRule="auto"/>
        <w:ind w:right="81"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在评标过程中，因主场或副场网络故障、电子设备或者评标系统故障，以及其他原因导致无法继续进行评标时，在 4 小时以内解除故障的可继续评标，超过 4 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58ACD5FB">
      <w:pPr>
        <w:keepNext w:val="0"/>
        <w:keepLines w:val="0"/>
        <w:pageBreakBefore w:val="0"/>
        <w:wordWrap w:val="0"/>
        <w:overflowPunct/>
        <w:topLinePunct w:val="0"/>
        <w:bidi w:val="0"/>
        <w:spacing w:before="69" w:line="324" w:lineRule="auto"/>
        <w:ind w:left="11" w:right="81" w:firstLine="484"/>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12.2.3  </w:t>
      </w:r>
      <w:r>
        <w:rPr>
          <w:rFonts w:hint="eastAsia" w:ascii="宋体" w:hAnsi="宋体" w:eastAsia="宋体" w:cs="宋体"/>
          <w:color w:val="000000" w:themeColor="text1"/>
          <w:spacing w:val="0"/>
          <w:sz w:val="24"/>
          <w:szCs w:val="24"/>
          <w:highlight w:val="none"/>
          <w14:textFill>
            <w14:solidFill>
              <w14:schemeClr w14:val="tx1"/>
            </w14:solidFill>
          </w14:textFill>
        </w:rPr>
        <w:t>除发生上述情况外，开标评标均以投标人（联合体投标的，由联合体牵头人）通过交易平台网上递交的电子投标文件为准。</w:t>
      </w:r>
    </w:p>
    <w:p w14:paraId="5DCEDB99">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62" w:name="_Toc27195"/>
      <w:bookmarkStart w:id="63" w:name="_Toc9348"/>
      <w:r>
        <w:rPr>
          <w:rFonts w:hint="eastAsia" w:ascii="宋体" w:hAnsi="宋体" w:eastAsia="宋体" w:cs="宋体"/>
          <w:b/>
          <w:bCs/>
          <w:color w:val="000000" w:themeColor="text1"/>
          <w:spacing w:val="0"/>
          <w:sz w:val="24"/>
          <w:szCs w:val="24"/>
          <w:highlight w:val="none"/>
          <w14:textFill>
            <w14:solidFill>
              <w14:schemeClr w14:val="tx1"/>
            </w14:solidFill>
          </w14:textFill>
        </w:rPr>
        <w:t>13 ．投标文件的提交</w:t>
      </w:r>
      <w:bookmarkEnd w:id="62"/>
      <w:bookmarkEnd w:id="63"/>
    </w:p>
    <w:p w14:paraId="7068EE2E">
      <w:pPr>
        <w:keepNext w:val="0"/>
        <w:keepLines w:val="0"/>
        <w:pageBreakBefore w:val="0"/>
        <w:wordWrap w:val="0"/>
        <w:overflowPunct/>
        <w:topLinePunct w:val="0"/>
        <w:bidi w:val="0"/>
        <w:spacing w:before="123" w:line="278" w:lineRule="auto"/>
        <w:ind w:left="13" w:right="81" w:firstLine="48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13.1  </w:t>
      </w:r>
      <w:r>
        <w:rPr>
          <w:rFonts w:hint="eastAsia" w:ascii="宋体" w:hAnsi="宋体" w:eastAsia="宋体" w:cs="宋体"/>
          <w:color w:val="000000" w:themeColor="text1"/>
          <w:spacing w:val="0"/>
          <w:sz w:val="24"/>
          <w:szCs w:val="24"/>
          <w:highlight w:val="none"/>
          <w14:textFill>
            <w14:solidFill>
              <w14:schemeClr w14:val="tx1"/>
            </w14:solidFill>
          </w14:textFill>
        </w:rPr>
        <w:t>在投标文件提交截止时间前，投标人通过全国公共资源交易平台（广东省 ·韶关市）提交已加密投标文件。逾期提交的电子投标文件，全国公共资源交易平台（广东省 ·韶关市）将予以拒收。</w:t>
      </w:r>
    </w:p>
    <w:p w14:paraId="09924D0F">
      <w:pPr>
        <w:keepNext w:val="0"/>
        <w:keepLines w:val="0"/>
        <w:pageBreakBefore w:val="0"/>
        <w:wordWrap w:val="0"/>
        <w:overflowPunct/>
        <w:topLinePunct w:val="0"/>
        <w:bidi w:val="0"/>
        <w:spacing w:before="115"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13.2  </w:t>
      </w:r>
      <w:r>
        <w:rPr>
          <w:rFonts w:hint="eastAsia" w:ascii="宋体" w:hAnsi="宋体" w:eastAsia="宋体" w:cs="宋体"/>
          <w:color w:val="000000" w:themeColor="text1"/>
          <w:spacing w:val="0"/>
          <w:sz w:val="24"/>
          <w:szCs w:val="24"/>
          <w:highlight w:val="none"/>
          <w14:textFill>
            <w14:solidFill>
              <w14:schemeClr w14:val="tx1"/>
            </w14:solidFill>
          </w14:textFill>
        </w:rPr>
        <w:t>提交时间和地点：见本章第二节“重要事项时间地点一览表 ”</w:t>
      </w:r>
    </w:p>
    <w:p w14:paraId="683F40A3">
      <w:pPr>
        <w:keepNext w:val="0"/>
        <w:keepLines w:val="0"/>
        <w:pageBreakBefore w:val="0"/>
        <w:wordWrap w:val="0"/>
        <w:overflowPunct/>
        <w:topLinePunct w:val="0"/>
        <w:bidi w:val="0"/>
        <w:spacing w:before="113" w:line="279" w:lineRule="auto"/>
        <w:ind w:left="9" w:right="24" w:firstLine="48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13.3  </w:t>
      </w:r>
      <w:r>
        <w:rPr>
          <w:rFonts w:hint="eastAsia" w:ascii="宋体" w:hAnsi="宋体" w:eastAsia="宋体" w:cs="宋体"/>
          <w:color w:val="000000" w:themeColor="text1"/>
          <w:spacing w:val="0"/>
          <w:sz w:val="24"/>
          <w:szCs w:val="24"/>
          <w:highlight w:val="none"/>
          <w14:textFill>
            <w14:solidFill>
              <w14:schemeClr w14:val="tx1"/>
            </w14:solidFill>
          </w14:textFill>
        </w:rPr>
        <w:t>递交时间和地点：投标人如有招标文件要求提交的用于评审的证书、证件、证明原件（附一式两份清单），由投标人法定代表人或其委托代理人在指定的时间和地点递交（见“重要事项时间地点一览表 ”）。</w:t>
      </w:r>
    </w:p>
    <w:p w14:paraId="1E722792">
      <w:pPr>
        <w:keepNext w:val="0"/>
        <w:keepLines w:val="0"/>
        <w:pageBreakBefore w:val="0"/>
        <w:wordWrap w:val="0"/>
        <w:overflowPunct/>
        <w:topLinePunct w:val="0"/>
        <w:bidi w:val="0"/>
        <w:spacing w:before="112" w:line="219" w:lineRule="auto"/>
        <w:ind w:firstLine="482" w:firstLineChars="2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13.4  </w:t>
      </w:r>
      <w:r>
        <w:rPr>
          <w:rFonts w:hint="eastAsia" w:ascii="宋体" w:hAnsi="宋体" w:eastAsia="宋体" w:cs="宋体"/>
          <w:color w:val="000000" w:themeColor="text1"/>
          <w:spacing w:val="0"/>
          <w:sz w:val="24"/>
          <w:szCs w:val="24"/>
          <w:highlight w:val="none"/>
          <w14:textFill>
            <w14:solidFill>
              <w14:schemeClr w14:val="tx1"/>
            </w14:solidFill>
          </w14:textFill>
        </w:rPr>
        <w:t>代理机构对因不可抗力事件造成的投标文件的损坏、丢失的，不承担责任。</w:t>
      </w:r>
    </w:p>
    <w:p w14:paraId="458845F2">
      <w:pPr>
        <w:keepNext w:val="0"/>
        <w:keepLines w:val="0"/>
        <w:pageBreakBefore w:val="0"/>
        <w:wordWrap w:val="0"/>
        <w:overflowPunct/>
        <w:topLinePunct w:val="0"/>
        <w:bidi w:val="0"/>
        <w:spacing w:before="116"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13.5  </w:t>
      </w:r>
      <w:r>
        <w:rPr>
          <w:rFonts w:hint="eastAsia" w:ascii="宋体" w:hAnsi="宋体" w:eastAsia="宋体" w:cs="宋体"/>
          <w:color w:val="000000" w:themeColor="text1"/>
          <w:spacing w:val="0"/>
          <w:sz w:val="24"/>
          <w:szCs w:val="24"/>
          <w:highlight w:val="none"/>
          <w14:textFill>
            <w14:solidFill>
              <w14:schemeClr w14:val="tx1"/>
            </w14:solidFill>
          </w14:textFill>
        </w:rPr>
        <w:t>出现下述情形之一，属于未成功提交投标文件，按无效投标处理：</w:t>
      </w:r>
    </w:p>
    <w:p w14:paraId="26FD4E45">
      <w:pPr>
        <w:keepNext w:val="0"/>
        <w:keepLines w:val="0"/>
        <w:pageBreakBefore w:val="0"/>
        <w:wordWrap w:val="0"/>
        <w:overflowPunct/>
        <w:topLinePunct w:val="0"/>
        <w:bidi w:val="0"/>
        <w:spacing w:before="115" w:line="219" w:lineRule="auto"/>
        <w:ind w:left="74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（1）至提交投标文件截止时，投标文件未完整上传及提交标书；</w:t>
      </w:r>
    </w:p>
    <w:p w14:paraId="0801F50A">
      <w:pPr>
        <w:keepNext w:val="0"/>
        <w:keepLines w:val="0"/>
        <w:pageBreakBefore w:val="0"/>
        <w:wordWrap w:val="0"/>
        <w:overflowPunct/>
        <w:topLinePunct w:val="0"/>
        <w:bidi w:val="0"/>
        <w:spacing w:before="114" w:line="220" w:lineRule="auto"/>
        <w:ind w:left="74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（2）解密失败且在规定时间内未重新提交投标文件的；</w:t>
      </w:r>
    </w:p>
    <w:p w14:paraId="04D5C6EB">
      <w:pPr>
        <w:keepNext w:val="0"/>
        <w:keepLines w:val="0"/>
        <w:pageBreakBefore w:val="0"/>
        <w:wordWrap w:val="0"/>
        <w:overflowPunct/>
        <w:topLinePunct w:val="0"/>
        <w:bidi w:val="0"/>
        <w:spacing w:before="115" w:line="220" w:lineRule="auto"/>
        <w:ind w:left="74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（3）投标文件损坏或格式不正确的；</w:t>
      </w:r>
    </w:p>
    <w:p w14:paraId="43D9083E">
      <w:pPr>
        <w:keepNext w:val="0"/>
        <w:keepLines w:val="0"/>
        <w:pageBreakBefore w:val="0"/>
        <w:wordWrap w:val="0"/>
        <w:overflowPunct/>
        <w:topLinePunct w:val="0"/>
        <w:bidi w:val="0"/>
        <w:spacing w:before="115"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13.6  </w:t>
      </w:r>
      <w:r>
        <w:rPr>
          <w:rFonts w:hint="eastAsia" w:ascii="宋体" w:hAnsi="宋体" w:eastAsia="宋体" w:cs="宋体"/>
          <w:color w:val="000000" w:themeColor="text1"/>
          <w:spacing w:val="0"/>
          <w:sz w:val="24"/>
          <w:szCs w:val="24"/>
          <w:highlight w:val="none"/>
          <w14:textFill>
            <w14:solidFill>
              <w14:schemeClr w14:val="tx1"/>
            </w14:solidFill>
          </w14:textFill>
        </w:rPr>
        <w:t>联合体投标的，由联合体牵头人按以上要求递交相关资料。</w:t>
      </w:r>
    </w:p>
    <w:p w14:paraId="7FCFB836">
      <w:pPr>
        <w:keepNext w:val="0"/>
        <w:keepLines w:val="0"/>
        <w:pageBreakBefore w:val="0"/>
        <w:widowControl/>
        <w:kinsoku w:val="0"/>
        <w:wordWrap w:val="0"/>
        <w:overflowPunct/>
        <w:topLinePunct w:val="0"/>
        <w:autoSpaceDE w:val="0"/>
        <w:autoSpaceDN w:val="0"/>
        <w:bidi w:val="0"/>
        <w:adjustRightInd w:val="0"/>
        <w:snapToGrid w:val="0"/>
        <w:spacing w:before="113" w:line="286" w:lineRule="auto"/>
        <w:ind w:left="11" w:right="23" w:firstLine="48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13.7  </w:t>
      </w:r>
      <w:r>
        <w:rPr>
          <w:rFonts w:hint="eastAsia" w:ascii="宋体" w:hAnsi="宋体" w:eastAsia="宋体" w:cs="宋体"/>
          <w:color w:val="000000" w:themeColor="text1"/>
          <w:spacing w:val="0"/>
          <w:sz w:val="24"/>
          <w:szCs w:val="24"/>
          <w:highlight w:val="none"/>
          <w14:textFill>
            <w14:solidFill>
              <w14:schemeClr w14:val="tx1"/>
            </w14:solidFill>
          </w14:textFill>
        </w:rPr>
        <w:t>招标人或其授权的招标代理机构核对、接收投标人递交的投标相关资料后，应向投标人出具标明签收人和签收时间的凭证，并妥善保管。</w:t>
      </w:r>
    </w:p>
    <w:p w14:paraId="465B9D6E">
      <w:pPr>
        <w:keepNext w:val="0"/>
        <w:keepLines w:val="0"/>
        <w:pageBreakBefore w:val="0"/>
        <w:wordWrap w:val="0"/>
        <w:overflowPunct/>
        <w:topLinePunct w:val="0"/>
        <w:bidi w:val="0"/>
        <w:spacing w:before="113" w:line="279" w:lineRule="auto"/>
        <w:ind w:left="9" w:right="24" w:firstLine="48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13.8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本次招标投标有效期为</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90</w:t>
      </w:r>
      <w:r>
        <w:rPr>
          <w:rFonts w:hint="eastAsia" w:ascii="宋体" w:hAnsi="宋体" w:eastAsia="宋体" w:cs="宋体"/>
          <w:color w:val="000000" w:themeColor="text1"/>
          <w:spacing w:val="0"/>
          <w:sz w:val="24"/>
          <w:szCs w:val="24"/>
          <w:highlight w:val="none"/>
          <w14:textFill>
            <w14:solidFill>
              <w14:schemeClr w14:val="tx1"/>
            </w14:solidFill>
          </w14:textFill>
        </w:rPr>
        <w:t>个日历天，投标有效期从提交投标文件的截止之日起计算。在此期间，投标人不得撤销或修改其投标文件，否则其投标保证不予退还。</w:t>
      </w:r>
    </w:p>
    <w:p w14:paraId="2CB00EB8">
      <w:pPr>
        <w:keepNext w:val="0"/>
        <w:keepLines w:val="0"/>
        <w:pageBreakBefore w:val="0"/>
        <w:wordWrap w:val="0"/>
        <w:overflowPunct/>
        <w:topLinePunct w:val="0"/>
        <w:bidi w:val="0"/>
        <w:spacing w:before="145" w:line="221"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64" w:name="_Toc21683"/>
      <w:bookmarkStart w:id="65" w:name="_Toc22047"/>
      <w:r>
        <w:rPr>
          <w:rFonts w:hint="eastAsia" w:ascii="宋体" w:hAnsi="宋体" w:eastAsia="宋体" w:cs="宋体"/>
          <w:b/>
          <w:bCs/>
          <w:color w:val="000000" w:themeColor="text1"/>
          <w:spacing w:val="0"/>
          <w:sz w:val="24"/>
          <w:szCs w:val="24"/>
          <w:highlight w:val="none"/>
          <w14:textFill>
            <w14:solidFill>
              <w14:schemeClr w14:val="tx1"/>
            </w14:solidFill>
          </w14:textFill>
        </w:rPr>
        <w:t>14 ．开标</w:t>
      </w:r>
      <w:bookmarkEnd w:id="64"/>
      <w:bookmarkEnd w:id="65"/>
    </w:p>
    <w:p w14:paraId="034EB3D3">
      <w:pPr>
        <w:keepNext w:val="0"/>
        <w:keepLines w:val="0"/>
        <w:pageBreakBefore w:val="0"/>
        <w:wordWrap w:val="0"/>
        <w:overflowPunct/>
        <w:topLinePunct w:val="0"/>
        <w:bidi w:val="0"/>
        <w:spacing w:before="155" w:line="329" w:lineRule="auto"/>
        <w:ind w:left="10" w:right="81" w:firstLine="485"/>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14.1  </w:t>
      </w:r>
      <w:r>
        <w:rPr>
          <w:rFonts w:hint="eastAsia" w:ascii="宋体" w:hAnsi="宋体" w:eastAsia="宋体" w:cs="宋体"/>
          <w:color w:val="000000" w:themeColor="text1"/>
          <w:spacing w:val="0"/>
          <w:sz w:val="24"/>
          <w:szCs w:val="24"/>
          <w:highlight w:val="none"/>
          <w14:textFill>
            <w14:solidFill>
              <w14:schemeClr w14:val="tx1"/>
            </w14:solidFill>
          </w14:textFill>
        </w:rPr>
        <w:t>招标人邀请所有正确获取招标文件、电子投标、缴纳投标保证的投标人参加开标，投标人可自主决定是否参加。投标人可登陆交易平台观看开标实况、提出异议或进行澄清、确认等操作（具体按招标文件和系统操作手册为准）。投标人不参加开</w:t>
      </w:r>
      <w:bookmarkStart w:id="66" w:name="bookmark123"/>
      <w:bookmarkEnd w:id="66"/>
      <w:r>
        <w:rPr>
          <w:rFonts w:hint="eastAsia" w:ascii="宋体" w:hAnsi="宋体" w:eastAsia="宋体" w:cs="宋体"/>
          <w:color w:val="000000" w:themeColor="text1"/>
          <w:spacing w:val="0"/>
          <w:sz w:val="24"/>
          <w:szCs w:val="24"/>
          <w:highlight w:val="none"/>
          <w14:textFill>
            <w14:solidFill>
              <w14:schemeClr w14:val="tx1"/>
            </w14:solidFill>
          </w14:textFill>
        </w:rPr>
        <w:t>标的，视其默认开标结果，以及放弃在开标期间见证、监督、投诉、申辩的权利。</w:t>
      </w:r>
    </w:p>
    <w:p w14:paraId="05862D79">
      <w:pPr>
        <w:keepNext w:val="0"/>
        <w:keepLines w:val="0"/>
        <w:pageBreakBefore w:val="0"/>
        <w:wordWrap w:val="0"/>
        <w:overflowPunct/>
        <w:topLinePunct w:val="0"/>
        <w:bidi w:val="0"/>
        <w:spacing w:before="156"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14.1.1  </w:t>
      </w:r>
      <w:r>
        <w:rPr>
          <w:rFonts w:hint="eastAsia" w:ascii="宋体" w:hAnsi="宋体" w:eastAsia="宋体" w:cs="宋体"/>
          <w:color w:val="000000" w:themeColor="text1"/>
          <w:spacing w:val="0"/>
          <w:sz w:val="24"/>
          <w:szCs w:val="24"/>
          <w:highlight w:val="none"/>
          <w14:textFill>
            <w14:solidFill>
              <w14:schemeClr w14:val="tx1"/>
            </w14:solidFill>
          </w14:textFill>
        </w:rPr>
        <w:t>开标时间和地点：见本章第二节“重要事项时间地点一览表 ”。</w:t>
      </w:r>
    </w:p>
    <w:p w14:paraId="08F091B7">
      <w:pPr>
        <w:keepNext w:val="0"/>
        <w:keepLines w:val="0"/>
        <w:pageBreakBefore w:val="0"/>
        <w:widowControl/>
        <w:kinsoku w:val="0"/>
        <w:wordWrap w:val="0"/>
        <w:overflowPunct/>
        <w:topLinePunct w:val="0"/>
        <w:autoSpaceDE w:val="0"/>
        <w:autoSpaceDN w:val="0"/>
        <w:bidi w:val="0"/>
        <w:adjustRightInd w:val="0"/>
        <w:snapToGrid w:val="0"/>
        <w:spacing w:before="153" w:line="320" w:lineRule="auto"/>
        <w:ind w:left="11" w:firstLine="48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14.1.2 </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开标前 24 小时，若建设工程交易系统显示缴纳投标保证（包括投标保证金、投标保证担保、投标保证保险）的投标人数量不足 3 个时，招标人将取消原定于次日召开的开标活动。投标人可在投标保证缴纳截止时间（见本章第二节“重要事项时间 地点一览表 ”）至电子投标截止时间（见本章第二节“重要事项时间地点一览表 ”） 期间登录全国公共资源交易平台（广东省 ·韶关市）（https://ygp.gdzwfw.gov.cn/ggzy-portal/#/440200/index）查询是否发布了取消开标活动的相关信息。</w:t>
      </w:r>
    </w:p>
    <w:p w14:paraId="55E539B0">
      <w:pPr>
        <w:keepNext w:val="0"/>
        <w:keepLines w:val="0"/>
        <w:pageBreakBefore w:val="0"/>
        <w:wordWrap w:val="0"/>
        <w:overflowPunct/>
        <w:topLinePunct w:val="0"/>
        <w:bidi w:val="0"/>
        <w:spacing w:before="159" w:line="319" w:lineRule="auto"/>
        <w:ind w:left="10" w:right="80" w:firstLine="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14.1.3</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本项目实行全流程电子化招标投标，投标人在交易平台按要求上传加盖电子印章并经加密的电子投标文件，并在交易平台录入准确的页码信息即可完成在线投标</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7A2CFB6D">
      <w:pPr>
        <w:keepNext w:val="0"/>
        <w:keepLines w:val="0"/>
        <w:pageBreakBefore w:val="0"/>
        <w:wordWrap w:val="0"/>
        <w:overflowPunct/>
        <w:topLinePunct w:val="0"/>
        <w:bidi w:val="0"/>
        <w:spacing w:before="152" w:line="221"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14.2  </w:t>
      </w:r>
      <w:r>
        <w:rPr>
          <w:rFonts w:hint="eastAsia" w:ascii="宋体" w:hAnsi="宋体" w:eastAsia="宋体" w:cs="宋体"/>
          <w:color w:val="000000" w:themeColor="text1"/>
          <w:spacing w:val="0"/>
          <w:sz w:val="24"/>
          <w:szCs w:val="24"/>
          <w:highlight w:val="none"/>
          <w14:textFill>
            <w14:solidFill>
              <w14:schemeClr w14:val="tx1"/>
            </w14:solidFill>
          </w14:textFill>
        </w:rPr>
        <w:t>开标程序</w:t>
      </w:r>
    </w:p>
    <w:p w14:paraId="48C37DE6">
      <w:pPr>
        <w:keepNext w:val="0"/>
        <w:keepLines w:val="0"/>
        <w:pageBreakBefore w:val="0"/>
        <w:wordWrap w:val="0"/>
        <w:overflowPunct/>
        <w:topLinePunct w:val="0"/>
        <w:bidi w:val="0"/>
        <w:spacing w:before="42" w:line="219"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67" w:name="_Toc8314"/>
      <w:bookmarkStart w:id="68" w:name="_Toc10685"/>
      <w:bookmarkStart w:id="69" w:name="_Toc10291"/>
      <w:bookmarkStart w:id="70" w:name="_Toc15587"/>
      <w:r>
        <w:rPr>
          <w:rFonts w:hint="eastAsia" w:ascii="宋体" w:hAnsi="宋体" w:eastAsia="宋体" w:cs="宋体"/>
          <w:color w:val="000000" w:themeColor="text1"/>
          <w:spacing w:val="0"/>
          <w:sz w:val="24"/>
          <w:szCs w:val="24"/>
          <w:highlight w:val="none"/>
          <w14:textFill>
            <w14:solidFill>
              <w14:schemeClr w14:val="tx1"/>
            </w14:solidFill>
          </w14:textFill>
        </w:rPr>
        <w:t>（1）主持人（招标人代表或招标人授权的招标代理机构人员）宣读开标纪律。</w:t>
      </w:r>
      <w:bookmarkEnd w:id="67"/>
      <w:bookmarkEnd w:id="68"/>
      <w:bookmarkEnd w:id="69"/>
      <w:bookmarkEnd w:id="70"/>
    </w:p>
    <w:p w14:paraId="776645C0">
      <w:pPr>
        <w:keepNext w:val="0"/>
        <w:keepLines w:val="0"/>
        <w:pageBreakBefore w:val="0"/>
        <w:wordWrap w:val="0"/>
        <w:overflowPunct/>
        <w:topLinePunct w:val="0"/>
        <w:bidi w:val="0"/>
        <w:spacing w:before="181" w:line="219"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71" w:name="_Toc16292"/>
      <w:bookmarkStart w:id="72" w:name="_Toc30853"/>
      <w:bookmarkStart w:id="73" w:name="_Toc20238"/>
      <w:bookmarkStart w:id="74" w:name="_Toc2011"/>
      <w:r>
        <w:rPr>
          <w:rFonts w:hint="eastAsia" w:ascii="宋体" w:hAnsi="宋体" w:eastAsia="宋体" w:cs="宋体"/>
          <w:color w:val="000000" w:themeColor="text1"/>
          <w:spacing w:val="0"/>
          <w:sz w:val="24"/>
          <w:szCs w:val="24"/>
          <w:highlight w:val="none"/>
          <w14:textFill>
            <w14:solidFill>
              <w14:schemeClr w14:val="tx1"/>
            </w14:solidFill>
          </w14:textFill>
        </w:rPr>
        <w:t>（2）主持人宣布唱标人、记录人、见证人、监督人等有关人员姓名。</w:t>
      </w:r>
      <w:bookmarkEnd w:id="71"/>
      <w:bookmarkEnd w:id="72"/>
      <w:bookmarkEnd w:id="73"/>
      <w:bookmarkEnd w:id="74"/>
    </w:p>
    <w:p w14:paraId="505384A6">
      <w:pPr>
        <w:keepNext w:val="0"/>
        <w:keepLines w:val="0"/>
        <w:pageBreakBefore w:val="0"/>
        <w:wordWrap w:val="0"/>
        <w:overflowPunct/>
        <w:topLinePunct w:val="0"/>
        <w:bidi w:val="0"/>
        <w:spacing w:before="183" w:line="219"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75" w:name="_Toc1974"/>
      <w:bookmarkStart w:id="76" w:name="_Toc17462"/>
      <w:bookmarkStart w:id="77" w:name="_Toc31716"/>
      <w:bookmarkStart w:id="78" w:name="_Toc26494"/>
      <w:r>
        <w:rPr>
          <w:rFonts w:hint="eastAsia" w:ascii="宋体" w:hAnsi="宋体" w:eastAsia="宋体" w:cs="宋体"/>
          <w:color w:val="000000" w:themeColor="text1"/>
          <w:spacing w:val="0"/>
          <w:sz w:val="24"/>
          <w:szCs w:val="24"/>
          <w:highlight w:val="none"/>
          <w14:textFill>
            <w14:solidFill>
              <w14:schemeClr w14:val="tx1"/>
            </w14:solidFill>
          </w14:textFill>
        </w:rPr>
        <w:t>（3）唱标人公布在投标截止时间前进行投标文件的投标人数量和名称</w:t>
      </w:r>
      <w:bookmarkEnd w:id="75"/>
      <w:bookmarkEnd w:id="76"/>
      <w:bookmarkEnd w:id="77"/>
      <w:bookmarkEnd w:id="78"/>
    </w:p>
    <w:p w14:paraId="224B54ED">
      <w:pPr>
        <w:keepNext w:val="0"/>
        <w:keepLines w:val="0"/>
        <w:pageBreakBefore w:val="0"/>
        <w:wordWrap w:val="0"/>
        <w:overflowPunct/>
        <w:topLinePunct w:val="0"/>
        <w:bidi w:val="0"/>
        <w:spacing w:before="181" w:line="219"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79" w:name="_Toc27967"/>
      <w:bookmarkStart w:id="80" w:name="_Toc15860"/>
      <w:bookmarkStart w:id="81" w:name="_Toc8179"/>
      <w:bookmarkStart w:id="82" w:name="_Toc20559"/>
      <w:r>
        <w:rPr>
          <w:rFonts w:hint="eastAsia" w:ascii="宋体" w:hAnsi="宋体" w:eastAsia="宋体" w:cs="宋体"/>
          <w:color w:val="000000" w:themeColor="text1"/>
          <w:spacing w:val="0"/>
          <w:sz w:val="24"/>
          <w:szCs w:val="24"/>
          <w:highlight w:val="none"/>
          <w14:textFill>
            <w14:solidFill>
              <w14:schemeClr w14:val="tx1"/>
            </w14:solidFill>
          </w14:textFill>
        </w:rPr>
        <w:t>（4）招标代理机构会同交易场所工作人员对投标人的电子投标信息进行解密，</w:t>
      </w:r>
      <w:bookmarkEnd w:id="79"/>
      <w:bookmarkEnd w:id="80"/>
      <w:bookmarkEnd w:id="81"/>
      <w:bookmarkEnd w:id="82"/>
    </w:p>
    <w:p w14:paraId="0C0A9C7B">
      <w:pPr>
        <w:keepNext w:val="0"/>
        <w:keepLines w:val="0"/>
        <w:pageBreakBefore w:val="0"/>
        <w:wordWrap w:val="0"/>
        <w:overflowPunct/>
        <w:topLinePunct w:val="0"/>
        <w:bidi w:val="0"/>
        <w:spacing w:before="183" w:line="220" w:lineRule="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建设工程交易系统自动生成《投标保证缴纳情况表》和《开标一览表》。</w:t>
      </w:r>
    </w:p>
    <w:p w14:paraId="7C434C90">
      <w:pPr>
        <w:keepNext w:val="0"/>
        <w:keepLines w:val="0"/>
        <w:pageBreakBefore w:val="0"/>
        <w:wordWrap w:val="0"/>
        <w:overflowPunct/>
        <w:topLinePunct w:val="0"/>
        <w:bidi w:val="0"/>
        <w:spacing w:before="182" w:line="360" w:lineRule="auto"/>
        <w:ind w:firstLine="482" w:firstLineChars="200"/>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83" w:name="_Toc2199"/>
      <w:bookmarkStart w:id="84" w:name="_Toc28812"/>
      <w:bookmarkStart w:id="85" w:name="_Toc28266"/>
      <w:bookmarkStart w:id="86" w:name="_Toc26216"/>
      <w:r>
        <w:rPr>
          <w:rFonts w:hint="eastAsia" w:ascii="宋体" w:hAnsi="宋体" w:eastAsia="宋体" w:cs="宋体"/>
          <w:b/>
          <w:bCs/>
          <w:color w:val="000000" w:themeColor="text1"/>
          <w:spacing w:val="0"/>
          <w:sz w:val="24"/>
          <w:szCs w:val="24"/>
          <w:highlight w:val="none"/>
          <w14:textFill>
            <w14:solidFill>
              <w14:schemeClr w14:val="tx1"/>
            </w14:solidFill>
          </w14:textFill>
        </w:rPr>
        <w:t>温馨提示：因本项目实行全流程电子化招标投标，投标人无须进行现场签到，可</w:t>
      </w:r>
      <w:bookmarkEnd w:id="83"/>
      <w:bookmarkEnd w:id="84"/>
      <w:bookmarkEnd w:id="85"/>
      <w:r>
        <w:rPr>
          <w:rFonts w:hint="eastAsia" w:ascii="宋体" w:hAnsi="宋体" w:eastAsia="宋体" w:cs="宋体"/>
          <w:b/>
          <w:bCs/>
          <w:color w:val="000000" w:themeColor="text1"/>
          <w:spacing w:val="0"/>
          <w:sz w:val="24"/>
          <w:szCs w:val="24"/>
          <w:highlight w:val="none"/>
          <w14:textFill>
            <w14:solidFill>
              <w14:schemeClr w14:val="tx1"/>
            </w14:solidFill>
          </w14:textFill>
        </w:rPr>
        <w:t>登录交易平台观看开标实况、提出异议或进行澄清、确认等操作，对开标事项的异议未在开标期间提出的，招标</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人不</w:t>
      </w:r>
      <w:r>
        <w:rPr>
          <w:rFonts w:hint="eastAsia" w:ascii="宋体" w:hAnsi="宋体" w:eastAsia="宋体" w:cs="宋体"/>
          <w:b/>
          <w:bCs/>
          <w:color w:val="000000" w:themeColor="text1"/>
          <w:spacing w:val="0"/>
          <w:sz w:val="24"/>
          <w:szCs w:val="24"/>
          <w:highlight w:val="none"/>
          <w14:textFill>
            <w14:solidFill>
              <w14:schemeClr w14:val="tx1"/>
            </w14:solidFill>
          </w14:textFill>
        </w:rPr>
        <w:t>予受理。具体按招标文件和系统操作手册为准。</w:t>
      </w:r>
      <w:bookmarkEnd w:id="86"/>
    </w:p>
    <w:p w14:paraId="29DDC04A">
      <w:pPr>
        <w:keepNext w:val="0"/>
        <w:keepLines w:val="0"/>
        <w:pageBreakBefore w:val="0"/>
        <w:wordWrap w:val="0"/>
        <w:overflowPunct/>
        <w:topLinePunct w:val="0"/>
        <w:bidi w:val="0"/>
        <w:spacing w:before="143" w:line="299" w:lineRule="auto"/>
        <w:ind w:left="11" w:right="80" w:firstLine="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14.3  </w:t>
      </w:r>
      <w:r>
        <w:rPr>
          <w:rFonts w:hint="eastAsia" w:ascii="宋体" w:hAnsi="宋体" w:eastAsia="宋体" w:cs="宋体"/>
          <w:color w:val="000000" w:themeColor="text1"/>
          <w:spacing w:val="0"/>
          <w:sz w:val="24"/>
          <w:szCs w:val="24"/>
          <w:highlight w:val="none"/>
          <w14:textFill>
            <w14:solidFill>
              <w14:schemeClr w14:val="tx1"/>
            </w14:solidFill>
          </w14:textFill>
        </w:rPr>
        <w:t>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1DB30EA2">
      <w:pPr>
        <w:keepNext w:val="0"/>
        <w:keepLines w:val="0"/>
        <w:pageBreakBefore w:val="0"/>
        <w:wordWrap w:val="0"/>
        <w:overflowPunct/>
        <w:topLinePunct w:val="0"/>
        <w:bidi w:val="0"/>
        <w:spacing w:before="155" w:line="279" w:lineRule="auto"/>
        <w:ind w:left="8" w:right="82" w:firstLine="487"/>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14.4 </w:t>
      </w:r>
      <w:r>
        <w:rPr>
          <w:rFonts w:hint="eastAsia" w:ascii="宋体" w:hAnsi="宋体" w:eastAsia="宋体" w:cs="宋体"/>
          <w:color w:val="000000" w:themeColor="text1"/>
          <w:spacing w:val="0"/>
          <w:sz w:val="24"/>
          <w:szCs w:val="24"/>
          <w:highlight w:val="none"/>
          <w14:textFill>
            <w14:solidFill>
              <w14:schemeClr w14:val="tx1"/>
            </w14:solidFill>
          </w14:textFill>
        </w:rPr>
        <w:t>招标代理机构将资料原件（如有）、《开标一览表》以及其他有关资料移交评标委员会。</w:t>
      </w:r>
    </w:p>
    <w:p w14:paraId="2E809B78">
      <w:pPr>
        <w:keepNext w:val="0"/>
        <w:keepLines w:val="0"/>
        <w:pageBreakBefore w:val="0"/>
        <w:wordWrap w:val="0"/>
        <w:overflowPunct/>
        <w:topLinePunct w:val="0"/>
        <w:bidi w:val="0"/>
        <w:spacing w:before="78" w:line="221" w:lineRule="auto"/>
        <w:ind w:left="496"/>
        <w:outlineLvl w:val="2"/>
        <w:rPr>
          <w:rFonts w:hint="eastAsia" w:ascii="宋体" w:hAnsi="宋体" w:eastAsia="宋体" w:cs="宋体"/>
          <w:color w:val="000000" w:themeColor="text1"/>
          <w:spacing w:val="0"/>
          <w:highlight w:val="none"/>
          <w14:textFill>
            <w14:solidFill>
              <w14:schemeClr w14:val="tx1"/>
            </w14:solidFill>
          </w14:textFill>
        </w:rPr>
      </w:pPr>
      <w:bookmarkStart w:id="87" w:name="_Toc11616"/>
      <w:bookmarkStart w:id="88" w:name="_Toc961"/>
      <w:r>
        <w:rPr>
          <w:rFonts w:hint="eastAsia" w:ascii="宋体" w:hAnsi="宋体" w:eastAsia="宋体" w:cs="宋体"/>
          <w:b/>
          <w:bCs/>
          <w:color w:val="000000" w:themeColor="text1"/>
          <w:spacing w:val="0"/>
          <w:sz w:val="24"/>
          <w:szCs w:val="24"/>
          <w:highlight w:val="none"/>
          <w14:textFill>
            <w14:solidFill>
              <w14:schemeClr w14:val="tx1"/>
            </w14:solidFill>
          </w14:textFill>
        </w:rPr>
        <w:t>15 ．评标</w:t>
      </w:r>
      <w:bookmarkEnd w:id="87"/>
      <w:bookmarkEnd w:id="88"/>
    </w:p>
    <w:p w14:paraId="6B3E0F13">
      <w:pPr>
        <w:keepNext w:val="0"/>
        <w:keepLines w:val="0"/>
        <w:pageBreakBefore w:val="0"/>
        <w:wordWrap w:val="0"/>
        <w:overflowPunct/>
        <w:topLinePunct w:val="0"/>
        <w:bidi w:val="0"/>
        <w:spacing w:before="78" w:line="331" w:lineRule="auto"/>
        <w:ind w:left="8" w:right="65" w:firstLine="480"/>
        <w:rPr>
          <w:rFonts w:hint="eastAsia" w:ascii="宋体" w:hAnsi="宋体" w:eastAsia="宋体" w:cs="宋体"/>
          <w:color w:val="000000" w:themeColor="text1"/>
          <w:spacing w:val="0"/>
          <w:sz w:val="24"/>
          <w:szCs w:val="24"/>
          <w:highlight w:val="none"/>
          <w14:textFill>
            <w14:solidFill>
              <w14:schemeClr w14:val="tx1"/>
            </w14:solidFill>
          </w14:textFill>
        </w:rPr>
      </w:pPr>
      <w:bookmarkStart w:id="89" w:name="bookmark124"/>
      <w:bookmarkEnd w:id="89"/>
      <w:r>
        <w:rPr>
          <w:rFonts w:hint="eastAsia" w:ascii="宋体" w:hAnsi="宋体" w:eastAsia="宋体" w:cs="宋体"/>
          <w:color w:val="000000" w:themeColor="text1"/>
          <w:spacing w:val="0"/>
          <w:sz w:val="24"/>
          <w:szCs w:val="24"/>
          <w:highlight w:val="none"/>
          <w14:textFill>
            <w14:solidFill>
              <w14:schemeClr w14:val="tx1"/>
            </w14:solidFill>
          </w14:textFill>
        </w:rPr>
        <w:t>评标分为初步评审和详细评审两个阶段，由评标委员会在有关部门的监督下，严格按照本招标文件指定的评标方法，对投标人的投标文件进行审查、评审。评标委员会完成评标后，评标委员会按照投标人评审综合总得分由高到低的原则,向招标人推荐已明确的定标候选人数量（不标明排序），并向招标人提交由全体评标委员会成员签字的评标报告。</w:t>
      </w:r>
    </w:p>
    <w:p w14:paraId="1AE0EC81">
      <w:pPr>
        <w:keepNext w:val="0"/>
        <w:keepLines w:val="0"/>
        <w:pageBreakBefore w:val="0"/>
        <w:wordWrap w:val="0"/>
        <w:overflowPunct/>
        <w:topLinePunct w:val="0"/>
        <w:bidi w:val="0"/>
        <w:spacing w:before="38"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  </w:t>
      </w:r>
      <w:r>
        <w:rPr>
          <w:rFonts w:hint="eastAsia" w:ascii="宋体" w:hAnsi="宋体" w:eastAsia="宋体" w:cs="宋体"/>
          <w:color w:val="000000" w:themeColor="text1"/>
          <w:spacing w:val="0"/>
          <w:sz w:val="24"/>
          <w:szCs w:val="24"/>
          <w:highlight w:val="none"/>
          <w14:textFill>
            <w14:solidFill>
              <w14:schemeClr w14:val="tx1"/>
            </w14:solidFill>
          </w14:textFill>
        </w:rPr>
        <w:t>评标委员会</w:t>
      </w:r>
    </w:p>
    <w:p w14:paraId="31B92F0C">
      <w:pPr>
        <w:keepNext w:val="0"/>
        <w:keepLines w:val="0"/>
        <w:pageBreakBefore w:val="0"/>
        <w:wordWrap w:val="0"/>
        <w:overflowPunct/>
        <w:topLinePunct w:val="0"/>
        <w:bidi w:val="0"/>
        <w:spacing w:before="155" w:line="324" w:lineRule="auto"/>
        <w:ind w:left="10" w:right="65" w:firstLine="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15.1.1 </w:t>
      </w:r>
      <w:r>
        <w:rPr>
          <w:rFonts w:hint="eastAsia" w:ascii="宋体" w:hAnsi="宋体" w:eastAsia="宋体" w:cs="宋体"/>
          <w:color w:val="000000" w:themeColor="text1"/>
          <w:spacing w:val="0"/>
          <w:sz w:val="24"/>
          <w:szCs w:val="24"/>
          <w:highlight w:val="none"/>
          <w14:textFill>
            <w14:solidFill>
              <w14:schemeClr w14:val="tx1"/>
            </w14:solidFill>
          </w14:textFill>
        </w:rPr>
        <w:t>评标委员会由</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5 </w:t>
      </w:r>
      <w:r>
        <w:rPr>
          <w:rFonts w:hint="eastAsia" w:ascii="宋体" w:hAnsi="宋体" w:eastAsia="宋体" w:cs="宋体"/>
          <w:color w:val="000000" w:themeColor="text1"/>
          <w:spacing w:val="0"/>
          <w:sz w:val="24"/>
          <w:szCs w:val="24"/>
          <w:highlight w:val="none"/>
          <w14:textFill>
            <w14:solidFill>
              <w14:schemeClr w14:val="tx1"/>
            </w14:solidFill>
          </w14:textFill>
        </w:rPr>
        <w:t>人组成，其中招标人代表</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0 </w:t>
      </w:r>
      <w:r>
        <w:rPr>
          <w:rFonts w:hint="eastAsia" w:ascii="宋体" w:hAnsi="宋体" w:eastAsia="宋体" w:cs="宋体"/>
          <w:color w:val="000000" w:themeColor="text1"/>
          <w:spacing w:val="0"/>
          <w:sz w:val="24"/>
          <w:szCs w:val="24"/>
          <w:highlight w:val="none"/>
          <w14:textFill>
            <w14:solidFill>
              <w14:schemeClr w14:val="tx1"/>
            </w14:solidFill>
          </w14:textFill>
        </w:rPr>
        <w:t>人，专家</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5 </w:t>
      </w:r>
      <w:r>
        <w:rPr>
          <w:rFonts w:hint="eastAsia" w:ascii="宋体" w:hAnsi="宋体" w:eastAsia="宋体" w:cs="宋体"/>
          <w:color w:val="000000" w:themeColor="text1"/>
          <w:spacing w:val="0"/>
          <w:sz w:val="24"/>
          <w:szCs w:val="24"/>
          <w:highlight w:val="none"/>
          <w14:textFill>
            <w14:solidFill>
              <w14:schemeClr w14:val="tx1"/>
            </w14:solidFill>
          </w14:textFill>
        </w:rPr>
        <w:t>人。专家从</w:t>
      </w:r>
      <w:r>
        <w:rPr>
          <w:rFonts w:hint="eastAsia" w:ascii="宋体" w:hAnsi="宋体" w:eastAsia="宋体" w:cs="宋体"/>
          <w:color w:val="000000" w:themeColor="text1"/>
          <w:spacing w:val="0"/>
          <w:sz w:val="24"/>
          <w:szCs w:val="24"/>
          <w:highlight w:val="none"/>
          <w:u w:val="none"/>
          <w14:textFill>
            <w14:solidFill>
              <w14:schemeClr w14:val="tx1"/>
            </w14:solidFill>
          </w14:textFill>
        </w:rPr>
        <w:t>广东省综合评标评审专家库</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韶关</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市</w:t>
      </w:r>
      <w:r>
        <w:rPr>
          <w:rFonts w:hint="eastAsia" w:ascii="宋体" w:hAnsi="宋体" w:eastAsia="宋体" w:cs="宋体"/>
          <w:color w:val="000000" w:themeColor="text1"/>
          <w:spacing w:val="0"/>
          <w:sz w:val="24"/>
          <w:szCs w:val="24"/>
          <w:highlight w:val="none"/>
          <w:u w:val="single"/>
          <w14:textFill>
            <w14:solidFill>
              <w14:schemeClr w14:val="tx1"/>
            </w14:solidFill>
          </w14:textFill>
        </w:rPr>
        <w:t>区域</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广东省内异地评标区域</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中随机抽取，其中技术类专家</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3 </w:t>
      </w:r>
      <w:r>
        <w:rPr>
          <w:rFonts w:hint="eastAsia" w:ascii="宋体" w:hAnsi="宋体" w:eastAsia="宋体" w:cs="宋体"/>
          <w:color w:val="000000" w:themeColor="text1"/>
          <w:spacing w:val="0"/>
          <w:sz w:val="24"/>
          <w:szCs w:val="24"/>
          <w:highlight w:val="none"/>
          <w14:textFill>
            <w14:solidFill>
              <w14:schemeClr w14:val="tx1"/>
            </w14:solidFill>
          </w14:textFill>
        </w:rPr>
        <w:t>人，经济类专家</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2 </w:t>
      </w:r>
      <w:r>
        <w:rPr>
          <w:rFonts w:hint="eastAsia" w:ascii="宋体" w:hAnsi="宋体" w:eastAsia="宋体" w:cs="宋体"/>
          <w:color w:val="000000" w:themeColor="text1"/>
          <w:spacing w:val="0"/>
          <w:sz w:val="24"/>
          <w:szCs w:val="24"/>
          <w:highlight w:val="none"/>
          <w14:textFill>
            <w14:solidFill>
              <w14:schemeClr w14:val="tx1"/>
            </w14:solidFill>
          </w14:textFill>
        </w:rPr>
        <w:t>人。评标委员会设负责人，由评标委员会成员推举产生。评标委员会负责人与评标委员会的其他成员有同等的表决权。</w:t>
      </w:r>
    </w:p>
    <w:p w14:paraId="3773E95D">
      <w:pPr>
        <w:keepNext w:val="0"/>
        <w:keepLines w:val="0"/>
        <w:pageBreakBefore w:val="0"/>
        <w:wordWrap w:val="0"/>
        <w:overflowPunct/>
        <w:topLinePunct w:val="0"/>
        <w:bidi w:val="0"/>
        <w:spacing w:before="32" w:line="280" w:lineRule="auto"/>
        <w:ind w:left="13" w:right="7" w:firstLine="56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15.1.2  </w:t>
      </w:r>
      <w:r>
        <w:rPr>
          <w:rFonts w:hint="eastAsia" w:ascii="宋体" w:hAnsi="宋体" w:eastAsia="宋体" w:cs="宋体"/>
          <w:color w:val="000000" w:themeColor="text1"/>
          <w:spacing w:val="0"/>
          <w:sz w:val="24"/>
          <w:szCs w:val="24"/>
          <w:highlight w:val="none"/>
          <w14:textFill>
            <w14:solidFill>
              <w14:schemeClr w14:val="tx1"/>
            </w14:solidFill>
          </w14:textFill>
        </w:rPr>
        <w:t>评标委员会应认真、公正、诚实、廉洁地履行职责。有下列情形之一的，不得担任评标委员会成员：</w:t>
      </w:r>
    </w:p>
    <w:p w14:paraId="630ECC06">
      <w:pPr>
        <w:keepNext w:val="0"/>
        <w:keepLines w:val="0"/>
        <w:pageBreakBefore w:val="0"/>
        <w:wordWrap w:val="0"/>
        <w:overflowPunct/>
        <w:topLinePunct w:val="0"/>
        <w:bidi w:val="0"/>
        <w:spacing w:before="154"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（1）投标人或投标人主要负责人的近亲属；</w:t>
      </w:r>
    </w:p>
    <w:p w14:paraId="6812A920">
      <w:pPr>
        <w:keepNext w:val="0"/>
        <w:keepLines w:val="0"/>
        <w:pageBreakBefore w:val="0"/>
        <w:wordWrap w:val="0"/>
        <w:overflowPunct/>
        <w:topLinePunct w:val="0"/>
        <w:bidi w:val="0"/>
        <w:spacing w:before="153"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（2）项目主管部门或者行政监督部门的人员；</w:t>
      </w:r>
    </w:p>
    <w:p w14:paraId="4E3A1FF1">
      <w:pPr>
        <w:keepNext w:val="0"/>
        <w:keepLines w:val="0"/>
        <w:pageBreakBefore w:val="0"/>
        <w:wordWrap w:val="0"/>
        <w:overflowPunct/>
        <w:topLinePunct w:val="0"/>
        <w:bidi w:val="0"/>
        <w:spacing w:before="155" w:line="221"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（3）与投标人有经济利益关系，可能影响对投标公正评审的；</w:t>
      </w:r>
    </w:p>
    <w:p w14:paraId="6C955D4C">
      <w:pPr>
        <w:keepNext w:val="0"/>
        <w:keepLines w:val="0"/>
        <w:pageBreakBefore w:val="0"/>
        <w:wordWrap w:val="0"/>
        <w:overflowPunct/>
        <w:topLinePunct w:val="0"/>
        <w:bidi w:val="0"/>
        <w:spacing w:before="153" w:line="279" w:lineRule="auto"/>
        <w:ind w:left="8" w:right="65" w:firstLine="57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（4）曾因在招标、评标以及其他与招标投标有关活动中从事违法行为而受过行政处罚或刑事处罚的。</w:t>
      </w:r>
    </w:p>
    <w:p w14:paraId="3C4B0D01">
      <w:pPr>
        <w:keepNext w:val="0"/>
        <w:keepLines w:val="0"/>
        <w:pageBreakBefore w:val="0"/>
        <w:wordWrap w:val="0"/>
        <w:overflowPunct/>
        <w:topLinePunct w:val="0"/>
        <w:bidi w:val="0"/>
        <w:spacing w:before="155" w:line="219"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评标委员会成员有以上情形之一的，应主动提出回避。</w:t>
      </w:r>
    </w:p>
    <w:p w14:paraId="779D0486">
      <w:pPr>
        <w:keepNext w:val="0"/>
        <w:keepLines w:val="0"/>
        <w:pageBreakBefore w:val="0"/>
        <w:wordWrap w:val="0"/>
        <w:overflowPunct/>
        <w:topLinePunct w:val="0"/>
        <w:bidi w:val="0"/>
        <w:spacing w:before="154" w:line="279" w:lineRule="auto"/>
        <w:ind w:left="8" w:right="65" w:firstLine="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15.1.3  </w:t>
      </w:r>
      <w:r>
        <w:rPr>
          <w:rFonts w:hint="eastAsia" w:ascii="宋体" w:hAnsi="宋体" w:eastAsia="宋体" w:cs="宋体"/>
          <w:color w:val="000000" w:themeColor="text1"/>
          <w:spacing w:val="0"/>
          <w:sz w:val="24"/>
          <w:szCs w:val="24"/>
          <w:highlight w:val="none"/>
          <w14:textFill>
            <w14:solidFill>
              <w14:schemeClr w14:val="tx1"/>
            </w14:solidFill>
          </w14:textFill>
        </w:rPr>
        <w:t>评标全过程实行封闭式管理，在中标结果公布前，禁止评标委员会成员以任何方式私下接触投标人。</w:t>
      </w:r>
    </w:p>
    <w:p w14:paraId="4E1CA66A">
      <w:pPr>
        <w:keepNext w:val="0"/>
        <w:keepLines w:val="0"/>
        <w:pageBreakBefore w:val="0"/>
        <w:wordWrap w:val="0"/>
        <w:overflowPunct/>
        <w:topLinePunct w:val="0"/>
        <w:bidi w:val="0"/>
        <w:spacing w:before="157" w:line="298" w:lineRule="auto"/>
        <w:ind w:left="11" w:right="65" w:firstLine="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15.1.4  </w:t>
      </w:r>
      <w:r>
        <w:rPr>
          <w:rFonts w:hint="eastAsia" w:ascii="宋体" w:hAnsi="宋体" w:eastAsia="宋体" w:cs="宋体"/>
          <w:color w:val="000000" w:themeColor="text1"/>
          <w:spacing w:val="0"/>
          <w:sz w:val="24"/>
          <w:szCs w:val="24"/>
          <w:highlight w:val="none"/>
          <w14:textFill>
            <w14:solidFill>
              <w14:schemeClr w14:val="tx1"/>
            </w14:solidFill>
          </w14:textFill>
        </w:rPr>
        <w:t>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2761184C">
      <w:pPr>
        <w:keepNext w:val="0"/>
        <w:keepLines w:val="0"/>
        <w:pageBreakBefore w:val="0"/>
        <w:wordWrap w:val="0"/>
        <w:overflowPunct/>
        <w:topLinePunct w:val="0"/>
        <w:bidi w:val="0"/>
        <w:spacing w:before="156" w:line="309" w:lineRule="auto"/>
        <w:ind w:left="8" w:right="65" w:firstLine="56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15.1.5  </w:t>
      </w:r>
      <w:r>
        <w:rPr>
          <w:rFonts w:hint="eastAsia" w:ascii="宋体" w:hAnsi="宋体" w:eastAsia="宋体" w:cs="宋体"/>
          <w:color w:val="000000" w:themeColor="text1"/>
          <w:spacing w:val="0"/>
          <w:sz w:val="24"/>
          <w:szCs w:val="24"/>
          <w:highlight w:val="none"/>
          <w14:textFill>
            <w14:solidFill>
              <w14:schemeClr w14:val="tx1"/>
            </w14:solidFill>
          </w14:textFill>
        </w:rPr>
        <w:t>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3267A2AD">
      <w:pPr>
        <w:keepNext w:val="0"/>
        <w:keepLines w:val="0"/>
        <w:pageBreakBefore w:val="0"/>
        <w:wordWrap w:val="0"/>
        <w:overflowPunct/>
        <w:topLinePunct w:val="0"/>
        <w:bidi w:val="0"/>
        <w:spacing w:before="79" w:line="221" w:lineRule="auto"/>
        <w:ind w:left="577"/>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15.2  </w:t>
      </w:r>
      <w:r>
        <w:rPr>
          <w:rFonts w:hint="eastAsia" w:ascii="宋体" w:hAnsi="宋体" w:eastAsia="宋体" w:cs="宋体"/>
          <w:color w:val="000000" w:themeColor="text1"/>
          <w:spacing w:val="0"/>
          <w:sz w:val="24"/>
          <w:szCs w:val="24"/>
          <w:highlight w:val="none"/>
          <w14:textFill>
            <w14:solidFill>
              <w14:schemeClr w14:val="tx1"/>
            </w14:solidFill>
          </w14:textFill>
        </w:rPr>
        <w:t>评标方法</w:t>
      </w:r>
    </w:p>
    <w:p w14:paraId="31CCE9AE">
      <w:pPr>
        <w:keepNext w:val="0"/>
        <w:keepLines w:val="0"/>
        <w:pageBreakBefore w:val="0"/>
        <w:wordWrap w:val="0"/>
        <w:overflowPunct/>
        <w:topLinePunct w:val="0"/>
        <w:bidi w:val="0"/>
        <w:spacing w:before="78" w:line="326" w:lineRule="auto"/>
        <w:ind w:left="231" w:right="181" w:firstLine="560"/>
        <w:rPr>
          <w:rFonts w:hint="eastAsia" w:ascii="宋体" w:hAnsi="宋体" w:eastAsia="宋体" w:cs="宋体"/>
          <w:color w:val="000000" w:themeColor="text1"/>
          <w:spacing w:val="0"/>
          <w:highlight w:val="none"/>
          <w14:textFill>
            <w14:solidFill>
              <w14:schemeClr w14:val="tx1"/>
            </w14:solidFill>
          </w14:textFill>
        </w:rPr>
      </w:pPr>
      <w:bookmarkStart w:id="90" w:name="bookmark125"/>
      <w:bookmarkEnd w:id="90"/>
      <w:r>
        <w:rPr>
          <w:rFonts w:hint="eastAsia" w:ascii="宋体" w:hAnsi="宋体" w:eastAsia="宋体" w:cs="宋体"/>
          <w:color w:val="000000" w:themeColor="text1"/>
          <w:spacing w:val="0"/>
          <w:sz w:val="24"/>
          <w:szCs w:val="24"/>
          <w:highlight w:val="none"/>
          <w14:textFill>
            <w14:solidFill>
              <w14:schemeClr w14:val="tx1"/>
            </w14:solidFill>
          </w14:textFill>
        </w:rPr>
        <w:t>根据有关法律、法规的相关规定，结合本招标项目资金来源和规模特点，本次招标采用</w:t>
      </w:r>
      <w:r>
        <w:rPr>
          <w:rFonts w:hint="eastAsia" w:ascii="宋体" w:hAnsi="宋体" w:eastAsia="宋体" w:cs="宋体"/>
          <w:b/>
          <w:bCs/>
          <w:color w:val="000000" w:themeColor="text1"/>
          <w:spacing w:val="0"/>
          <w:sz w:val="24"/>
          <w:szCs w:val="24"/>
          <w:highlight w:val="none"/>
          <w:u w:val="single"/>
          <w14:textFill>
            <w14:solidFill>
              <w14:schemeClr w14:val="tx1"/>
            </w14:solidFill>
          </w14:textFill>
        </w:rPr>
        <w:t xml:space="preserve"> 综合评估法 </w:t>
      </w:r>
      <w:r>
        <w:rPr>
          <w:rFonts w:hint="eastAsia" w:ascii="宋体" w:hAnsi="宋体" w:eastAsia="宋体" w:cs="宋体"/>
          <w:color w:val="000000" w:themeColor="text1"/>
          <w:spacing w:val="0"/>
          <w:sz w:val="24"/>
          <w:szCs w:val="24"/>
          <w:highlight w:val="none"/>
          <w:u w:val="singl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评标方法名称）进行评标。</w:t>
      </w:r>
    </w:p>
    <w:p w14:paraId="444FBDD2">
      <w:pPr>
        <w:keepNext w:val="0"/>
        <w:keepLines w:val="0"/>
        <w:pageBreakBefore w:val="0"/>
        <w:wordWrap w:val="0"/>
        <w:overflowPunct/>
        <w:topLinePunct w:val="0"/>
        <w:bidi w:val="0"/>
        <w:spacing w:before="154" w:line="269" w:lineRule="auto"/>
        <w:ind w:left="220" w:right="33" w:firstLine="496"/>
        <w:rPr>
          <w:rFonts w:hint="eastAsia" w:ascii="宋体" w:hAnsi="宋体" w:eastAsia="宋体" w:cs="宋体"/>
          <w:color w:val="000000" w:themeColor="text1"/>
          <w:spacing w:val="0"/>
          <w:sz w:val="25"/>
          <w:szCs w:val="25"/>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15.3  </w:t>
      </w:r>
      <w:r>
        <w:rPr>
          <w:rFonts w:hint="eastAsia" w:ascii="宋体" w:hAnsi="宋体" w:eastAsia="宋体" w:cs="宋体"/>
          <w:color w:val="000000" w:themeColor="text1"/>
          <w:spacing w:val="0"/>
          <w:sz w:val="24"/>
          <w:szCs w:val="24"/>
          <w:highlight w:val="none"/>
          <w14:textFill>
            <w14:solidFill>
              <w14:schemeClr w14:val="tx1"/>
            </w14:solidFill>
          </w14:textFill>
        </w:rPr>
        <w:t>评审范围：评标委员会应对所有投标人的投标文件进行评审。</w:t>
      </w:r>
    </w:p>
    <w:p w14:paraId="0A158934">
      <w:pPr>
        <w:keepNext w:val="0"/>
        <w:keepLines w:val="0"/>
        <w:pageBreakBefore w:val="0"/>
        <w:wordWrap w:val="0"/>
        <w:overflowPunct/>
        <w:topLinePunct w:val="0"/>
        <w:bidi w:val="0"/>
        <w:spacing w:before="153" w:line="220" w:lineRule="auto"/>
        <w:ind w:left="71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  </w:t>
      </w:r>
      <w:r>
        <w:rPr>
          <w:rFonts w:hint="eastAsia" w:ascii="宋体" w:hAnsi="宋体" w:eastAsia="宋体" w:cs="宋体"/>
          <w:color w:val="000000" w:themeColor="text1"/>
          <w:spacing w:val="0"/>
          <w:sz w:val="24"/>
          <w:szCs w:val="24"/>
          <w:highlight w:val="none"/>
          <w14:textFill>
            <w14:solidFill>
              <w14:schemeClr w14:val="tx1"/>
            </w14:solidFill>
          </w14:textFill>
        </w:rPr>
        <w:t>初步评审阶段</w:t>
      </w:r>
    </w:p>
    <w:p w14:paraId="0814EC29">
      <w:pPr>
        <w:keepNext w:val="0"/>
        <w:keepLines w:val="0"/>
        <w:pageBreakBefore w:val="0"/>
        <w:wordWrap w:val="0"/>
        <w:overflowPunct/>
        <w:topLinePunct w:val="0"/>
        <w:bidi w:val="0"/>
        <w:spacing w:before="153" w:line="220" w:lineRule="auto"/>
        <w:ind w:left="70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初步评审阶段分为资格评审、形式评审和响应性评审三个环节。</w:t>
      </w:r>
    </w:p>
    <w:p w14:paraId="58B00498">
      <w:pPr>
        <w:keepNext w:val="0"/>
        <w:keepLines w:val="0"/>
        <w:pageBreakBefore w:val="0"/>
        <w:tabs>
          <w:tab w:val="left" w:pos="3360"/>
        </w:tabs>
        <w:wordWrap w:val="0"/>
        <w:overflowPunct/>
        <w:topLinePunct w:val="0"/>
        <w:bidi w:val="0"/>
        <w:spacing w:before="155" w:line="279" w:lineRule="auto"/>
        <w:ind w:left="719" w:right="6040" w:rightChars="0" w:hanging="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15.4.1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资格评审环节 资格评审事项</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包括</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18695609">
      <w:pPr>
        <w:keepNext w:val="0"/>
        <w:keepLines w:val="0"/>
        <w:pageBreakBefore w:val="0"/>
        <w:wordWrap w:val="0"/>
        <w:overflowPunct/>
        <w:topLinePunct w:val="0"/>
        <w:bidi w:val="0"/>
        <w:spacing w:before="152" w:line="315" w:lineRule="auto"/>
        <w:ind w:left="23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（1）投标人是否符合本章第三节第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条“禁止投标条款 ”规定。如果“禁止投标条款 ”包括失信惩戒的，投标人信用信息的获取采用现场实时查询的方式实施。由</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评标委员会</w:t>
      </w:r>
      <w:r>
        <w:rPr>
          <w:rFonts w:hint="eastAsia" w:ascii="宋体" w:hAnsi="宋体" w:eastAsia="宋体" w:cs="宋体"/>
          <w:color w:val="000000" w:themeColor="text1"/>
          <w:spacing w:val="0"/>
          <w:sz w:val="24"/>
          <w:szCs w:val="24"/>
          <w:highlight w:val="none"/>
          <w14:textFill>
            <w14:solidFill>
              <w14:schemeClr w14:val="tx1"/>
            </w14:solidFill>
          </w14:textFill>
        </w:rPr>
        <w:t xml:space="preserve">登录信用中国网站（https://www.creditchina.gov.cn），在企业查询界面下载和打印《法人和非法人组织公共信用信息报告》。 </w:t>
      </w:r>
    </w:p>
    <w:p w14:paraId="375F7385">
      <w:pPr>
        <w:keepNext w:val="0"/>
        <w:keepLines w:val="0"/>
        <w:pageBreakBefore w:val="0"/>
        <w:wordWrap w:val="0"/>
        <w:overflowPunct/>
        <w:topLinePunct w:val="0"/>
        <w:bidi w:val="0"/>
        <w:spacing w:before="155" w:line="219" w:lineRule="auto"/>
        <w:ind w:left="72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（2）投标人名称是否与营业执照、资质证书、安全生产许可证一致。</w:t>
      </w:r>
    </w:p>
    <w:p w14:paraId="164D7887">
      <w:pPr>
        <w:keepNext w:val="0"/>
        <w:keepLines w:val="0"/>
        <w:pageBreakBefore w:val="0"/>
        <w:widowControl/>
        <w:kinsoku w:val="0"/>
        <w:wordWrap w:val="0"/>
        <w:overflowPunct/>
        <w:topLinePunct w:val="0"/>
        <w:autoSpaceDE w:val="0"/>
        <w:autoSpaceDN w:val="0"/>
        <w:bidi w:val="0"/>
        <w:adjustRightInd w:val="0"/>
        <w:snapToGrid w:val="0"/>
        <w:spacing w:before="155" w:line="286" w:lineRule="auto"/>
        <w:ind w:left="232" w:right="96" w:firstLine="48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（3）投标人的资质是否符合招标文件规定；其营业执照、资质证书、安全生产许可证（含实时网页查询页，可参考网址 https://zlaq.mohurd.gov.cn/fwmh/bjxcjgl/fwm</w:t>
      </w:r>
      <w:bookmarkStart w:id="91" w:name="bookmark126"/>
      <w:bookmarkEnd w:id="91"/>
      <w:r>
        <w:rPr>
          <w:rFonts w:hint="eastAsia" w:ascii="宋体" w:hAnsi="宋体" w:eastAsia="宋体" w:cs="宋体"/>
          <w:color w:val="000000" w:themeColor="text1"/>
          <w:spacing w:val="0"/>
          <w:position w:val="3"/>
          <w:sz w:val="24"/>
          <w:szCs w:val="24"/>
          <w:highlight w:val="none"/>
          <w14:textFill>
            <w14:solidFill>
              <w14:schemeClr w14:val="tx1"/>
            </w14:solidFill>
          </w14:textFill>
        </w:rPr>
        <w:t>h/pages/construction_safety/qyaqscxkz/qyaqscxkz）是否合法、有效、准确。</w:t>
      </w:r>
    </w:p>
    <w:p w14:paraId="540CBBB1">
      <w:pPr>
        <w:keepNext w:val="0"/>
        <w:keepLines w:val="0"/>
        <w:pageBreakBefore w:val="0"/>
        <w:wordWrap w:val="0"/>
        <w:overflowPunct/>
        <w:topLinePunct w:val="0"/>
        <w:bidi w:val="0"/>
        <w:spacing w:before="144"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（4）《项目经理简历表》中拟派项目经理是否与《开标一览表》一致。</w:t>
      </w:r>
    </w:p>
    <w:p w14:paraId="6B9B0D89">
      <w:pPr>
        <w:keepNext w:val="0"/>
        <w:keepLines w:val="0"/>
        <w:pageBreakBefore w:val="0"/>
        <w:wordWrap w:val="0"/>
        <w:overflowPunct/>
        <w:topLinePunct w:val="0"/>
        <w:bidi w:val="0"/>
        <w:spacing w:before="151" w:line="315" w:lineRule="auto"/>
        <w:ind w:left="11"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拟派项目经理、项目技术负责人、专职安全员的条件是否符合招标文件规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33FF0F7A">
      <w:pPr>
        <w:keepNext w:val="0"/>
        <w:keepLines w:val="0"/>
        <w:pageBreakBefore w:val="0"/>
        <w:wordWrap w:val="0"/>
        <w:overflowPunct/>
        <w:topLinePunct w:val="0"/>
        <w:bidi w:val="0"/>
        <w:spacing w:before="156" w:line="298" w:lineRule="auto"/>
        <w:ind w:left="9"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联合体投标的，是否提交《联合体协议书》；是否擅自修改、遗漏《联合体协议书》的实质性内容；联合体成员的数量、资质是否符合招标文件规定；联合体成员是否以自己名义单独或者参加其他联合体参与本招标项目投标。</w:t>
      </w:r>
    </w:p>
    <w:p w14:paraId="12F54F61">
      <w:pPr>
        <w:keepNext w:val="0"/>
        <w:keepLines w:val="0"/>
        <w:pageBreakBefore w:val="0"/>
        <w:wordWrap w:val="0"/>
        <w:overflowPunct/>
        <w:topLinePunct w:val="0"/>
        <w:bidi w:val="0"/>
        <w:spacing w:before="155" w:line="360" w:lineRule="auto"/>
        <w:ind w:left="8" w:right="2"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（7）投标人为外省建筑企业的，是否按规定在“进粤企业和人员诚信信息登记平台 ”录入企业及其拟派人员有关信息并通过数据规范检查。</w:t>
      </w:r>
    </w:p>
    <w:p w14:paraId="27E19AD3">
      <w:pPr>
        <w:keepNext w:val="0"/>
        <w:keepLines w:val="0"/>
        <w:pageBreakBefore w:val="0"/>
        <w:wordWrap w:val="0"/>
        <w:overflowPunct/>
        <w:topLinePunct w:val="0"/>
        <w:bidi w:val="0"/>
        <w:spacing w:before="15" w:line="360" w:lineRule="auto"/>
        <w:ind w:right="2" w:firstLine="482" w:firstLineChars="200"/>
        <w:jc w:val="both"/>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92" w:name="_Toc22778"/>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形式评审环节</w:t>
      </w:r>
    </w:p>
    <w:p w14:paraId="72253524">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形式评审事</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项包括</w:t>
      </w:r>
      <w:bookmarkEnd w:id="92"/>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4EA57E30">
      <w:pPr>
        <w:keepNext w:val="0"/>
        <w:keepLines w:val="0"/>
        <w:pageBreakBefore w:val="0"/>
        <w:wordWrap w:val="0"/>
        <w:overflowPunct/>
        <w:topLinePunct w:val="0"/>
        <w:bidi w:val="0"/>
        <w:spacing w:before="40" w:line="360"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93" w:name="_Toc4914"/>
      <w:bookmarkStart w:id="94" w:name="_Toc13304"/>
      <w:bookmarkStart w:id="95" w:name="_Toc23632"/>
      <w:bookmarkStart w:id="96" w:name="_Toc20481"/>
      <w:r>
        <w:rPr>
          <w:rFonts w:hint="eastAsia" w:ascii="宋体" w:hAnsi="宋体" w:eastAsia="宋体" w:cs="宋体"/>
          <w:color w:val="000000" w:themeColor="text1"/>
          <w:spacing w:val="0"/>
          <w:sz w:val="24"/>
          <w:szCs w:val="24"/>
          <w:highlight w:val="none"/>
          <w14:textFill>
            <w14:solidFill>
              <w14:schemeClr w14:val="tx1"/>
            </w14:solidFill>
          </w14:textFill>
        </w:rPr>
        <w:t>（1）各分册是否按招标文件规定加盖电子印章。</w:t>
      </w:r>
      <w:bookmarkEnd w:id="93"/>
      <w:bookmarkEnd w:id="94"/>
      <w:bookmarkEnd w:id="95"/>
      <w:bookmarkEnd w:id="96"/>
    </w:p>
    <w:p w14:paraId="1B27A302">
      <w:pPr>
        <w:keepNext w:val="0"/>
        <w:keepLines w:val="0"/>
        <w:pageBreakBefore w:val="0"/>
        <w:wordWrap w:val="0"/>
        <w:overflowPunct/>
        <w:topLinePunct w:val="0"/>
        <w:bidi w:val="0"/>
        <w:spacing w:before="15" w:line="360" w:lineRule="auto"/>
        <w:ind w:firstLine="480" w:firstLineChars="200"/>
        <w:outlineLvl w:val="9"/>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97" w:name="_Toc10806"/>
      <w:bookmarkStart w:id="98" w:name="_Toc28409"/>
      <w:bookmarkStart w:id="99" w:name="_Toc27432"/>
      <w:bookmarkStart w:id="100" w:name="_Toc12756"/>
      <w:r>
        <w:rPr>
          <w:rFonts w:hint="eastAsia" w:ascii="宋体" w:hAnsi="宋体" w:eastAsia="宋体" w:cs="宋体"/>
          <w:color w:val="000000" w:themeColor="text1"/>
          <w:spacing w:val="0"/>
          <w:sz w:val="24"/>
          <w:szCs w:val="24"/>
          <w:highlight w:val="none"/>
          <w14:textFill>
            <w14:solidFill>
              <w14:schemeClr w14:val="tx1"/>
            </w14:solidFill>
          </w14:textFill>
        </w:rPr>
        <w:t>（2）本节第</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10.2.2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目、第</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10.4.3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目中规定的“所有投标人均应提</w:t>
      </w:r>
      <w:bookmarkEnd w:id="97"/>
      <w:bookmarkEnd w:id="98"/>
      <w:bookmarkEnd w:id="99"/>
      <w:r>
        <w:rPr>
          <w:rFonts w:hint="eastAsia" w:ascii="宋体" w:hAnsi="宋体" w:eastAsia="宋体" w:cs="宋体"/>
          <w:color w:val="000000" w:themeColor="text1"/>
          <w:spacing w:val="0"/>
          <w:sz w:val="24"/>
          <w:szCs w:val="24"/>
          <w:highlight w:val="none"/>
          <w14:textFill>
            <w14:solidFill>
              <w14:schemeClr w14:val="tx1"/>
            </w14:solidFill>
          </w14:textFill>
        </w:rPr>
        <w:t>供 ”的组成内容（包括该组成内容的所附资料）是否完整、齐全</w:t>
      </w:r>
      <w:bookmarkEnd w:id="100"/>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15AF52E2">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01" w:name="_Toc22691"/>
      <w:bookmarkStart w:id="102" w:name="_Toc15678"/>
      <w:bookmarkStart w:id="103" w:name="_Toc9581"/>
      <w:bookmarkStart w:id="104" w:name="_Toc17918"/>
      <w:r>
        <w:rPr>
          <w:rFonts w:hint="eastAsia" w:ascii="宋体" w:hAnsi="宋体" w:eastAsia="宋体" w:cs="宋体"/>
          <w:color w:val="000000" w:themeColor="text1"/>
          <w:spacing w:val="0"/>
          <w:sz w:val="24"/>
          <w:szCs w:val="24"/>
          <w:highlight w:val="none"/>
          <w:lang w:eastAsia="zh-CN"/>
          <w14:textFill>
            <w14:solidFill>
              <w14:schemeClr w14:val="tx1"/>
            </w14:solidFill>
          </w14:textFill>
        </w:rPr>
        <w:t>（3）</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施工组织设计采用“暗标 ”方式进行评审的，施工组织设计的规格颜色、文字排版、正文篇幅（若有）是否符合规定；其任何部位是否出现手写以及涂改、行间插字或删除痕迹；其任何部位是否出现投标人的名称和其它可识别投标人身份的字符、徽标、人员名称以及其他特殊标记。</w:t>
      </w:r>
      <w:bookmarkEnd w:id="101"/>
      <w:bookmarkEnd w:id="102"/>
      <w:bookmarkEnd w:id="103"/>
      <w:bookmarkEnd w:id="104"/>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（本次招标项目不适用）</w:t>
      </w:r>
    </w:p>
    <w:p w14:paraId="5B0B29C4">
      <w:pPr>
        <w:keepNext w:val="0"/>
        <w:keepLines w:val="0"/>
        <w:pageBreakBefore w:val="0"/>
        <w:wordWrap w:val="0"/>
        <w:overflowPunct/>
        <w:topLinePunct w:val="0"/>
        <w:bidi w:val="0"/>
        <w:spacing w:before="15" w:line="360" w:lineRule="auto"/>
        <w:ind w:right="2" w:firstLine="482" w:firstLineChars="200"/>
        <w:jc w:val="both"/>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05" w:name="_Toc22562"/>
      <w:bookmarkStart w:id="106" w:name="_Toc22642"/>
      <w:bookmarkStart w:id="107" w:name="_Toc14202"/>
      <w:bookmarkStart w:id="108" w:name="_Toc16645"/>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15.4.3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响应性评审环节 </w:t>
      </w:r>
    </w:p>
    <w:p w14:paraId="69F5E200">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响应性评审事</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项</w:t>
      </w:r>
      <w:r>
        <w:rPr>
          <w:rFonts w:hint="eastAsia" w:ascii="宋体" w:hAnsi="宋体" w:eastAsia="宋体" w:cs="宋体"/>
          <w:color w:val="000000" w:themeColor="text1"/>
          <w:spacing w:val="0"/>
          <w:sz w:val="24"/>
          <w:szCs w:val="24"/>
          <w:highlight w:val="none"/>
          <w14:textFill>
            <w14:solidFill>
              <w14:schemeClr w14:val="tx1"/>
            </w14:solidFill>
          </w14:textFill>
        </w:rPr>
        <w:t>包括：</w:t>
      </w:r>
      <w:bookmarkEnd w:id="105"/>
      <w:bookmarkEnd w:id="106"/>
      <w:bookmarkEnd w:id="107"/>
      <w:bookmarkEnd w:id="108"/>
    </w:p>
    <w:p w14:paraId="0A2173BC">
      <w:pPr>
        <w:keepNext w:val="0"/>
        <w:keepLines w:val="0"/>
        <w:pageBreakBefore w:val="0"/>
        <w:wordWrap w:val="0"/>
        <w:overflowPunct/>
        <w:topLinePunct w:val="0"/>
        <w:bidi w:val="0"/>
        <w:spacing w:before="155" w:line="360" w:lineRule="auto"/>
        <w:ind w:left="9"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（1）投标有效期、质量标准、工期等是否响应招标文件实质性要求；是否擅自修改、遗漏《投标函》《各项承诺一览表》的实质性内容。</w:t>
      </w:r>
    </w:p>
    <w:p w14:paraId="5225B394">
      <w:pPr>
        <w:keepNext w:val="0"/>
        <w:keepLines w:val="0"/>
        <w:pageBreakBefore w:val="0"/>
        <w:wordWrap w:val="0"/>
        <w:overflowPunct/>
        <w:topLinePunct w:val="0"/>
        <w:bidi w:val="0"/>
        <w:spacing w:before="152" w:line="36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（2）编制《投标总价》的造价工程师，其注册证书是否合法、有效。</w:t>
      </w:r>
    </w:p>
    <w:p w14:paraId="407B50B8">
      <w:pPr>
        <w:keepNext w:val="0"/>
        <w:keepLines w:val="0"/>
        <w:pageBreakBefore w:val="0"/>
        <w:wordWrap w:val="0"/>
        <w:overflowPunct/>
        <w:topLinePunct w:val="0"/>
        <w:bidi w:val="0"/>
        <w:spacing w:before="158" w:line="360" w:lineRule="auto"/>
        <w:ind w:left="21" w:right="2"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（3）投标人委托造价咨询单位编制《投标总价》的，是否在《投标总价扉页》“投标人”栏目加盖造价咨询人公章；是否提供造价咨询人的营业执照副本彩色扫描件；</w:t>
      </w:r>
    </w:p>
    <w:p w14:paraId="33F4A496">
      <w:pPr>
        <w:keepNext w:val="0"/>
        <w:keepLines w:val="0"/>
        <w:pageBreakBefore w:val="0"/>
        <w:wordWrap w:val="0"/>
        <w:overflowPunct/>
        <w:topLinePunct w:val="0"/>
        <w:bidi w:val="0"/>
        <w:spacing w:before="158" w:line="328" w:lineRule="auto"/>
        <w:ind w:left="9" w:firstLine="491"/>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（4）投标总价是否唯一；投标总价是否超出</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是否达到最低要求；暂列金额、暂估价是否按照招标工程量清单统一报价；投标人是否以低于成本的价格竞标。</w:t>
      </w:r>
    </w:p>
    <w:p w14:paraId="0FEFD797">
      <w:pPr>
        <w:keepNext w:val="0"/>
        <w:keepLines w:val="0"/>
        <w:pageBreakBefore w:val="0"/>
        <w:wordWrap w:val="0"/>
        <w:overflowPunct/>
        <w:topLinePunct w:val="0"/>
        <w:bidi w:val="0"/>
        <w:spacing w:before="38" w:line="360" w:lineRule="auto"/>
        <w:ind w:right="2" w:firstLine="482" w:firstLineChars="200"/>
        <w:jc w:val="both"/>
        <w:rPr>
          <w:rFonts w:hint="eastAsia" w:ascii="宋体" w:hAnsi="宋体" w:eastAsia="宋体" w:cs="宋体"/>
          <w:color w:val="000000" w:themeColor="text1"/>
          <w:spacing w:val="0"/>
          <w:position w:val="-8"/>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注：如果某投标人的投标总价下浮率超过</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15% ，又未提供相应书面说明和佐证</w:t>
      </w:r>
      <w:bookmarkStart w:id="109" w:name="bookmark127"/>
      <w:bookmarkEnd w:id="109"/>
      <w:r>
        <w:rPr>
          <w:rFonts w:hint="eastAsia" w:ascii="宋体" w:hAnsi="宋体" w:eastAsia="宋体" w:cs="宋体"/>
          <w:b/>
          <w:bCs/>
          <w:color w:val="000000" w:themeColor="text1"/>
          <w:spacing w:val="0"/>
          <w:sz w:val="24"/>
          <w:szCs w:val="24"/>
          <w:highlight w:val="none"/>
          <w14:textFill>
            <w14:solidFill>
              <w14:schemeClr w14:val="tx1"/>
            </w14:solidFill>
          </w14:textFill>
        </w:rPr>
        <w:t>材料或提供的书面说明和佐证材料不能令人信服的，评标委员会应认定其以低于成本的价格竞标，并否决其投标。评标委员会接受该投标人的投标总价而未否决其投标的，应在评标报告中说明判断理由。投标总价下浮率＝（1－投标总价÷</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）×100% 。</w:t>
      </w:r>
    </w:p>
    <w:p w14:paraId="2485C4DD">
      <w:pPr>
        <w:keepNext w:val="0"/>
        <w:keepLines w:val="0"/>
        <w:pageBreakBefore w:val="0"/>
        <w:wordWrap w:val="0"/>
        <w:overflowPunct/>
        <w:topLinePunct w:val="0"/>
        <w:bidi w:val="0"/>
        <w:spacing w:before="157" w:line="360" w:lineRule="auto"/>
        <w:ind w:left="11" w:right="114" w:firstLine="501" w:firstLineChars="209"/>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（5）施工组织设计的质量、进度保障措施是否符合国家和省市现行有关规范、规定、标准，是否能实现工程质量、进度管理目标。</w:t>
      </w:r>
    </w:p>
    <w:p w14:paraId="27A6EA2D">
      <w:pPr>
        <w:keepNext w:val="0"/>
        <w:keepLines w:val="0"/>
        <w:pageBreakBefore w:val="0"/>
        <w:wordWrap w:val="0"/>
        <w:overflowPunct/>
        <w:topLinePunct w:val="0"/>
        <w:bidi w:val="0"/>
        <w:spacing w:before="82" w:line="211" w:lineRule="auto"/>
        <w:ind w:left="580"/>
        <w:outlineLvl w:val="9"/>
        <w:rPr>
          <w:rFonts w:hint="eastAsia" w:ascii="宋体" w:hAnsi="宋体" w:eastAsia="宋体" w:cs="宋体"/>
          <w:color w:val="000000" w:themeColor="text1"/>
          <w:spacing w:val="0"/>
          <w:sz w:val="25"/>
          <w:szCs w:val="25"/>
          <w:highlight w:val="none"/>
          <w14:textFill>
            <w14:solidFill>
              <w14:schemeClr w14:val="tx1"/>
            </w14:solidFill>
          </w14:textFill>
        </w:rPr>
      </w:pPr>
      <w:bookmarkStart w:id="110" w:name="_Toc19814"/>
      <w:bookmarkStart w:id="111" w:name="_Toc18204"/>
      <w:bookmarkStart w:id="112" w:name="_Toc32114"/>
      <w:bookmarkStart w:id="113" w:name="_Toc15367"/>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15.4.4  </w:t>
      </w:r>
      <w:r>
        <w:rPr>
          <w:rFonts w:hint="eastAsia" w:ascii="宋体" w:hAnsi="宋体" w:eastAsia="宋体" w:cs="宋体"/>
          <w:color w:val="000000" w:themeColor="text1"/>
          <w:spacing w:val="0"/>
          <w:sz w:val="24"/>
          <w:szCs w:val="24"/>
          <w:highlight w:val="none"/>
          <w14:textFill>
            <w14:solidFill>
              <w14:schemeClr w14:val="tx1"/>
            </w14:solidFill>
          </w14:textFill>
        </w:rPr>
        <w:t>否决投标说明</w:t>
      </w:r>
      <w:bookmarkEnd w:id="110"/>
      <w:bookmarkEnd w:id="111"/>
      <w:bookmarkEnd w:id="112"/>
      <w:bookmarkEnd w:id="113"/>
    </w:p>
    <w:p w14:paraId="71D5DBDC">
      <w:pPr>
        <w:keepNext w:val="0"/>
        <w:keepLines w:val="0"/>
        <w:pageBreakBefore w:val="0"/>
        <w:wordWrap w:val="0"/>
        <w:overflowPunct/>
        <w:topLinePunct w:val="0"/>
        <w:bidi w:val="0"/>
        <w:spacing w:before="152" w:line="333" w:lineRule="auto"/>
        <w:ind w:left="11" w:right="175" w:firstLine="561"/>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初步评审阶段各个环节否决投标的全部条件，在本章第四节“否决投标条件 ”第</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条至第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 </w:t>
      </w:r>
      <w:r>
        <w:rPr>
          <w:rFonts w:hint="eastAsia" w:ascii="宋体" w:hAnsi="宋体" w:eastAsia="宋体" w:cs="宋体"/>
          <w:color w:val="000000" w:themeColor="text1"/>
          <w:spacing w:val="0"/>
          <w:sz w:val="24"/>
          <w:szCs w:val="24"/>
          <w:highlight w:val="none"/>
          <w14:textFill>
            <w14:solidFill>
              <w14:schemeClr w14:val="tx1"/>
            </w14:solidFill>
          </w14:textFill>
        </w:rPr>
        <w:t>条中集中列示。投标人有其中所列任何一种情形的，由评标委员会否决其投标。在初步评审阶段任何环节被否决的投标人，不进入下一环节（或阶段）评审。在初步评审阶段任何环节</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评标委员会经评审，认为所有投标都不符合招标文件要求的，可否决所有投标，项目的所有投标被否决的，招标人应依法重新组织招标。</w:t>
      </w:r>
    </w:p>
    <w:p w14:paraId="132A65C3">
      <w:pPr>
        <w:keepNext w:val="0"/>
        <w:keepLines w:val="0"/>
        <w:pageBreakBefore w:val="0"/>
        <w:wordWrap w:val="0"/>
        <w:overflowPunct/>
        <w:topLinePunct w:val="0"/>
        <w:bidi w:val="0"/>
        <w:spacing w:before="78" w:line="221" w:lineRule="auto"/>
        <w:ind w:left="5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drawing>
          <wp:anchor distT="0" distB="0" distL="114300" distR="114300" simplePos="0" relativeHeight="251663360" behindDoc="1" locked="0" layoutInCell="1" allowOverlap="1">
            <wp:simplePos x="0" y="0"/>
            <wp:positionH relativeFrom="column">
              <wp:posOffset>4789170</wp:posOffset>
            </wp:positionH>
            <wp:positionV relativeFrom="paragraph">
              <wp:posOffset>236220</wp:posOffset>
            </wp:positionV>
            <wp:extent cx="6350" cy="279400"/>
            <wp:effectExtent l="0" t="0" r="0" b="0"/>
            <wp:wrapNone/>
            <wp:docPr id="31" name="IM 46"/>
            <wp:cNvGraphicFramePr/>
            <a:graphic xmlns:a="http://schemas.openxmlformats.org/drawingml/2006/main">
              <a:graphicData uri="http://schemas.openxmlformats.org/drawingml/2006/picture">
                <pic:pic xmlns:pic="http://schemas.openxmlformats.org/drawingml/2006/picture">
                  <pic:nvPicPr>
                    <pic:cNvPr id="31" name="IM 46"/>
                    <pic:cNvPicPr/>
                  </pic:nvPicPr>
                  <pic:blipFill>
                    <a:blip r:embed="rId30"/>
                    <a:stretch>
                      <a:fillRect/>
                    </a:stretch>
                  </pic:blipFill>
                  <pic:spPr>
                    <a:xfrm>
                      <a:off x="0" y="0"/>
                      <a:ext cx="6350" cy="279400"/>
                    </a:xfrm>
                    <a:prstGeom prst="rect">
                      <a:avLst/>
                    </a:prstGeom>
                    <a:noFill/>
                    <a:ln>
                      <a:noFill/>
                    </a:ln>
                  </pic:spPr>
                </pic:pic>
              </a:graphicData>
            </a:graphic>
          </wp:anchor>
        </w:drawing>
      </w:r>
      <w:bookmarkStart w:id="114" w:name="bookmark128"/>
      <w:bookmarkEnd w:id="114"/>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  </w:t>
      </w:r>
      <w:r>
        <w:rPr>
          <w:rFonts w:hint="eastAsia" w:ascii="宋体" w:hAnsi="宋体" w:eastAsia="宋体" w:cs="宋体"/>
          <w:color w:val="000000" w:themeColor="text1"/>
          <w:spacing w:val="0"/>
          <w:sz w:val="24"/>
          <w:szCs w:val="24"/>
          <w:highlight w:val="none"/>
          <w14:textFill>
            <w14:solidFill>
              <w14:schemeClr w14:val="tx1"/>
            </w14:solidFill>
          </w14:textFill>
        </w:rPr>
        <w:t>详细评审阶段</w:t>
      </w:r>
    </w:p>
    <w:p w14:paraId="60660A02">
      <w:pPr>
        <w:keepNext w:val="0"/>
        <w:keepLines w:val="0"/>
        <w:pageBreakBefore w:val="0"/>
        <w:wordWrap w:val="0"/>
        <w:overflowPunct/>
        <w:topLinePunct w:val="0"/>
        <w:bidi w:val="0"/>
        <w:spacing w:before="81" w:line="211" w:lineRule="auto"/>
        <w:ind w:left="498"/>
        <w:outlineLvl w:val="9"/>
        <w:rPr>
          <w:rFonts w:hint="eastAsia" w:ascii="宋体" w:hAnsi="宋体" w:eastAsia="宋体" w:cs="宋体"/>
          <w:color w:val="000000" w:themeColor="text1"/>
          <w:spacing w:val="0"/>
          <w:sz w:val="25"/>
          <w:szCs w:val="25"/>
          <w:highlight w:val="none"/>
          <w14:textFill>
            <w14:solidFill>
              <w14:schemeClr w14:val="tx1"/>
            </w14:solidFill>
          </w14:textFill>
        </w:rPr>
      </w:pPr>
      <w:bookmarkStart w:id="115" w:name="_Toc14991"/>
      <w:bookmarkStart w:id="116" w:name="_Toc10503"/>
      <w:bookmarkStart w:id="117" w:name="_Toc28572"/>
      <w:bookmarkStart w:id="118" w:name="_Toc4119"/>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15.5.1  </w:t>
      </w:r>
      <w:r>
        <w:rPr>
          <w:rFonts w:hint="eastAsia" w:ascii="宋体" w:hAnsi="宋体" w:eastAsia="宋体" w:cs="宋体"/>
          <w:color w:val="000000" w:themeColor="text1"/>
          <w:spacing w:val="0"/>
          <w:sz w:val="24"/>
          <w:szCs w:val="24"/>
          <w:highlight w:val="none"/>
          <w14:textFill>
            <w14:solidFill>
              <w14:schemeClr w14:val="tx1"/>
            </w14:solidFill>
          </w14:textFill>
        </w:rPr>
        <w:t>“综合评估法 ”评审程序</w:t>
      </w:r>
      <w:bookmarkEnd w:id="115"/>
      <w:bookmarkEnd w:id="116"/>
      <w:bookmarkEnd w:id="117"/>
      <w:bookmarkEnd w:id="118"/>
    </w:p>
    <w:p w14:paraId="1C11D96B">
      <w:pPr>
        <w:keepNext w:val="0"/>
        <w:keepLines w:val="0"/>
        <w:pageBreakBefore w:val="0"/>
        <w:wordWrap w:val="0"/>
        <w:overflowPunct/>
        <w:topLinePunct w:val="0"/>
        <w:bidi w:val="0"/>
        <w:spacing w:before="152" w:line="329" w:lineRule="auto"/>
        <w:ind w:left="14" w:right="81"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评审内容分为商务技术和投标报价两大部分。其中，商务技术合计满分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100</w:t>
      </w:r>
      <w:r>
        <w:rPr>
          <w:rFonts w:hint="eastAsia" w:ascii="宋体" w:hAnsi="宋体" w:eastAsia="宋体" w:cs="宋体"/>
          <w:color w:val="000000" w:themeColor="text1"/>
          <w:spacing w:val="0"/>
          <w:sz w:val="24"/>
          <w:szCs w:val="24"/>
          <w:highlight w:val="none"/>
          <w14:textFill>
            <w14:solidFill>
              <w14:schemeClr w14:val="tx1"/>
            </w14:solidFill>
          </w14:textFill>
        </w:rPr>
        <w:t>分，权重为</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40</w:t>
      </w:r>
      <w:r>
        <w:rPr>
          <w:rFonts w:hint="eastAsia" w:ascii="宋体" w:hAnsi="宋体" w:eastAsia="宋体" w:cs="宋体"/>
          <w:color w:val="000000" w:themeColor="text1"/>
          <w:spacing w:val="0"/>
          <w:sz w:val="24"/>
          <w:szCs w:val="24"/>
          <w:highlight w:val="none"/>
          <w14:textFill>
            <w14:solidFill>
              <w14:schemeClr w14:val="tx1"/>
            </w14:solidFill>
          </w14:textFill>
        </w:rPr>
        <w:t>%；投标报价满分 100 分，权重为</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60</w:t>
      </w:r>
      <w:r>
        <w:rPr>
          <w:rFonts w:hint="eastAsia" w:ascii="宋体" w:hAnsi="宋体" w:eastAsia="宋体" w:cs="宋体"/>
          <w:color w:val="000000" w:themeColor="text1"/>
          <w:spacing w:val="0"/>
          <w:sz w:val="24"/>
          <w:szCs w:val="24"/>
          <w:highlight w:val="none"/>
          <w14:textFill>
            <w14:solidFill>
              <w14:schemeClr w14:val="tx1"/>
            </w14:solidFill>
          </w14:textFill>
        </w:rPr>
        <w:t>% 。两大部分权重之和应为 100%。</w:t>
      </w:r>
    </w:p>
    <w:p w14:paraId="3ABDDFFD">
      <w:pPr>
        <w:keepNext w:val="0"/>
        <w:keepLines w:val="0"/>
        <w:pageBreakBefore w:val="0"/>
        <w:wordWrap w:val="0"/>
        <w:overflowPunct/>
        <w:topLinePunct w:val="0"/>
        <w:bidi w:val="0"/>
        <w:spacing w:before="153" w:line="324" w:lineRule="auto"/>
        <w:ind w:left="14" w:right="81"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除特别注明外，综合得分以及商务技术得分、投标报价得分的中间过程计算值和最终值，均按“ 四舍五入 ”原则精确到两位小数。</w:t>
      </w:r>
    </w:p>
    <w:p w14:paraId="11F14EEB">
      <w:pPr>
        <w:keepNext w:val="0"/>
        <w:keepLines w:val="0"/>
        <w:pageBreakBefore w:val="0"/>
        <w:wordWrap w:val="0"/>
        <w:overflowPunct/>
        <w:topLinePunct w:val="0"/>
        <w:bidi w:val="0"/>
        <w:spacing w:before="38" w:line="220" w:lineRule="auto"/>
        <w:ind w:left="503"/>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19" w:name="_Toc22949"/>
      <w:bookmarkStart w:id="120" w:name="_Toc17510"/>
      <w:bookmarkStart w:id="121" w:name="_Toc10398"/>
      <w:bookmarkStart w:id="122" w:name="_Toc18029"/>
      <w:r>
        <w:rPr>
          <w:rFonts w:hint="eastAsia" w:ascii="宋体" w:hAnsi="宋体" w:eastAsia="宋体" w:cs="宋体"/>
          <w:color w:val="000000" w:themeColor="text1"/>
          <w:spacing w:val="0"/>
          <w:sz w:val="24"/>
          <w:szCs w:val="24"/>
          <w:highlight w:val="none"/>
          <w14:textFill>
            <w14:solidFill>
              <w14:schemeClr w14:val="tx1"/>
            </w14:solidFill>
          </w14:textFill>
        </w:rPr>
        <w:t>（1）商务技术得分 M</w:t>
      </w:r>
      <w:bookmarkEnd w:id="119"/>
      <w:bookmarkEnd w:id="120"/>
      <w:bookmarkEnd w:id="121"/>
      <w:bookmarkEnd w:id="122"/>
    </w:p>
    <w:p w14:paraId="7F4E18BB">
      <w:pPr>
        <w:keepNext w:val="0"/>
        <w:keepLines w:val="0"/>
        <w:pageBreakBefore w:val="0"/>
        <w:wordWrap w:val="0"/>
        <w:overflowPunct/>
        <w:topLinePunct w:val="0"/>
        <w:bidi w:val="0"/>
        <w:spacing w:before="153" w:line="279" w:lineRule="auto"/>
        <w:ind w:left="15" w:right="8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．评标委员会按照《综合评分表》商务部分指定的评分标准对各评分因素进行打分。各评分因素得分之和即为某投标人的商务得分 M</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20931295">
      <w:pPr>
        <w:keepNext w:val="0"/>
        <w:keepLines w:val="0"/>
        <w:pageBreakBefore w:val="0"/>
        <w:wordWrap w:val="0"/>
        <w:overflowPunct/>
        <w:topLinePunct w:val="0"/>
        <w:bidi w:val="0"/>
        <w:spacing w:before="154" w:line="299" w:lineRule="auto"/>
        <w:ind w:left="12" w:right="81"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b </w:t>
      </w:r>
      <w:r>
        <w:rPr>
          <w:rFonts w:hint="eastAsia" w:ascii="宋体" w:hAnsi="宋体" w:eastAsia="宋体" w:cs="宋体"/>
          <w:color w:val="000000" w:themeColor="text1"/>
          <w:spacing w:val="0"/>
          <w:sz w:val="24"/>
          <w:szCs w:val="24"/>
          <w:highlight w:val="none"/>
          <w14:textFill>
            <w14:solidFill>
              <w14:schemeClr w14:val="tx1"/>
            </w14:solidFill>
          </w14:textFill>
        </w:rPr>
        <w:t>．评标委员会各成员独立按照《综合评分表》技术部分（施工组织设计）指定的评分标准对各评分因素进行打分，累加后得出技术评分。将评标委员会所有成员的技术评分去掉最高分和最低分后，取算术平均值，即为某投标人的技术得分 M</w:t>
      </w:r>
      <w:r>
        <w:rPr>
          <w:rFonts w:hint="eastAsia" w:ascii="宋体" w:hAnsi="宋体" w:eastAsia="宋体" w:cs="宋体"/>
          <w:color w:val="000000" w:themeColor="text1"/>
          <w:spacing w:val="0"/>
          <w:position w:val="-1"/>
          <w:sz w:val="15"/>
          <w:szCs w:val="15"/>
          <w:highlight w:val="none"/>
          <w14:textFill>
            <w14:solidFill>
              <w14:schemeClr w14:val="tx1"/>
            </w14:solidFill>
          </w14:textFill>
        </w:rPr>
        <w:t>2</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0C018EDE">
      <w:pPr>
        <w:keepNext w:val="0"/>
        <w:keepLines w:val="0"/>
        <w:pageBreakBefore w:val="0"/>
        <w:wordWrap w:val="0"/>
        <w:overflowPunct/>
        <w:topLinePunct w:val="0"/>
        <w:bidi w:val="0"/>
        <w:spacing w:before="155" w:line="231" w:lineRule="auto"/>
        <w:ind w:left="491"/>
        <w:rPr>
          <w:rFonts w:hint="eastAsia" w:ascii="宋体" w:hAnsi="宋体" w:eastAsia="宋体" w:cs="宋体"/>
          <w:color w:val="000000" w:themeColor="text1"/>
          <w:spacing w:val="0"/>
          <w:sz w:val="15"/>
          <w:szCs w:val="15"/>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c </w:t>
      </w:r>
      <w:r>
        <w:rPr>
          <w:rFonts w:hint="eastAsia" w:ascii="宋体" w:hAnsi="宋体" w:eastAsia="宋体" w:cs="宋体"/>
          <w:color w:val="000000" w:themeColor="text1"/>
          <w:spacing w:val="0"/>
          <w:sz w:val="24"/>
          <w:szCs w:val="24"/>
          <w:highlight w:val="none"/>
          <w14:textFill>
            <w14:solidFill>
              <w14:schemeClr w14:val="tx1"/>
            </w14:solidFill>
          </w14:textFill>
        </w:rPr>
        <w:t>．M ＝M</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14:textFill>
            <w14:solidFill>
              <w14:schemeClr w14:val="tx1"/>
            </w14:solidFill>
          </w14:textFill>
        </w:rPr>
        <w:t>＋M</w:t>
      </w:r>
      <w:r>
        <w:rPr>
          <w:rFonts w:hint="eastAsia" w:ascii="宋体" w:hAnsi="宋体" w:eastAsia="宋体" w:cs="宋体"/>
          <w:color w:val="000000" w:themeColor="text1"/>
          <w:spacing w:val="0"/>
          <w:position w:val="-1"/>
          <w:sz w:val="15"/>
          <w:szCs w:val="15"/>
          <w:highlight w:val="none"/>
          <w14:textFill>
            <w14:solidFill>
              <w14:schemeClr w14:val="tx1"/>
            </w14:solidFill>
          </w14:textFill>
        </w:rPr>
        <w:t>2</w:t>
      </w:r>
    </w:p>
    <w:p w14:paraId="277B94CD">
      <w:pPr>
        <w:keepNext w:val="0"/>
        <w:keepLines w:val="0"/>
        <w:pageBreakBefore w:val="0"/>
        <w:wordWrap w:val="0"/>
        <w:overflowPunct/>
        <w:topLinePunct w:val="0"/>
        <w:bidi w:val="0"/>
        <w:spacing w:before="139"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式中：M</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为某投标人的商务得分，M</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2 </w:t>
      </w:r>
      <w:r>
        <w:rPr>
          <w:rFonts w:hint="eastAsia" w:ascii="宋体" w:hAnsi="宋体" w:eastAsia="宋体" w:cs="宋体"/>
          <w:color w:val="000000" w:themeColor="text1"/>
          <w:spacing w:val="0"/>
          <w:sz w:val="24"/>
          <w:szCs w:val="24"/>
          <w:highlight w:val="none"/>
          <w14:textFill>
            <w14:solidFill>
              <w14:schemeClr w14:val="tx1"/>
            </w14:solidFill>
          </w14:textFill>
        </w:rPr>
        <w:t>为某投标人的技术得分。</w:t>
      </w:r>
    </w:p>
    <w:p w14:paraId="6B037580">
      <w:pPr>
        <w:keepNext w:val="0"/>
        <w:keepLines w:val="0"/>
        <w:pageBreakBefore w:val="0"/>
        <w:wordWrap w:val="0"/>
        <w:overflowPunct/>
        <w:topLinePunct w:val="0"/>
        <w:bidi w:val="0"/>
        <w:spacing w:before="153" w:line="219" w:lineRule="auto"/>
        <w:ind w:left="503"/>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23" w:name="_Toc27609"/>
      <w:bookmarkStart w:id="124" w:name="_Toc3958"/>
      <w:bookmarkStart w:id="125" w:name="_Toc16136"/>
      <w:bookmarkStart w:id="126" w:name="_Toc14059"/>
      <w:r>
        <w:rPr>
          <w:rFonts w:hint="eastAsia" w:ascii="宋体" w:hAnsi="宋体" w:eastAsia="宋体" w:cs="宋体"/>
          <w:color w:val="000000" w:themeColor="text1"/>
          <w:spacing w:val="0"/>
          <w:sz w:val="24"/>
          <w:szCs w:val="24"/>
          <w:highlight w:val="none"/>
          <w14:textFill>
            <w14:solidFill>
              <w14:schemeClr w14:val="tx1"/>
            </w14:solidFill>
          </w14:textFill>
        </w:rPr>
        <w:t>（2）投标报价得分 N</w:t>
      </w:r>
      <w:bookmarkEnd w:id="123"/>
      <w:bookmarkEnd w:id="124"/>
      <w:bookmarkEnd w:id="125"/>
      <w:bookmarkEnd w:id="126"/>
    </w:p>
    <w:p w14:paraId="1BB7535A">
      <w:pPr>
        <w:keepNext w:val="0"/>
        <w:keepLines w:val="0"/>
        <w:pageBreakBefore w:val="0"/>
        <w:wordWrap w:val="0"/>
        <w:overflowPunct/>
        <w:topLinePunct w:val="0"/>
        <w:bidi w:val="0"/>
        <w:spacing w:before="157" w:line="219" w:lineRule="auto"/>
        <w:ind w:firstLine="482" w:firstLineChars="2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．评标委员会按照《综合评分表》投标报价部分指定的方法计算评标基准价 D。</w:t>
      </w:r>
    </w:p>
    <w:p w14:paraId="58AA9DB6">
      <w:pPr>
        <w:keepNext w:val="0"/>
        <w:keepLines w:val="0"/>
        <w:pageBreakBefore w:val="0"/>
        <w:wordWrap w:val="0"/>
        <w:overflowPunct/>
        <w:topLinePunct w:val="0"/>
        <w:bidi w:val="0"/>
        <w:spacing w:before="155" w:line="299" w:lineRule="auto"/>
        <w:ind w:left="12" w:right="83"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b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．采用内插法计算某投标人的投标报价得分 N ，即当投标人的投标总价等于评标基准价时得 100 分，每高于评标基准价一个百分点扣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 分,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每低于评标基准价一个百分点扣 </w:t>
      </w:r>
      <w:r>
        <w:rPr>
          <w:rFonts w:hint="eastAsia" w:ascii="宋体" w:hAnsi="宋体" w:eastAsia="宋体" w:cs="宋体"/>
          <w:b/>
          <w:bCs/>
          <w:color w:val="000000" w:themeColor="text1"/>
          <w:spacing w:val="0"/>
          <w:sz w:val="24"/>
          <w:szCs w:val="24"/>
          <w:highlight w:val="none"/>
          <w14:textFill>
            <w14:solidFill>
              <w14:schemeClr w14:val="tx1"/>
            </w14:solidFill>
          </w14:textFill>
        </w:rPr>
        <w:t>0.5 分</w:t>
      </w:r>
      <w:r>
        <w:rPr>
          <w:rFonts w:hint="eastAsia" w:ascii="宋体" w:hAnsi="宋体" w:eastAsia="宋体" w:cs="宋体"/>
          <w:color w:val="000000" w:themeColor="text1"/>
          <w:spacing w:val="0"/>
          <w:sz w:val="24"/>
          <w:szCs w:val="24"/>
          <w:highlight w:val="none"/>
          <w14:textFill>
            <w14:solidFill>
              <w14:schemeClr w14:val="tx1"/>
            </w14:solidFill>
          </w14:textFill>
        </w:rPr>
        <w:t>，扣完为止。公式如下：</w:t>
      </w:r>
    </w:p>
    <w:p w14:paraId="232F1429">
      <w:pPr>
        <w:keepNext w:val="0"/>
        <w:keepLines w:val="0"/>
        <w:pageBreakBefore w:val="0"/>
        <w:wordWrap w:val="0"/>
        <w:overflowPunct/>
        <w:topLinePunct w:val="0"/>
        <w:bidi w:val="0"/>
        <w:spacing w:before="118" w:line="333" w:lineRule="exact"/>
        <w:ind w:left="241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N ＝100－（| Di－D | ÷D） × 100×E</w:t>
      </w:r>
    </w:p>
    <w:p w14:paraId="6B667673">
      <w:pPr>
        <w:keepNext w:val="0"/>
        <w:keepLines w:val="0"/>
        <w:pageBreakBefore w:val="0"/>
        <w:wordWrap w:val="0"/>
        <w:overflowPunct/>
        <w:topLinePunct w:val="0"/>
        <w:bidi w:val="0"/>
        <w:spacing w:before="106" w:line="316" w:lineRule="auto"/>
        <w:ind w:left="7" w:right="17"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式中：D 为评标基准价；Di为某投标人的投标总价；E 为扣分因子，当 Di＞D时，E ＝</w:t>
      </w:r>
      <w:r>
        <w:rPr>
          <w:rFonts w:hint="eastAsia" w:ascii="宋体" w:hAnsi="宋体" w:eastAsia="宋体" w:cs="宋体"/>
          <w:b/>
          <w:bCs/>
          <w:color w:val="000000" w:themeColor="text1"/>
          <w:spacing w:val="0"/>
          <w:sz w:val="24"/>
          <w:szCs w:val="24"/>
          <w:highlight w:val="none"/>
          <w14:textFill>
            <w14:solidFill>
              <w14:schemeClr w14:val="tx1"/>
            </w14:solidFill>
          </w14:textFill>
        </w:rPr>
        <w:t>1 ；</w:t>
      </w:r>
      <w:r>
        <w:rPr>
          <w:rFonts w:hint="eastAsia" w:ascii="宋体" w:hAnsi="宋体" w:eastAsia="宋体" w:cs="宋体"/>
          <w:color w:val="000000" w:themeColor="text1"/>
          <w:spacing w:val="0"/>
          <w:sz w:val="24"/>
          <w:szCs w:val="24"/>
          <w:highlight w:val="none"/>
          <w14:textFill>
            <w14:solidFill>
              <w14:schemeClr w14:val="tx1"/>
            </w14:solidFill>
          </w14:textFill>
        </w:rPr>
        <w:t>当 Di＜D</w:t>
      </w:r>
      <w:r>
        <w:rPr>
          <w:rFonts w:hint="eastAsia" w:ascii="宋体" w:hAnsi="宋体" w:eastAsia="宋体" w:cs="宋体"/>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时，E </w:t>
      </w:r>
      <w:r>
        <w:rPr>
          <w:rFonts w:hint="eastAsia" w:ascii="宋体" w:hAnsi="宋体" w:eastAsia="宋体" w:cs="宋体"/>
          <w:b/>
          <w:bCs/>
          <w:color w:val="000000" w:themeColor="text1"/>
          <w:spacing w:val="0"/>
          <w:sz w:val="24"/>
          <w:szCs w:val="24"/>
          <w:highlight w:val="none"/>
          <w14:textFill>
            <w14:solidFill>
              <w14:schemeClr w14:val="tx1"/>
            </w14:solidFill>
          </w14:textFill>
        </w:rPr>
        <w:t>＝0.5</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w:t>
      </w:r>
    </w:p>
    <w:p w14:paraId="6F340CA9">
      <w:pPr>
        <w:keepNext w:val="0"/>
        <w:keepLines w:val="0"/>
        <w:pageBreakBefore w:val="0"/>
        <w:wordWrap w:val="0"/>
        <w:overflowPunct/>
        <w:topLinePunct w:val="0"/>
        <w:bidi w:val="0"/>
        <w:spacing w:before="95" w:line="220" w:lineRule="auto"/>
        <w:ind w:left="503"/>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27" w:name="_Toc7915"/>
      <w:bookmarkStart w:id="128" w:name="_Toc576"/>
      <w:bookmarkStart w:id="129" w:name="_Toc3861"/>
      <w:bookmarkStart w:id="130" w:name="_Toc4990"/>
      <w:r>
        <w:rPr>
          <w:rFonts w:hint="eastAsia" w:ascii="宋体" w:hAnsi="宋体" w:eastAsia="宋体" w:cs="宋体"/>
          <w:color w:val="000000" w:themeColor="text1"/>
          <w:spacing w:val="0"/>
          <w:sz w:val="24"/>
          <w:szCs w:val="24"/>
          <w:highlight w:val="none"/>
          <w14:textFill>
            <w14:solidFill>
              <w14:schemeClr w14:val="tx1"/>
            </w14:solidFill>
          </w14:textFill>
        </w:rPr>
        <w:t>（3）综合得分</w:t>
      </w:r>
      <w:bookmarkEnd w:id="127"/>
      <w:bookmarkEnd w:id="128"/>
      <w:bookmarkEnd w:id="129"/>
      <w:bookmarkEnd w:id="130"/>
    </w:p>
    <w:p w14:paraId="50217631">
      <w:pPr>
        <w:keepNext w:val="0"/>
        <w:keepLines w:val="0"/>
        <w:pageBreakBefore w:val="0"/>
        <w:wordWrap w:val="0"/>
        <w:overflowPunct/>
        <w:topLinePunct w:val="0"/>
        <w:bidi w:val="0"/>
        <w:spacing w:before="153" w:line="220" w:lineRule="auto"/>
        <w:ind w:left="49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综合得分换算为百分制，满分 100 分，公式如下：</w:t>
      </w:r>
    </w:p>
    <w:p w14:paraId="215CB6BC">
      <w:pPr>
        <w:keepNext w:val="0"/>
        <w:keepLines w:val="0"/>
        <w:pageBreakBefore w:val="0"/>
        <w:wordWrap w:val="0"/>
        <w:overflowPunct/>
        <w:topLinePunct w:val="0"/>
        <w:bidi w:val="0"/>
        <w:spacing w:before="155" w:line="324" w:lineRule="auto"/>
        <w:ind w:left="496" w:right="532" w:hanging="3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综合得分＝M÷商务技术合计满分×100×商务技术权重＋N×投标报价权重</w:t>
      </w:r>
    </w:p>
    <w:p w14:paraId="390CA99F">
      <w:pPr>
        <w:keepNext w:val="0"/>
        <w:keepLines w:val="0"/>
        <w:pageBreakBefore w:val="0"/>
        <w:wordWrap w:val="0"/>
        <w:overflowPunct/>
        <w:topLinePunct w:val="0"/>
        <w:bidi w:val="0"/>
        <w:spacing w:before="155" w:line="324" w:lineRule="auto"/>
        <w:ind w:left="496" w:right="532" w:hanging="3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式中：M 为商务技术得分，N 为投标报价得分。</w:t>
      </w:r>
    </w:p>
    <w:p w14:paraId="1C9D58A3">
      <w:pPr>
        <w:widowControl w:val="0"/>
        <w:kinsoku/>
        <w:wordWrap w:val="0"/>
        <w:autoSpaceDE/>
        <w:autoSpaceDN/>
        <w:adjustRightInd/>
        <w:snapToGrid/>
        <w:spacing w:line="400" w:lineRule="exact"/>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bookmarkStart w:id="131" w:name="_Toc17375"/>
      <w:bookmarkStart w:id="132" w:name="_Toc16801"/>
      <w:bookmarkStart w:id="133" w:name="_Toc3020"/>
      <w:r>
        <w:rPr>
          <w:rFonts w:ascii="宋体" w:hAnsi="宋体" w:eastAsia="宋体" w:cs="宋体"/>
          <w:color w:val="000000" w:themeColor="text1"/>
          <w:sz w:val="24"/>
          <w:szCs w:val="24"/>
          <w:highlight w:val="none"/>
          <w:lang w:eastAsia="zh-CN"/>
          <w14:textFill>
            <w14:solidFill>
              <w14:schemeClr w14:val="tx1"/>
            </w14:solidFill>
          </w14:textFill>
        </w:rPr>
        <w:t>（4）</w:t>
      </w:r>
      <w:r>
        <w:rPr>
          <w:rFonts w:hint="eastAsia" w:ascii="宋体" w:hAnsi="宋体" w:eastAsia="宋体" w:cs="宋体"/>
          <w:color w:val="000000" w:themeColor="text1"/>
          <w:sz w:val="24"/>
          <w:szCs w:val="24"/>
          <w:highlight w:val="none"/>
          <w:lang w:eastAsia="zh-CN"/>
          <w14:textFill>
            <w14:solidFill>
              <w14:schemeClr w14:val="tx1"/>
            </w14:solidFill>
          </w14:textFill>
        </w:rPr>
        <w:t>评标委员会根据招标文件规定的评分细则，对招标文件中的各评审因素进行评审、比较、打分，将</w:t>
      </w:r>
      <w:r>
        <w:rPr>
          <w:rFonts w:hint="eastAsia" w:ascii="宋体" w:hAnsi="宋体" w:eastAsia="宋体" w:cs="宋体"/>
          <w:b/>
          <w:bCs/>
          <w:color w:val="000000" w:themeColor="text1"/>
          <w:sz w:val="24"/>
          <w:szCs w:val="24"/>
          <w:highlight w:val="none"/>
          <w:lang w:eastAsia="zh-CN"/>
          <w14:textFill>
            <w14:solidFill>
              <w14:schemeClr w14:val="tx1"/>
            </w14:solidFill>
          </w14:textFill>
        </w:rPr>
        <w:t>得分前5名不排序（按企业统一社会信用代码后 4 位大小排位）</w:t>
      </w:r>
      <w:r>
        <w:rPr>
          <w:rFonts w:hint="eastAsia" w:ascii="宋体" w:hAnsi="宋体" w:eastAsia="宋体" w:cs="宋体"/>
          <w:color w:val="000000" w:themeColor="text1"/>
          <w:sz w:val="24"/>
          <w:szCs w:val="24"/>
          <w:highlight w:val="none"/>
          <w:lang w:eastAsia="zh-CN"/>
          <w14:textFill>
            <w14:solidFill>
              <w14:schemeClr w14:val="tx1"/>
            </w14:solidFill>
          </w14:textFill>
        </w:rPr>
        <w:t>的投标人作为定标候选人推荐给招标人，并对每个</w:t>
      </w:r>
      <w:r>
        <w:rPr>
          <w:rFonts w:hint="eastAsia" w:ascii="宋体" w:hAnsi="宋体" w:eastAsia="宋体" w:cs="宋体"/>
          <w:b/>
          <w:bCs/>
          <w:color w:val="000000" w:themeColor="text1"/>
          <w:sz w:val="24"/>
          <w:szCs w:val="24"/>
          <w:highlight w:val="none"/>
          <w:lang w:eastAsia="zh-CN"/>
          <w14:textFill>
            <w14:solidFill>
              <w14:schemeClr w14:val="tx1"/>
            </w14:solidFill>
          </w14:textFill>
        </w:rPr>
        <w:t>定标候选人的优势、风险</w:t>
      </w:r>
      <w:r>
        <w:rPr>
          <w:rFonts w:hint="eastAsia" w:ascii="宋体" w:hAnsi="宋体" w:eastAsia="宋体" w:cs="宋体"/>
          <w:color w:val="000000" w:themeColor="text1"/>
          <w:sz w:val="24"/>
          <w:szCs w:val="24"/>
          <w:highlight w:val="none"/>
          <w:lang w:eastAsia="zh-CN"/>
          <w14:textFill>
            <w14:solidFill>
              <w14:schemeClr w14:val="tx1"/>
            </w14:solidFill>
          </w14:textFill>
        </w:rPr>
        <w:t>等评审情况进行说明。当投标人综合总得分相同时，以报价低为前；当投标人综合总得分相同且报价相同时，由评标委员会投票确定排前。定标候选人得分只作为评标委员会的推荐依据，不作为定标委员会对中标候选人排序的依据。当有效投标人数量不足5名但满足法定要求时，所有通过评审的有效投标人均应作为定标候选人。</w:t>
      </w:r>
    </w:p>
    <w:p w14:paraId="547FF5C7">
      <w:pPr>
        <w:outlineLvl w:val="9"/>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p>
    <w:p w14:paraId="56979A84">
      <w:pPr>
        <w:keepNext w:val="0"/>
        <w:keepLines w:val="0"/>
        <w:pageBreakBefore w:val="0"/>
        <w:wordWrap w:val="0"/>
        <w:overflowPunct/>
        <w:topLinePunct w:val="0"/>
        <w:bidi w:val="0"/>
        <w:spacing w:line="360" w:lineRule="auto"/>
        <w:rPr>
          <w:rFonts w:hint="eastAsia" w:ascii="宋体" w:hAnsi="宋体" w:eastAsia="宋体" w:cs="宋体"/>
          <w:b/>
          <w:bCs/>
          <w:color w:val="000000" w:themeColor="text1"/>
          <w:sz w:val="22"/>
          <w:szCs w:val="22"/>
          <w:highlight w:val="none"/>
          <w:lang w:val="en-US" w:eastAsia="zh-CN"/>
          <w14:textFill>
            <w14:solidFill>
              <w14:schemeClr w14:val="tx1"/>
            </w14:solidFill>
          </w14:textFill>
        </w:rPr>
      </w:pP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注：编写评标报告时，定标候选人不排序，按企业统一社会信用代码（联合体投标的按牵头人的企业统一社会信用代码）后4位大小排位，如统一社会信用代码后4位出现字母情况的，字母以“0”进行代替大小排位，如出现后4位大小一致的，则随机排位。</w:t>
      </w:r>
    </w:p>
    <w:p w14:paraId="22C172D9">
      <w:pPr>
        <w:keepNext w:val="0"/>
        <w:keepLines w:val="0"/>
        <w:pageBreakBefore w:val="0"/>
        <w:wordWrap w:val="0"/>
        <w:overflowPunct/>
        <w:topLinePunct w:val="0"/>
        <w:bidi w:val="0"/>
        <w:rPr>
          <w:rFonts w:hint="eastAsia" w:ascii="宋体" w:hAnsi="宋体" w:eastAsia="宋体" w:cs="宋体"/>
          <w:b/>
          <w:bCs/>
          <w:color w:val="000000" w:themeColor="text1"/>
          <w:spacing w:val="0"/>
          <w:sz w:val="30"/>
          <w:szCs w:val="30"/>
          <w:highlight w:val="none"/>
          <w14:textFill>
            <w14:solidFill>
              <w14:schemeClr w14:val="tx1"/>
            </w14:solidFill>
          </w14:textFill>
        </w:rPr>
      </w:pPr>
      <w:r>
        <w:rPr>
          <w:rFonts w:hint="eastAsia" w:ascii="宋体" w:hAnsi="宋体" w:eastAsia="宋体" w:cs="宋体"/>
          <w:b/>
          <w:bCs/>
          <w:color w:val="000000" w:themeColor="text1"/>
          <w:spacing w:val="0"/>
          <w:sz w:val="30"/>
          <w:szCs w:val="30"/>
          <w:highlight w:val="none"/>
          <w14:textFill>
            <w14:solidFill>
              <w14:schemeClr w14:val="tx1"/>
            </w14:solidFill>
          </w14:textFill>
        </w:rPr>
        <w:br w:type="page"/>
      </w:r>
    </w:p>
    <w:p w14:paraId="042A8A28">
      <w:pPr>
        <w:keepNext w:val="0"/>
        <w:keepLines w:val="0"/>
        <w:pageBreakBefore w:val="0"/>
        <w:wordWrap w:val="0"/>
        <w:overflowPunct/>
        <w:topLinePunct w:val="0"/>
        <w:bidi w:val="0"/>
        <w:spacing w:before="98" w:line="221" w:lineRule="auto"/>
        <w:ind w:left="4248"/>
        <w:outlineLvl w:val="9"/>
        <w:rPr>
          <w:rFonts w:hint="eastAsia" w:ascii="宋体" w:hAnsi="宋体" w:eastAsia="宋体" w:cs="宋体"/>
          <w:b/>
          <w:bCs/>
          <w:color w:val="000000" w:themeColor="text1"/>
          <w:spacing w:val="0"/>
          <w:sz w:val="30"/>
          <w:szCs w:val="30"/>
          <w:highlight w:val="none"/>
          <w14:textFill>
            <w14:solidFill>
              <w14:schemeClr w14:val="tx1"/>
            </w14:solidFill>
          </w14:textFill>
        </w:rPr>
      </w:pPr>
      <w:r>
        <w:rPr>
          <w:rFonts w:hint="eastAsia" w:ascii="宋体" w:hAnsi="宋体" w:eastAsia="宋体" w:cs="宋体"/>
          <w:b/>
          <w:bCs/>
          <w:color w:val="000000" w:themeColor="text1"/>
          <w:spacing w:val="0"/>
          <w:sz w:val="30"/>
          <w:szCs w:val="30"/>
          <w:highlight w:val="none"/>
          <w14:textFill>
            <w14:solidFill>
              <w14:schemeClr w14:val="tx1"/>
            </w14:solidFill>
          </w14:textFill>
        </w:rPr>
        <w:t>综合评分表</w:t>
      </w:r>
      <w:bookmarkEnd w:id="131"/>
      <w:bookmarkEnd w:id="132"/>
      <w:bookmarkEnd w:id="133"/>
    </w:p>
    <w:tbl>
      <w:tblPr>
        <w:tblStyle w:val="14"/>
        <w:tblW w:w="10501" w:type="dxa"/>
        <w:jc w:val="center"/>
        <w:tblLayout w:type="fixed"/>
        <w:tblCellMar>
          <w:top w:w="0" w:type="dxa"/>
          <w:left w:w="108" w:type="dxa"/>
          <w:bottom w:w="0" w:type="dxa"/>
          <w:right w:w="108" w:type="dxa"/>
        </w:tblCellMar>
      </w:tblPr>
      <w:tblGrid>
        <w:gridCol w:w="1216"/>
        <w:gridCol w:w="3823"/>
        <w:gridCol w:w="5462"/>
      </w:tblGrid>
      <w:tr w14:paraId="496476D5">
        <w:tblPrEx>
          <w:tblCellMar>
            <w:top w:w="0" w:type="dxa"/>
            <w:left w:w="108" w:type="dxa"/>
            <w:bottom w:w="0" w:type="dxa"/>
            <w:right w:w="108" w:type="dxa"/>
          </w:tblCellMar>
        </w:tblPrEx>
        <w:trPr>
          <w:trHeight w:val="462" w:hRule="exact"/>
          <w:jc w:val="center"/>
        </w:trPr>
        <w:tc>
          <w:tcPr>
            <w:tcW w:w="10501" w:type="dxa"/>
            <w:gridSpan w:val="3"/>
            <w:tcBorders>
              <w:top w:val="single" w:color="auto" w:sz="4" w:space="0"/>
              <w:left w:val="single" w:color="auto" w:sz="4" w:space="0"/>
              <w:bottom w:val="single" w:color="auto" w:sz="4" w:space="0"/>
              <w:right w:val="single" w:color="auto" w:sz="4" w:space="0"/>
            </w:tcBorders>
            <w:shd w:val="clear" w:color="auto" w:fill="D7D7D7"/>
            <w:noWrap w:val="0"/>
            <w:vAlign w:val="center"/>
          </w:tcPr>
          <w:p w14:paraId="4B82839E">
            <w:pPr>
              <w:widowControl w:val="0"/>
              <w:tabs>
                <w:tab w:val="left" w:pos="1354"/>
                <w:tab w:val="left" w:pos="1459"/>
                <w:tab w:val="center" w:pos="3902"/>
                <w:tab w:val="right" w:pos="7805"/>
              </w:tabs>
              <w:wordWrap w:val="0"/>
              <w:spacing w:after="0" w:line="240" w:lineRule="auto"/>
              <w:jc w:val="both"/>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lang w:val="en-US" w:eastAsia="zh-CN" w:bidi="ar-SA"/>
                <w14:textFill>
                  <w14:solidFill>
                    <w14:schemeClr w14:val="tx1"/>
                  </w14:solidFill>
                </w14:textFill>
              </w:rPr>
              <w:t>商务部分，满分：</w:t>
            </w:r>
            <w:r>
              <w:rPr>
                <w:rFonts w:hint="eastAsia" w:ascii="宋体" w:hAnsi="宋体" w:eastAsia="宋体" w:cs="宋体"/>
                <w:b/>
                <w:bCs/>
                <w:snapToGrid w:val="0"/>
                <w:color w:val="000000" w:themeColor="text1"/>
                <w:kern w:val="0"/>
                <w:sz w:val="24"/>
                <w:szCs w:val="24"/>
                <w:highlight w:val="none"/>
                <w:u w:val="single"/>
                <w:lang w:val="en-US" w:eastAsia="zh-CN" w:bidi="ar-SA"/>
                <w14:textFill>
                  <w14:solidFill>
                    <w14:schemeClr w14:val="tx1"/>
                  </w14:solidFill>
                </w14:textFill>
              </w:rPr>
              <w:t xml:space="preserve">  80  </w:t>
            </w:r>
            <w:r>
              <w:rPr>
                <w:rFonts w:hint="eastAsia" w:ascii="宋体" w:hAnsi="宋体" w:eastAsia="宋体" w:cs="宋体"/>
                <w:b/>
                <w:bCs/>
                <w:snapToGrid w:val="0"/>
                <w:color w:val="000000" w:themeColor="text1"/>
                <w:kern w:val="0"/>
                <w:sz w:val="24"/>
                <w:szCs w:val="24"/>
                <w:highlight w:val="none"/>
                <w:lang w:val="en-US" w:eastAsia="zh-CN" w:bidi="ar-SA"/>
                <w14:textFill>
                  <w14:solidFill>
                    <w14:schemeClr w14:val="tx1"/>
                  </w14:solidFill>
                </w14:textFill>
              </w:rPr>
              <w:t>分。</w:t>
            </w:r>
          </w:p>
        </w:tc>
      </w:tr>
      <w:tr w14:paraId="7FEA8820">
        <w:tblPrEx>
          <w:tblCellMar>
            <w:top w:w="0" w:type="dxa"/>
            <w:left w:w="108" w:type="dxa"/>
            <w:bottom w:w="0" w:type="dxa"/>
            <w:right w:w="108" w:type="dxa"/>
          </w:tblCellMar>
        </w:tblPrEx>
        <w:trPr>
          <w:trHeight w:val="458" w:hRule="exac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1CA743F0">
            <w:pPr>
              <w:widowControl w:val="0"/>
              <w:tabs>
                <w:tab w:val="left" w:pos="1354"/>
                <w:tab w:val="left" w:pos="1459"/>
                <w:tab w:val="center" w:pos="3902"/>
                <w:tab w:val="right" w:pos="7805"/>
              </w:tabs>
              <w:wordWrap w:val="0"/>
              <w:adjustRightInd w:val="0"/>
              <w:spacing w:after="0" w:line="240" w:lineRule="auto"/>
              <w:jc w:val="cente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评分因素</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7858857E">
            <w:pPr>
              <w:widowControl w:val="0"/>
              <w:tabs>
                <w:tab w:val="left" w:pos="1354"/>
                <w:tab w:val="left" w:pos="1459"/>
                <w:tab w:val="center" w:pos="3902"/>
                <w:tab w:val="right" w:pos="7805"/>
              </w:tabs>
              <w:wordWrap w:val="0"/>
              <w:adjustRightInd w:val="0"/>
              <w:spacing w:after="0" w:line="240" w:lineRule="auto"/>
              <w:jc w:val="cente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评分标准</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3918AC3D">
            <w:pPr>
              <w:widowControl w:val="0"/>
              <w:tabs>
                <w:tab w:val="left" w:pos="1354"/>
                <w:tab w:val="left" w:pos="1459"/>
                <w:tab w:val="center" w:pos="3902"/>
                <w:tab w:val="right" w:pos="7805"/>
              </w:tabs>
              <w:wordWrap w:val="0"/>
              <w:adjustRightInd w:val="0"/>
              <w:spacing w:after="0" w:line="240" w:lineRule="auto"/>
              <w:jc w:val="cente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备注</w:t>
            </w:r>
          </w:p>
        </w:tc>
      </w:tr>
      <w:tr w14:paraId="5E057B61">
        <w:tblPrEx>
          <w:tblCellMar>
            <w:top w:w="0" w:type="dxa"/>
            <w:left w:w="108" w:type="dxa"/>
            <w:bottom w:w="0" w:type="dxa"/>
            <w:right w:w="108" w:type="dxa"/>
          </w:tblCellMar>
        </w:tblPrEx>
        <w:trPr>
          <w:trHeight w:val="90"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528802ED">
            <w:pPr>
              <w:pStyle w:val="5"/>
              <w:keepNext w:val="0"/>
              <w:keepLines w:val="0"/>
              <w:pageBreakBefore w:val="0"/>
              <w:widowControl w:val="0"/>
              <w:kinsoku/>
              <w:wordWrap w:val="0"/>
              <w:overflowPunct/>
              <w:topLinePunct w:val="0"/>
              <w:autoSpaceDE/>
              <w:autoSpaceDN/>
              <w:bidi w:val="0"/>
              <w:adjustRightInd w:val="0"/>
              <w:snapToGrid w:val="0"/>
              <w:spacing w:after="0" w:afterLines="0" w:line="300" w:lineRule="exact"/>
              <w:ind w:firstLine="0" w:firstLineChars="0"/>
              <w:jc w:val="center"/>
              <w:textAlignment w:val="auto"/>
              <w:rPr>
                <w:rFonts w:hint="eastAsia" w:ascii="宋体" w:hAnsi="宋体" w:eastAsia="宋体" w:cs="宋体"/>
                <w:snapToGrid w:val="0"/>
                <w:color w:val="000000" w:themeColor="text1"/>
                <w:kern w:val="0"/>
                <w:sz w:val="22"/>
                <w:szCs w:val="22"/>
                <w:highlight w:val="none"/>
                <w14:textFill>
                  <w14:solidFill>
                    <w14:schemeClr w14:val="tx1"/>
                  </w14:solidFill>
                </w14:textFill>
              </w:rPr>
            </w:pPr>
            <w:r>
              <w:rPr>
                <w:rFonts w:hint="eastAsia" w:ascii="宋体" w:hAnsi="宋体" w:eastAsia="宋体" w:cs="宋体"/>
                <w:snapToGrid w:val="0"/>
                <w:color w:val="000000" w:themeColor="text1"/>
                <w:kern w:val="0"/>
                <w:sz w:val="22"/>
                <w:szCs w:val="22"/>
                <w:highlight w:val="none"/>
                <w14:textFill>
                  <w14:solidFill>
                    <w14:schemeClr w14:val="tx1"/>
                  </w14:solidFill>
                </w14:textFill>
              </w:rPr>
              <w:t>企业奖项</w:t>
            </w:r>
          </w:p>
          <w:p w14:paraId="2403B4AD">
            <w:pPr>
              <w:pStyle w:val="5"/>
              <w:keepNext w:val="0"/>
              <w:keepLines w:val="0"/>
              <w:pageBreakBefore w:val="0"/>
              <w:widowControl w:val="0"/>
              <w:kinsoku/>
              <w:wordWrap w:val="0"/>
              <w:overflowPunct/>
              <w:topLinePunct w:val="0"/>
              <w:autoSpaceDE/>
              <w:autoSpaceDN/>
              <w:bidi w:val="0"/>
              <w:adjustRightInd w:val="0"/>
              <w:snapToGrid w:val="0"/>
              <w:spacing w:after="0" w:afterLines="0" w:line="300" w:lineRule="exact"/>
              <w:ind w:firstLine="0" w:firstLineChars="0"/>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2"/>
                <w:szCs w:val="22"/>
                <w:highlight w:val="none"/>
                <w14:textFill>
                  <w14:solidFill>
                    <w14:schemeClr w14:val="tx1"/>
                  </w14:solidFill>
                </w14:textFill>
              </w:rPr>
              <w:t>（</w:t>
            </w: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10</w:t>
            </w:r>
            <w:r>
              <w:rPr>
                <w:rFonts w:hint="eastAsia" w:ascii="宋体" w:hAnsi="宋体" w:eastAsia="宋体" w:cs="宋体"/>
                <w:b/>
                <w:bCs/>
                <w:snapToGrid w:val="0"/>
                <w:color w:val="000000" w:themeColor="text1"/>
                <w:kern w:val="0"/>
                <w:sz w:val="22"/>
                <w:szCs w:val="22"/>
                <w:highlight w:val="none"/>
                <w14:textFill>
                  <w14:solidFill>
                    <w14:schemeClr w14:val="tx1"/>
                  </w14:solidFill>
                </w14:textFill>
              </w:rPr>
              <w:t>分）</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12562C19">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企业近</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 xml:space="preserve"> 5 </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年来（2021年1月1日至今）获奖情况（含参建奖）：</w:t>
            </w:r>
          </w:p>
          <w:p w14:paraId="549D11E6">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1．获得国家级奖项的，每个得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10</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分。</w:t>
            </w:r>
          </w:p>
          <w:p w14:paraId="33B82D34">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2．获得省级奖项的，每个得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7</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分。</w:t>
            </w:r>
          </w:p>
          <w:p w14:paraId="39C0D57C">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3．获得地市级奖项的，每个得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5</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分。</w:t>
            </w:r>
          </w:p>
          <w:p w14:paraId="1A7121BD">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4．以上奖项均未获得的，不予计分。</w:t>
            </w:r>
          </w:p>
          <w:p w14:paraId="174B1AD6">
            <w:pPr>
              <w:pStyle w:val="5"/>
              <w:wordWrap w:val="0"/>
              <w:adjustRightInd w:val="0"/>
              <w:snapToGrid w:val="0"/>
              <w:spacing w:after="0" w:line="400" w:lineRule="exact"/>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5．本项最高得</w:t>
            </w:r>
            <w:r>
              <w:rPr>
                <w:rFonts w:hint="eastAsia" w:ascii="宋体" w:hAnsi="宋体" w:eastAsia="宋体" w:cs="宋体"/>
                <w:b/>
                <w:bCs/>
                <w:snapToGrid w:val="0"/>
                <w:color w:val="000000" w:themeColor="text1"/>
                <w:kern w:val="0"/>
                <w:sz w:val="22"/>
                <w:szCs w:val="22"/>
                <w:highlight w:val="none"/>
                <w:u w:val="single"/>
                <w:lang w:val="en-US" w:eastAsia="zh-CN"/>
                <w14:textFill>
                  <w14:solidFill>
                    <w14:schemeClr w14:val="tx1"/>
                  </w14:solidFill>
                </w14:textFill>
              </w:rPr>
              <w:t>10</w:t>
            </w: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分。</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6FC434EC">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1.允许投标人提交多个业绩，但同一业绩只按最高级别奖项计分一次。</w:t>
            </w:r>
          </w:p>
          <w:p w14:paraId="18CD3A7B">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b w:val="0"/>
                <w:bCs w:val="0"/>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22"/>
                <w:szCs w:val="22"/>
                <w:highlight w:val="none"/>
                <w:lang w:val="en-US" w:eastAsia="zh-CN"/>
                <w14:textFill>
                  <w14:solidFill>
                    <w14:schemeClr w14:val="tx1"/>
                  </w14:solidFill>
                </w14:textFill>
              </w:rPr>
              <w:t>2.需附有关奖项证书和发文材料彩色扫描件</w:t>
            </w:r>
            <w:r>
              <w:rPr>
                <w:rFonts w:hint="eastAsia" w:ascii="宋体" w:hAnsi="宋体" w:eastAsia="宋体" w:cs="宋体"/>
                <w:b w:val="0"/>
                <w:bCs w:val="0"/>
                <w:snapToGrid w:val="0"/>
                <w:color w:val="000000" w:themeColor="text1"/>
                <w:kern w:val="0"/>
                <w:sz w:val="22"/>
                <w:szCs w:val="22"/>
                <w:highlight w:val="none"/>
                <w14:textFill>
                  <w14:solidFill>
                    <w14:schemeClr w14:val="tx1"/>
                  </w14:solidFill>
                </w14:textFill>
              </w:rPr>
              <w:t>。</w:t>
            </w:r>
          </w:p>
          <w:p w14:paraId="4CF35B43">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3.颁发机构限定以下范围：</w:t>
            </w:r>
          </w:p>
          <w:p w14:paraId="7BECDCB8">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①国家级奖项：</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国务院、住建部、中国建筑业协会、中国建筑行业协会；</w:t>
            </w: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（相关协会需经民政部门备案）</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w:t>
            </w:r>
          </w:p>
          <w:p w14:paraId="52DD2C74">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②省级奖项：</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省级建设行政主管部门、省级建筑行业协会、省级建筑安全协会；</w:t>
            </w: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（相关协会需经民政部门备案）</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w:t>
            </w:r>
          </w:p>
          <w:p w14:paraId="081B86C1">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③地市级奖项：</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地市级建设行政主管部门、地市级建筑行业协会。</w:t>
            </w: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（相关协会需经民政部门备案）</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w:t>
            </w:r>
          </w:p>
          <w:p w14:paraId="5E0CDF40">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4.获奖时间以奖项证明的落款日期为准。</w:t>
            </w:r>
          </w:p>
          <w:p w14:paraId="7AFB711F">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5．任一奖项有以下情形之一的，该奖项视为无效，不予计分：</w:t>
            </w:r>
          </w:p>
          <w:p w14:paraId="0FE78ECE">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①奖项不属于指定类别的；</w:t>
            </w:r>
          </w:p>
          <w:p w14:paraId="24829C2A">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②颁发机构不符合要求的；</w:t>
            </w:r>
          </w:p>
          <w:p w14:paraId="3C29F88F">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③获奖时间不符合要求的。</w:t>
            </w:r>
          </w:p>
          <w:p w14:paraId="7F6E6535">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说明：以上所称“要求 ”均指本表评分标准及备注的要求，下同。</w:t>
            </w:r>
          </w:p>
        </w:tc>
      </w:tr>
      <w:tr w14:paraId="7FD4FA97">
        <w:tblPrEx>
          <w:tblCellMar>
            <w:top w:w="0" w:type="dxa"/>
            <w:left w:w="108" w:type="dxa"/>
            <w:bottom w:w="0" w:type="dxa"/>
            <w:right w:w="108" w:type="dxa"/>
          </w:tblCellMar>
        </w:tblPrEx>
        <w:trPr>
          <w:trHeight w:val="90"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1750AC87">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项目经理</w:t>
            </w:r>
          </w:p>
          <w:p w14:paraId="47F68FBC">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综合素质</w:t>
            </w:r>
          </w:p>
          <w:p w14:paraId="1647CCFD">
            <w:pPr>
              <w:pStyle w:val="5"/>
              <w:wordWrap w:val="0"/>
              <w:adjustRightInd w:val="0"/>
              <w:snapToGrid w:val="0"/>
              <w:spacing w:after="0" w:line="400" w:lineRule="exact"/>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（10分）</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1D784585">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 xml:space="preserve">项目经理工程类技术职称情况： </w:t>
            </w:r>
          </w:p>
          <w:p w14:paraId="60C4A786">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1.具备工程师或以上职称的,得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10</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分。</w:t>
            </w:r>
          </w:p>
          <w:p w14:paraId="31486A1E">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2.具备助理工程师职称的，得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5</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分。</w:t>
            </w:r>
          </w:p>
          <w:p w14:paraId="40DE4C2B">
            <w:pPr>
              <w:pStyle w:val="5"/>
              <w:wordWrap w:val="0"/>
              <w:adjustRightInd w:val="0"/>
              <w:snapToGrid w:val="0"/>
              <w:spacing w:after="0" w:line="400" w:lineRule="exact"/>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3.不具备以上职称的，不予计分。</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49427E4D">
            <w:pPr>
              <w:pStyle w:val="5"/>
              <w:wordWrap w:val="0"/>
              <w:adjustRightInd w:val="0"/>
              <w:snapToGrid w:val="0"/>
              <w:spacing w:after="0" w:line="400" w:lineRule="exact"/>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val="0"/>
                <w:bCs w:val="0"/>
                <w:snapToGrid w:val="0"/>
                <w:color w:val="000000" w:themeColor="text1"/>
                <w:kern w:val="0"/>
                <w:sz w:val="22"/>
                <w:szCs w:val="22"/>
                <w:highlight w:val="none"/>
                <w:lang w:val="en-US" w:eastAsia="zh-CN"/>
                <w14:textFill>
                  <w14:solidFill>
                    <w14:schemeClr w14:val="tx1"/>
                  </w14:solidFill>
                </w14:textFill>
              </w:rPr>
              <w:t>需附职称证彩色扫描件（或打印件）。</w:t>
            </w:r>
          </w:p>
        </w:tc>
      </w:tr>
      <w:tr w14:paraId="6FAFD7C7">
        <w:tblPrEx>
          <w:tblCellMar>
            <w:top w:w="0" w:type="dxa"/>
            <w:left w:w="108" w:type="dxa"/>
            <w:bottom w:w="0" w:type="dxa"/>
            <w:right w:w="108" w:type="dxa"/>
          </w:tblCellMar>
        </w:tblPrEx>
        <w:trPr>
          <w:trHeight w:val="285"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52B8EF6E">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企业业绩</w:t>
            </w:r>
          </w:p>
          <w:p w14:paraId="2D7F2AAF">
            <w:pPr>
              <w:pStyle w:val="5"/>
              <w:wordWrap w:val="0"/>
              <w:adjustRightInd w:val="0"/>
              <w:snapToGrid w:val="0"/>
              <w:spacing w:after="0" w:line="400" w:lineRule="exact"/>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（8分）</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36D9D5C4">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企业近</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 xml:space="preserve"> 5 </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年来（2021年1月1日至今）业绩情况：</w:t>
            </w:r>
          </w:p>
          <w:p w14:paraId="65BC67B2">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承接</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过类似工程的，每个得4分；</w:t>
            </w:r>
          </w:p>
          <w:p w14:paraId="39D6D705">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2.未承接过类似工程的，不予计分。</w:t>
            </w:r>
          </w:p>
          <w:p w14:paraId="314DD8FA">
            <w:pPr>
              <w:pStyle w:val="5"/>
              <w:wordWrap w:val="0"/>
              <w:adjustRightInd w:val="0"/>
              <w:snapToGrid w:val="0"/>
              <w:spacing w:after="0" w:line="400" w:lineRule="exact"/>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3.本项最高得8分。</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 xml:space="preserve"> </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4E1CA83D">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1.类似工程指</w:t>
            </w:r>
            <w:r>
              <w:rPr>
                <w:rFonts w:hint="eastAsia" w:ascii="宋体" w:hAnsi="宋体" w:eastAsia="宋体" w:cs="宋体"/>
                <w:snapToGrid w:val="0"/>
                <w:color w:val="000000" w:themeColor="text1"/>
                <w:kern w:val="0"/>
                <w:sz w:val="22"/>
                <w:szCs w:val="22"/>
                <w:highlight w:val="none"/>
                <w:u w:val="none"/>
                <w:lang w:val="en-US" w:eastAsia="zh-CN"/>
                <w14:textFill>
                  <w14:solidFill>
                    <w14:schemeClr w14:val="tx1"/>
                  </w14:solidFill>
                </w14:textFill>
              </w:rPr>
              <w:t>：</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 xml:space="preserve">市政类工程 </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w:t>
            </w:r>
          </w:p>
          <w:p w14:paraId="09D8C52B">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b w:val="0"/>
                <w:bCs w:val="0"/>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22"/>
                <w:szCs w:val="22"/>
                <w:highlight w:val="none"/>
                <w:lang w:val="en-US" w:eastAsia="zh-CN"/>
                <w14:textFill>
                  <w14:solidFill>
                    <w14:schemeClr w14:val="tx1"/>
                  </w14:solidFill>
                </w14:textFill>
              </w:rPr>
              <w:t>2.须提供有关业绩（仅限于以施工</w:t>
            </w:r>
            <w:r>
              <w:rPr>
                <w:rFonts w:hint="eastAsia" w:ascii="宋体" w:hAnsi="宋体" w:eastAsia="宋体" w:cs="宋体"/>
                <w:b w:val="0"/>
                <w:bCs w:val="0"/>
                <w:snapToGrid w:val="0"/>
                <w:color w:val="000000" w:themeColor="text1"/>
                <w:kern w:val="0"/>
                <w:sz w:val="22"/>
                <w:szCs w:val="22"/>
                <w:highlight w:val="none"/>
                <w:u w:val="single"/>
                <w:lang w:val="en-US" w:eastAsia="zh-CN"/>
                <w14:textFill>
                  <w14:solidFill>
                    <w14:schemeClr w14:val="tx1"/>
                  </w14:solidFill>
                </w14:textFill>
              </w:rPr>
              <w:t>总承包单位</w:t>
            </w:r>
            <w:r>
              <w:rPr>
                <w:rFonts w:hint="eastAsia" w:ascii="宋体" w:hAnsi="宋体" w:eastAsia="宋体" w:cs="宋体"/>
                <w:b w:val="0"/>
                <w:bCs w:val="0"/>
                <w:snapToGrid w:val="0"/>
                <w:color w:val="000000" w:themeColor="text1"/>
                <w:kern w:val="0"/>
                <w:sz w:val="22"/>
                <w:szCs w:val="22"/>
                <w:highlight w:val="none"/>
                <w:lang w:val="en-US" w:eastAsia="zh-CN"/>
                <w14:textFill>
                  <w14:solidFill>
                    <w14:schemeClr w14:val="tx1"/>
                  </w14:solidFill>
                </w14:textFill>
              </w:rPr>
              <w:t>身份参建的项目）合同协议书关键页彩色扫描件。</w:t>
            </w:r>
          </w:p>
          <w:p w14:paraId="39626D10">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3.业绩时间以合同协议书日期为准。</w:t>
            </w:r>
          </w:p>
          <w:p w14:paraId="5B077C66">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4.任一业绩有以下情形之一的，该业绩视为无效，不予计分：</w:t>
            </w:r>
          </w:p>
          <w:p w14:paraId="21DD81AE">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①业绩不属于类似工程的；</w:t>
            </w:r>
          </w:p>
          <w:p w14:paraId="6DE04FD4">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②不是以指定身份参建的；</w:t>
            </w:r>
          </w:p>
          <w:p w14:paraId="66E7D679">
            <w:pPr>
              <w:pStyle w:val="5"/>
              <w:keepNext w:val="0"/>
              <w:keepLines w:val="0"/>
              <w:pageBreakBefore w:val="0"/>
              <w:widowControl/>
              <w:kinsoku w:val="0"/>
              <w:wordWrap w:val="0"/>
              <w:overflowPunct/>
              <w:topLinePunct w:val="0"/>
              <w:autoSpaceDE w:val="0"/>
              <w:autoSpaceDN w:val="0"/>
              <w:bidi w:val="0"/>
              <w:adjustRightInd w:val="0"/>
              <w:snapToGrid w:val="0"/>
              <w:spacing w:after="0" w:line="380" w:lineRule="exact"/>
              <w:textAlignment w:val="baseline"/>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③业绩时间不符合要求的；</w:t>
            </w:r>
          </w:p>
        </w:tc>
      </w:tr>
      <w:tr w14:paraId="0294D982">
        <w:tblPrEx>
          <w:tblCellMar>
            <w:top w:w="0" w:type="dxa"/>
            <w:left w:w="108" w:type="dxa"/>
            <w:bottom w:w="0" w:type="dxa"/>
            <w:right w:w="108" w:type="dxa"/>
          </w:tblCellMar>
        </w:tblPrEx>
        <w:trPr>
          <w:trHeight w:val="3725"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36080232">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企业银行资信评级</w:t>
            </w:r>
          </w:p>
          <w:p w14:paraId="486EB60B">
            <w:pPr>
              <w:pStyle w:val="5"/>
              <w:wordWrap w:val="0"/>
              <w:adjustRightInd w:val="0"/>
              <w:snapToGrid w:val="0"/>
              <w:spacing w:after="0" w:line="400" w:lineRule="exact"/>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（5分）</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356AE4C6">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1.银行资信（信用）评级（等级）AA（含AA+、AA-）或以上的，得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 xml:space="preserve"> 5 </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分。</w:t>
            </w:r>
          </w:p>
          <w:p w14:paraId="76FDE7E1">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2.银行资信（信用）评级（等级）A（含A+、A-）的，得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 xml:space="preserve"> 3 </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分。</w:t>
            </w:r>
          </w:p>
          <w:p w14:paraId="4F887BFF">
            <w:pPr>
              <w:pStyle w:val="5"/>
              <w:wordWrap w:val="0"/>
              <w:adjustRightInd w:val="0"/>
              <w:snapToGrid w:val="0"/>
              <w:spacing w:after="0" w:line="400" w:lineRule="exact"/>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3.未获得过以上评级（等级）的，或评级（等级）证书无效的，不予计分。</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51CBA029">
            <w:pPr>
              <w:pStyle w:val="5"/>
              <w:wordWrap w:val="0"/>
              <w:adjustRightInd w:val="0"/>
              <w:snapToGrid w:val="0"/>
              <w:spacing w:after="0" w:line="400" w:lineRule="exact"/>
              <w:rPr>
                <w:rFonts w:hint="eastAsia" w:ascii="宋体" w:hAnsi="宋体" w:eastAsia="宋体" w:cs="宋体"/>
                <w:b w:val="0"/>
                <w:bCs w:val="0"/>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22"/>
                <w:szCs w:val="22"/>
                <w:highlight w:val="none"/>
                <w:lang w:val="en-US" w:eastAsia="zh-CN"/>
                <w14:textFill>
                  <w14:solidFill>
                    <w14:schemeClr w14:val="tx1"/>
                  </w14:solidFill>
                </w14:textFill>
              </w:rPr>
              <w:t>1.需附在有效期内的资信</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（信用）</w:t>
            </w:r>
            <w:r>
              <w:rPr>
                <w:rFonts w:hint="eastAsia" w:ascii="宋体" w:hAnsi="宋体" w:eastAsia="宋体" w:cs="宋体"/>
                <w:b w:val="0"/>
                <w:bCs w:val="0"/>
                <w:snapToGrid w:val="0"/>
                <w:color w:val="000000" w:themeColor="text1"/>
                <w:kern w:val="0"/>
                <w:sz w:val="22"/>
                <w:szCs w:val="22"/>
                <w:highlight w:val="none"/>
                <w:lang w:val="en-US" w:eastAsia="zh-CN"/>
                <w14:textFill>
                  <w14:solidFill>
                    <w14:schemeClr w14:val="tx1"/>
                  </w14:solidFill>
                </w14:textFill>
              </w:rPr>
              <w:t>评级（等级）证书（证明）扫描件。</w:t>
            </w:r>
          </w:p>
          <w:p w14:paraId="3F83DAF6">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2.评级（等级）证书（证明）须由</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企业基本账户开户银行或中国人民银行备案的机构</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出具。</w:t>
            </w:r>
          </w:p>
          <w:p w14:paraId="6D7A7821">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3.评级（等级）证书（证明）有以下情形之一的，视为无效：</w:t>
            </w:r>
          </w:p>
          <w:p w14:paraId="71DB60E0">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①未提供评级（等级）证书（证明）扫描件的；</w:t>
            </w:r>
          </w:p>
          <w:p w14:paraId="4D62401A">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②评级（等级）证书（证明）不在有效期内的；</w:t>
            </w:r>
          </w:p>
          <w:p w14:paraId="04547292">
            <w:pPr>
              <w:pStyle w:val="5"/>
              <w:wordWrap w:val="0"/>
              <w:adjustRightInd w:val="0"/>
              <w:snapToGrid w:val="0"/>
              <w:spacing w:after="0" w:line="400" w:lineRule="exact"/>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③出具机构不符合要求的；</w:t>
            </w:r>
          </w:p>
        </w:tc>
      </w:tr>
      <w:tr w14:paraId="7A88D8D9">
        <w:tblPrEx>
          <w:tblCellMar>
            <w:top w:w="0" w:type="dxa"/>
            <w:left w:w="108" w:type="dxa"/>
            <w:bottom w:w="0" w:type="dxa"/>
            <w:right w:w="108" w:type="dxa"/>
          </w:tblCellMar>
        </w:tblPrEx>
        <w:trPr>
          <w:trHeight w:val="2216"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709D884B">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企业管理</w:t>
            </w:r>
          </w:p>
          <w:p w14:paraId="0795B704">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体系认证</w:t>
            </w:r>
          </w:p>
          <w:p w14:paraId="03CA617D">
            <w:pPr>
              <w:pStyle w:val="5"/>
              <w:wordWrap w:val="0"/>
              <w:adjustRightInd w:val="0"/>
              <w:snapToGrid w:val="0"/>
              <w:spacing w:after="0" w:line="400" w:lineRule="exact"/>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（9分）</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677C852F">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1．质量管理体系认证、职业健康安全管理体系认证、环境管理体系认证中，每获得1项认证得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 xml:space="preserve"> 3 </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分，最高得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 xml:space="preserve"> 9 </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分。</w:t>
            </w:r>
          </w:p>
          <w:p w14:paraId="4BFE5C5B">
            <w:pPr>
              <w:pStyle w:val="5"/>
              <w:wordWrap w:val="0"/>
              <w:adjustRightInd w:val="0"/>
              <w:snapToGrid w:val="0"/>
              <w:spacing w:after="0" w:line="400" w:lineRule="exact"/>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2．未获得以上认证的，不予计分。</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65F5200D">
            <w:pPr>
              <w:pStyle w:val="5"/>
              <w:wordWrap w:val="0"/>
              <w:adjustRightInd w:val="0"/>
              <w:snapToGrid w:val="0"/>
              <w:spacing w:after="0" w:line="400" w:lineRule="exact"/>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z w:val="21"/>
                <w:szCs w:val="21"/>
                <w:highlight w:val="none"/>
                <w:lang w:val="en-US" w:eastAsia="zh-CN"/>
                <w14:textFill>
                  <w14:solidFill>
                    <w14:schemeClr w14:val="tx1"/>
                  </w14:solidFill>
                </w14:textFill>
              </w:rPr>
              <w:t>1．需附在有效期内的认证证书彩色扫描件。</w:t>
            </w:r>
          </w:p>
          <w:p w14:paraId="0833AAE4">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2．任一认证证书有以下情形之一的，该认证证书视为无效，不予计分：</w:t>
            </w:r>
          </w:p>
          <w:p w14:paraId="7F240150">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①未提供认证证书扫描件的；</w:t>
            </w:r>
          </w:p>
          <w:p w14:paraId="12AAE37D">
            <w:pPr>
              <w:pStyle w:val="5"/>
              <w:wordWrap w:val="0"/>
              <w:adjustRightInd w:val="0"/>
              <w:snapToGrid w:val="0"/>
              <w:spacing w:after="0" w:line="400" w:lineRule="exact"/>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②认证证书不在有效期内的。</w:t>
            </w:r>
          </w:p>
        </w:tc>
      </w:tr>
      <w:tr w14:paraId="76E9045D">
        <w:tblPrEx>
          <w:tblCellMar>
            <w:top w:w="0" w:type="dxa"/>
            <w:left w:w="108" w:type="dxa"/>
            <w:bottom w:w="0" w:type="dxa"/>
            <w:right w:w="108" w:type="dxa"/>
          </w:tblCellMar>
        </w:tblPrEx>
        <w:trPr>
          <w:trHeight w:val="468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53FA58F8">
            <w:pPr>
              <w:pStyle w:val="5"/>
              <w:keepNext w:val="0"/>
              <w:keepLines w:val="0"/>
              <w:pageBreakBefore w:val="0"/>
              <w:widowControl w:val="0"/>
              <w:kinsoku/>
              <w:wordWrap w:val="0"/>
              <w:overflowPunct/>
              <w:topLinePunct w:val="0"/>
              <w:autoSpaceDE/>
              <w:autoSpaceDN/>
              <w:bidi w:val="0"/>
              <w:adjustRightInd w:val="0"/>
              <w:snapToGrid w:val="0"/>
              <w:spacing w:after="0" w:afterLines="0" w:line="300" w:lineRule="exact"/>
              <w:ind w:firstLine="0" w:firstLineChars="0"/>
              <w:jc w:val="center"/>
              <w:textAlignment w:val="auto"/>
              <w:rPr>
                <w:rFonts w:hint="eastAsia" w:ascii="宋体" w:hAnsi="宋体" w:eastAsia="宋体" w:cs="宋体"/>
                <w:snapToGrid w:val="0"/>
                <w:color w:val="000000" w:themeColor="text1"/>
                <w:kern w:val="0"/>
                <w:sz w:val="21"/>
                <w:szCs w:val="21"/>
                <w:highlight w:val="none"/>
                <w:lang w:bidi="ar"/>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bidi="ar"/>
                <w14:textFill>
                  <w14:solidFill>
                    <w14:schemeClr w14:val="tx1"/>
                  </w14:solidFill>
                </w14:textFill>
              </w:rPr>
              <w:t>企业</w:t>
            </w:r>
          </w:p>
          <w:p w14:paraId="2A267EC2">
            <w:pPr>
              <w:pStyle w:val="5"/>
              <w:keepNext w:val="0"/>
              <w:keepLines w:val="0"/>
              <w:pageBreakBefore w:val="0"/>
              <w:widowControl w:val="0"/>
              <w:kinsoku/>
              <w:wordWrap w:val="0"/>
              <w:overflowPunct/>
              <w:topLinePunct w:val="0"/>
              <w:autoSpaceDE/>
              <w:autoSpaceDN/>
              <w:bidi w:val="0"/>
              <w:adjustRightInd w:val="0"/>
              <w:snapToGrid w:val="0"/>
              <w:spacing w:after="0" w:afterLines="0" w:line="300" w:lineRule="exact"/>
              <w:ind w:firstLine="0" w:firstLineChars="0"/>
              <w:jc w:val="center"/>
              <w:textAlignment w:val="auto"/>
              <w:rPr>
                <w:rFonts w:hint="eastAsia" w:ascii="宋体" w:hAnsi="宋体" w:eastAsia="宋体" w:cs="宋体"/>
                <w:strike/>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bidi="ar"/>
                <w14:textFill>
                  <w14:solidFill>
                    <w14:schemeClr w14:val="tx1"/>
                  </w14:solidFill>
                </w14:textFill>
              </w:rPr>
              <w:t>财务状况</w:t>
            </w:r>
          </w:p>
          <w:p w14:paraId="2F7CC340">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300" w:lineRule="exact"/>
              <w:ind w:left="0" w:leftChars="0" w:right="0" w:rightChars="0" w:firstLine="0" w:firstLineChars="0"/>
              <w:jc w:val="center"/>
              <w:textAlignment w:val="auto"/>
              <w:outlineLvl w:val="9"/>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bidi="ar"/>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val="en-US" w:eastAsia="zh-CN" w:bidi="ar"/>
                <w14:textFill>
                  <w14:solidFill>
                    <w14:schemeClr w14:val="tx1"/>
                  </w14:solidFill>
                </w14:textFill>
              </w:rPr>
              <w:t>8</w:t>
            </w:r>
            <w:r>
              <w:rPr>
                <w:rFonts w:hint="eastAsia" w:ascii="宋体" w:hAnsi="宋体" w:eastAsia="宋体" w:cs="宋体"/>
                <w:b/>
                <w:bCs/>
                <w:snapToGrid w:val="0"/>
                <w:color w:val="000000" w:themeColor="text1"/>
                <w:kern w:val="0"/>
                <w:sz w:val="21"/>
                <w:szCs w:val="21"/>
                <w:highlight w:val="none"/>
                <w:lang w:bidi="ar"/>
                <w14:textFill>
                  <w14:solidFill>
                    <w14:schemeClr w14:val="tx1"/>
                  </w14:solidFill>
                </w14:textFill>
              </w:rPr>
              <w:t>分）</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28A06F3E">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1.提供不少于</w:t>
            </w:r>
            <w:r>
              <w:rPr>
                <w:rFonts w:hint="eastAsia" w:ascii="宋体" w:hAnsi="宋体" w:cs="宋体"/>
                <w:snapToGrid w:val="0"/>
                <w:color w:val="000000" w:themeColor="text1"/>
                <w:kern w:val="0"/>
                <w:sz w:val="22"/>
                <w:szCs w:val="22"/>
                <w:highlight w:val="none"/>
                <w:u w:val="single"/>
                <w:lang w:val="en-US" w:eastAsia="zh-CN"/>
                <w14:textFill>
                  <w14:solidFill>
                    <w14:schemeClr w14:val="tx1"/>
                  </w14:solidFill>
                </w14:textFill>
              </w:rPr>
              <w:t>1</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00</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万元银行授信或贷款余额证明的，得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4</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分。</w:t>
            </w:r>
          </w:p>
          <w:p w14:paraId="5E95F24E">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2．提供投标人基本账户在本项目招标公告发布之日起至投标截止时间期间出现过至少连续3日不少于</w:t>
            </w:r>
            <w:r>
              <w:rPr>
                <w:rFonts w:hint="eastAsia" w:ascii="宋体" w:hAnsi="宋体" w:cs="宋体"/>
                <w:snapToGrid w:val="0"/>
                <w:color w:val="000000" w:themeColor="text1"/>
                <w:kern w:val="0"/>
                <w:sz w:val="22"/>
                <w:szCs w:val="22"/>
                <w:highlight w:val="none"/>
                <w:u w:val="single"/>
                <w:lang w:val="en-US" w:eastAsia="zh-CN"/>
                <w14:textFill>
                  <w14:solidFill>
                    <w14:schemeClr w14:val="tx1"/>
                  </w14:solidFill>
                </w14:textFill>
              </w:rPr>
              <w:t>1</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00</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万元存款余额资金流水证明的，得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4</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分。</w:t>
            </w:r>
          </w:p>
          <w:p w14:paraId="1F97D99C">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3．未提供以上两项证明的，不予计分。</w:t>
            </w:r>
          </w:p>
          <w:p w14:paraId="41E742DA">
            <w:pPr>
              <w:pStyle w:val="5"/>
              <w:wordWrap w:val="0"/>
              <w:adjustRightInd w:val="0"/>
              <w:snapToGrid w:val="0"/>
              <w:spacing w:after="0" w:line="400" w:lineRule="exact"/>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4.本项最高得8分。</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53E3AA15">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1．需附在有效期内的有关证明扫描件。</w:t>
            </w:r>
          </w:p>
          <w:p w14:paraId="4B0C282A">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2．银行授信证明有以下情形之一的，视为无效，不予计分：</w:t>
            </w:r>
          </w:p>
          <w:p w14:paraId="7A1BA7FD">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①授信证明不在有效期内的；</w:t>
            </w:r>
          </w:p>
          <w:p w14:paraId="5621258B">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②授信额度不符合要求的；</w:t>
            </w:r>
          </w:p>
          <w:p w14:paraId="1870339A">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3．存款余额资金流水证明有以下情形之一的，视为无效，不予计分：</w:t>
            </w:r>
          </w:p>
          <w:p w14:paraId="3296E4D8">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①存款账户不是基本账户的；</w:t>
            </w:r>
          </w:p>
          <w:p w14:paraId="019603BB">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②存款时间不符合要求的；</w:t>
            </w:r>
          </w:p>
          <w:p w14:paraId="2283A990">
            <w:pPr>
              <w:pStyle w:val="5"/>
              <w:wordWrap w:val="0"/>
              <w:adjustRightInd w:val="0"/>
              <w:snapToGrid w:val="0"/>
              <w:spacing w:after="0" w:line="400" w:lineRule="exact"/>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③存款额度不符合要求的。</w:t>
            </w:r>
          </w:p>
        </w:tc>
      </w:tr>
      <w:tr w14:paraId="4D302595">
        <w:tblPrEx>
          <w:tblCellMar>
            <w:top w:w="0" w:type="dxa"/>
            <w:left w:w="108" w:type="dxa"/>
            <w:bottom w:w="0" w:type="dxa"/>
            <w:right w:w="108" w:type="dxa"/>
          </w:tblCellMar>
        </w:tblPrEx>
        <w:trPr>
          <w:trHeight w:val="2675" w:hRule="atLeast"/>
          <w:jc w:val="center"/>
        </w:trPr>
        <w:tc>
          <w:tcPr>
            <w:tcW w:w="1216" w:type="dxa"/>
            <w:vMerge w:val="restart"/>
            <w:tcBorders>
              <w:top w:val="single" w:color="auto" w:sz="4" w:space="0"/>
              <w:left w:val="single" w:color="auto" w:sz="4" w:space="0"/>
              <w:right w:val="single" w:color="auto" w:sz="4" w:space="0"/>
            </w:tcBorders>
            <w:noWrap w:val="0"/>
            <w:vAlign w:val="center"/>
          </w:tcPr>
          <w:p w14:paraId="0E136D80">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招标人</w:t>
            </w:r>
          </w:p>
          <w:p w14:paraId="137E0AD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自选项</w:t>
            </w:r>
          </w:p>
          <w:p w14:paraId="024D3943">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0分）</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626E2716">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1.近</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 xml:space="preserve"> 5 </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年来(2021年1月1日至今)投标人未发生事故等级为一般事故及以上的生产安全事故、一般质量事故及以上的工程质量事故的，得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 xml:space="preserve"> 5 </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分；</w:t>
            </w:r>
          </w:p>
          <w:p w14:paraId="63D00671">
            <w:pPr>
              <w:pStyle w:val="5"/>
              <w:numPr>
                <w:ilvl w:val="0"/>
                <w:numId w:val="0"/>
              </w:numPr>
              <w:wordWrap w:val="0"/>
              <w:adjustRightInd w:val="0"/>
              <w:snapToGrid w:val="0"/>
              <w:spacing w:after="0" w:line="400" w:lineRule="exact"/>
              <w:ind w:left="0" w:leftChars="0" w:firstLine="0" w:firstLineChars="0"/>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bidi="ar-SA"/>
                <w14:textFill>
                  <w14:solidFill>
                    <w14:schemeClr w14:val="tx1"/>
                  </w14:solidFill>
                </w14:textFill>
              </w:rPr>
              <w:t>2.</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其他情形的，不予计分。</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3FF06620">
            <w:pPr>
              <w:pStyle w:val="5"/>
              <w:wordWrap w:val="0"/>
              <w:adjustRightInd w:val="0"/>
              <w:snapToGrid w:val="0"/>
              <w:spacing w:after="0" w:line="400" w:lineRule="exact"/>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1.需提供本单位承诺书(格式自定)并加盖本单位公章。2.未提供本单位承诺书并加盖本单位公章的，按第2项标准处理。</w:t>
            </w:r>
          </w:p>
        </w:tc>
      </w:tr>
      <w:tr w14:paraId="7197C9CC">
        <w:tblPrEx>
          <w:tblCellMar>
            <w:top w:w="0" w:type="dxa"/>
            <w:left w:w="108" w:type="dxa"/>
            <w:bottom w:w="0" w:type="dxa"/>
            <w:right w:w="108" w:type="dxa"/>
          </w:tblCellMar>
        </w:tblPrEx>
        <w:trPr>
          <w:trHeight w:val="2382" w:hRule="atLeast"/>
          <w:jc w:val="center"/>
        </w:trPr>
        <w:tc>
          <w:tcPr>
            <w:tcW w:w="1216" w:type="dxa"/>
            <w:vMerge w:val="continue"/>
            <w:tcBorders>
              <w:left w:val="single" w:color="auto" w:sz="4" w:space="0"/>
              <w:right w:val="single" w:color="auto" w:sz="4" w:space="0"/>
            </w:tcBorders>
            <w:noWrap w:val="0"/>
            <w:vAlign w:val="center"/>
          </w:tcPr>
          <w:p w14:paraId="797D7CE5">
            <w:pPr>
              <w:widowControl w:val="0"/>
              <w:kinsoku/>
              <w:wordWrap w:val="0"/>
              <w:autoSpaceDE/>
              <w:autoSpaceDN/>
              <w:adjustRightInd w:val="0"/>
              <w:snapToGrid w:val="0"/>
              <w:spacing w:line="400" w:lineRule="exact"/>
              <w:jc w:val="center"/>
              <w:textAlignment w:val="auto"/>
              <w:rPr>
                <w:rFonts w:hint="eastAsia" w:ascii="宋体" w:hAnsi="宋体" w:eastAsia="宋体" w:cs="宋体"/>
                <w:b/>
                <w:bCs/>
                <w:snapToGrid/>
                <w:color w:val="000000" w:themeColor="text1"/>
                <w:kern w:val="0"/>
                <w:sz w:val="21"/>
                <w:szCs w:val="21"/>
                <w:highlight w:val="none"/>
                <w:lang w:eastAsia="zh-CN" w:bidi="ar"/>
                <w14:textFill>
                  <w14:solidFill>
                    <w14:schemeClr w14:val="tx1"/>
                  </w14:solidFill>
                </w14:textFill>
              </w:rPr>
            </w:pPr>
          </w:p>
        </w:tc>
        <w:tc>
          <w:tcPr>
            <w:tcW w:w="3823" w:type="dxa"/>
            <w:tcBorders>
              <w:top w:val="single" w:color="auto" w:sz="4" w:space="0"/>
              <w:left w:val="single" w:color="auto" w:sz="4" w:space="0"/>
              <w:bottom w:val="single" w:color="auto" w:sz="4" w:space="0"/>
              <w:right w:val="single" w:color="auto" w:sz="4" w:space="0"/>
            </w:tcBorders>
            <w:noWrap w:val="0"/>
            <w:vAlign w:val="center"/>
          </w:tcPr>
          <w:p w14:paraId="5CB866FC">
            <w:pPr>
              <w:pStyle w:val="5"/>
              <w:numPr>
                <w:ilvl w:val="0"/>
                <w:numId w:val="0"/>
              </w:numPr>
              <w:wordWrap w:val="0"/>
              <w:adjustRightInd w:val="0"/>
              <w:snapToGrid w:val="0"/>
              <w:spacing w:after="0" w:line="400" w:lineRule="exact"/>
              <w:ind w:left="0" w:leftChars="0" w:firstLine="0" w:firstLineChars="0"/>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eastAsia="zh-CN"/>
                <w14:textFill>
                  <w14:solidFill>
                    <w14:schemeClr w14:val="tx1"/>
                  </w14:solidFill>
                </w14:textFill>
              </w:rPr>
              <w:t>企业连续</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2</w:t>
            </w:r>
            <w:r>
              <w:rPr>
                <w:rFonts w:hint="eastAsia" w:ascii="宋体" w:hAnsi="宋体" w:eastAsia="宋体" w:cs="宋体"/>
                <w:snapToGrid w:val="0"/>
                <w:color w:val="000000" w:themeColor="text1"/>
                <w:kern w:val="0"/>
                <w:sz w:val="22"/>
                <w:szCs w:val="22"/>
                <w:highlight w:val="none"/>
                <w:lang w:eastAsia="zh-CN"/>
                <w14:textFill>
                  <w14:solidFill>
                    <w14:schemeClr w14:val="tx1"/>
                  </w14:solidFill>
                </w14:textFill>
              </w:rPr>
              <w:t>年</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或以上</w:t>
            </w:r>
            <w:r>
              <w:rPr>
                <w:rFonts w:hint="eastAsia" w:ascii="宋体" w:hAnsi="宋体" w:eastAsia="宋体" w:cs="宋体"/>
                <w:b/>
                <w:bCs/>
                <w:snapToGrid w:val="0"/>
                <w:color w:val="000000" w:themeColor="text1"/>
                <w:kern w:val="0"/>
                <w:sz w:val="22"/>
                <w:szCs w:val="22"/>
                <w:highlight w:val="none"/>
                <w:lang w:eastAsia="zh-CN"/>
                <w14:textFill>
                  <w14:solidFill>
                    <w14:schemeClr w14:val="tx1"/>
                  </w14:solidFill>
                </w14:textFill>
              </w:rPr>
              <w:t>（其中必须有202</w:t>
            </w: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5</w:t>
            </w:r>
            <w:r>
              <w:rPr>
                <w:rFonts w:hint="eastAsia" w:ascii="宋体" w:hAnsi="宋体" w:eastAsia="宋体" w:cs="宋体"/>
                <w:b/>
                <w:bCs/>
                <w:snapToGrid w:val="0"/>
                <w:color w:val="000000" w:themeColor="text1"/>
                <w:kern w:val="0"/>
                <w:sz w:val="22"/>
                <w:szCs w:val="22"/>
                <w:highlight w:val="none"/>
                <w:lang w:eastAsia="zh-CN"/>
                <w14:textFill>
                  <w14:solidFill>
                    <w14:schemeClr w14:val="tx1"/>
                  </w14:solidFill>
                </w14:textFill>
              </w:rPr>
              <w:t>年）</w:t>
            </w:r>
            <w:r>
              <w:rPr>
                <w:rFonts w:hint="eastAsia" w:ascii="宋体" w:hAnsi="宋体" w:eastAsia="宋体" w:cs="宋体"/>
                <w:snapToGrid w:val="0"/>
                <w:color w:val="000000" w:themeColor="text1"/>
                <w:kern w:val="0"/>
                <w:sz w:val="22"/>
                <w:szCs w:val="22"/>
                <w:highlight w:val="none"/>
                <w:lang w:eastAsia="zh-CN"/>
                <w14:textFill>
                  <w14:solidFill>
                    <w14:schemeClr w14:val="tx1"/>
                  </w14:solidFill>
                </w14:textFill>
              </w:rPr>
              <w:t>获得纳税信用A级纳税人的，得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5</w:t>
            </w:r>
            <w:r>
              <w:rPr>
                <w:rFonts w:hint="eastAsia" w:ascii="宋体" w:hAnsi="宋体" w:eastAsia="宋体" w:cs="宋体"/>
                <w:snapToGrid w:val="0"/>
                <w:color w:val="000000" w:themeColor="text1"/>
                <w:kern w:val="0"/>
                <w:sz w:val="22"/>
                <w:szCs w:val="22"/>
                <w:highlight w:val="none"/>
                <w:lang w:eastAsia="zh-CN"/>
                <w14:textFill>
                  <w14:solidFill>
                    <w14:schemeClr w14:val="tx1"/>
                  </w14:solidFill>
                </w14:textFill>
              </w:rPr>
              <w:t>分</w:t>
            </w:r>
            <w:r>
              <w:rPr>
                <w:rFonts w:hint="eastAsia" w:ascii="宋体" w:hAnsi="宋体" w:eastAsia="宋体" w:cs="宋体"/>
                <w:color w:val="000000" w:themeColor="text1"/>
                <w:sz w:val="22"/>
                <w:szCs w:val="22"/>
                <w:highlight w:val="none"/>
                <w:lang w:eastAsia="zh-CN"/>
                <w14:textFill>
                  <w14:solidFill>
                    <w14:schemeClr w14:val="tx1"/>
                  </w14:solidFill>
                </w14:textFill>
              </w:rPr>
              <w:t>。</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05DEE614">
            <w:pPr>
              <w:pStyle w:val="5"/>
              <w:keepNext w:val="0"/>
              <w:keepLines w:val="0"/>
              <w:pageBreakBefore w:val="0"/>
              <w:kinsoku/>
              <w:wordWrap w:val="0"/>
              <w:overflowPunct/>
              <w:topLinePunct w:val="0"/>
              <w:autoSpaceDE/>
              <w:autoSpaceDN/>
              <w:bidi w:val="0"/>
              <w:adjustRightInd w:val="0"/>
              <w:snapToGrid w:val="0"/>
              <w:spacing w:after="0" w:line="360" w:lineRule="auto"/>
              <w:rPr>
                <w:rFonts w:hint="eastAsia" w:ascii="宋体" w:hAnsi="宋体" w:eastAsia="宋体" w:cs="宋体"/>
                <w:snapToGrid w:val="0"/>
                <w:color w:val="000000" w:themeColor="text1"/>
                <w:kern w:val="0"/>
                <w:sz w:val="22"/>
                <w:szCs w:val="22"/>
                <w:highlight w:val="none"/>
                <w14:textFill>
                  <w14:solidFill>
                    <w14:schemeClr w14:val="tx1"/>
                  </w14:solidFill>
                </w14:textFill>
              </w:rPr>
            </w:pPr>
            <w:r>
              <w:rPr>
                <w:rFonts w:hint="eastAsia" w:ascii="宋体" w:hAnsi="宋体" w:eastAsia="宋体" w:cs="宋体"/>
                <w:snapToGrid w:val="0"/>
                <w:color w:val="000000" w:themeColor="text1"/>
                <w:kern w:val="0"/>
                <w:sz w:val="22"/>
                <w:szCs w:val="22"/>
                <w:highlight w:val="none"/>
                <w14:textFill>
                  <w14:solidFill>
                    <w14:schemeClr w14:val="tx1"/>
                  </w14:solidFill>
                </w14:textFill>
              </w:rPr>
              <w:t>1.必须提供企业纳税信用A级纳税人证明材料（或证书）彩色扫描件</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或</w:t>
            </w:r>
            <w:r>
              <w:rPr>
                <w:rFonts w:hint="eastAsia" w:ascii="宋体" w:hAnsi="宋体" w:eastAsia="宋体" w:cs="宋体"/>
                <w:snapToGrid w:val="0"/>
                <w:color w:val="000000" w:themeColor="text1"/>
                <w:kern w:val="0"/>
                <w:sz w:val="22"/>
                <w:szCs w:val="22"/>
                <w:highlight w:val="none"/>
                <w14:textFill>
                  <w14:solidFill>
                    <w14:schemeClr w14:val="tx1"/>
                  </w14:solidFill>
                </w14:textFill>
              </w:rPr>
              <w:t>国家税务总局（或省级电子税务局）网上查询截图打印件，否则不得分。</w:t>
            </w:r>
          </w:p>
          <w:p w14:paraId="2E28778D">
            <w:pPr>
              <w:pStyle w:val="5"/>
              <w:wordWrap w:val="0"/>
              <w:adjustRightInd w:val="0"/>
              <w:snapToGrid w:val="0"/>
              <w:spacing w:after="0" w:line="360" w:lineRule="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2"/>
                <w:szCs w:val="22"/>
                <w:highlight w:val="none"/>
                <w14:textFill>
                  <w14:solidFill>
                    <w14:schemeClr w14:val="tx1"/>
                  </w14:solidFill>
                </w14:textFill>
              </w:rPr>
              <w:t>2.只计算投标人自身（不计算投标人的分公司、子公司及分支机构）</w:t>
            </w:r>
          </w:p>
        </w:tc>
      </w:tr>
      <w:tr w14:paraId="3932FD63">
        <w:tblPrEx>
          <w:tblCellMar>
            <w:top w:w="0" w:type="dxa"/>
            <w:left w:w="108" w:type="dxa"/>
            <w:bottom w:w="0" w:type="dxa"/>
            <w:right w:w="108" w:type="dxa"/>
          </w:tblCellMar>
        </w:tblPrEx>
        <w:trPr>
          <w:trHeight w:val="2707" w:hRule="atLeast"/>
          <w:jc w:val="center"/>
        </w:trPr>
        <w:tc>
          <w:tcPr>
            <w:tcW w:w="1216" w:type="dxa"/>
            <w:vMerge w:val="continue"/>
            <w:tcBorders>
              <w:left w:val="single" w:color="auto" w:sz="4" w:space="0"/>
              <w:right w:val="single" w:color="auto" w:sz="4" w:space="0"/>
            </w:tcBorders>
            <w:noWrap w:val="0"/>
            <w:vAlign w:val="center"/>
          </w:tcPr>
          <w:p w14:paraId="3F97E49D">
            <w:pPr>
              <w:widowControl w:val="0"/>
              <w:kinsoku/>
              <w:wordWrap w:val="0"/>
              <w:autoSpaceDE/>
              <w:autoSpaceDN/>
              <w:adjustRightInd w:val="0"/>
              <w:snapToGrid w:val="0"/>
              <w:spacing w:line="400" w:lineRule="exact"/>
              <w:jc w:val="center"/>
              <w:textAlignment w:val="auto"/>
              <w:rPr>
                <w:rFonts w:hint="eastAsia" w:ascii="宋体" w:hAnsi="宋体" w:eastAsia="宋体" w:cs="宋体"/>
                <w:b/>
                <w:bCs/>
                <w:snapToGrid/>
                <w:color w:val="000000" w:themeColor="text1"/>
                <w:kern w:val="0"/>
                <w:sz w:val="21"/>
                <w:szCs w:val="21"/>
                <w:highlight w:val="none"/>
                <w:lang w:eastAsia="zh-CN" w:bidi="ar"/>
                <w14:textFill>
                  <w14:solidFill>
                    <w14:schemeClr w14:val="tx1"/>
                  </w14:solidFill>
                </w14:textFill>
              </w:rPr>
            </w:pPr>
          </w:p>
        </w:tc>
        <w:tc>
          <w:tcPr>
            <w:tcW w:w="3823" w:type="dxa"/>
            <w:tcBorders>
              <w:top w:val="single" w:color="auto" w:sz="4" w:space="0"/>
              <w:left w:val="single" w:color="auto" w:sz="4" w:space="0"/>
              <w:bottom w:val="single" w:color="auto" w:sz="4" w:space="0"/>
              <w:right w:val="single" w:color="auto" w:sz="4" w:space="0"/>
            </w:tcBorders>
            <w:noWrap w:val="0"/>
            <w:vAlign w:val="center"/>
          </w:tcPr>
          <w:p w14:paraId="4D9C08F4">
            <w:pPr>
              <w:pStyle w:val="5"/>
              <w:wordWrap w:val="0"/>
              <w:adjustRightInd w:val="0"/>
              <w:snapToGrid w:val="0"/>
              <w:spacing w:after="0" w:line="400" w:lineRule="exact"/>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1.企业近5年度（2021年度至今）连续三年或以上获得过省级或以上商业联合会颁发的诚信兴商证书的得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 xml:space="preserve"> 5 </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分；</w:t>
            </w:r>
          </w:p>
          <w:p w14:paraId="6C45232C">
            <w:pPr>
              <w:pStyle w:val="5"/>
              <w:wordWrap w:val="0"/>
              <w:adjustRightInd w:val="0"/>
              <w:snapToGrid w:val="0"/>
              <w:spacing w:after="0" w:line="400" w:lineRule="exact"/>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2.其他情形的，不予计分。</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5C909242">
            <w:pPr>
              <w:pStyle w:val="5"/>
              <w:wordWrap w:val="0"/>
              <w:adjustRightInd w:val="0"/>
              <w:snapToGrid w:val="0"/>
              <w:spacing w:after="0" w:line="400" w:lineRule="exact"/>
              <w:rPr>
                <w:rFonts w:hint="eastAsia" w:ascii="宋体" w:hAnsi="宋体" w:eastAsia="宋体" w:cs="宋体"/>
                <w:b w:val="0"/>
                <w:bCs w:val="0"/>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22"/>
                <w:szCs w:val="22"/>
                <w:highlight w:val="none"/>
                <w:lang w:val="en-US" w:eastAsia="zh-CN"/>
                <w14:textFill>
                  <w14:solidFill>
                    <w14:schemeClr w14:val="tx1"/>
                  </w14:solidFill>
                </w14:textFill>
              </w:rPr>
              <w:t xml:space="preserve">1.证书由省级或以上商业联合会颁发，须提供有关证书彩色扫描件和发文材料彩色扫描件。 </w:t>
            </w:r>
          </w:p>
          <w:p w14:paraId="6A7991E6">
            <w:pPr>
              <w:pStyle w:val="5"/>
              <w:wordWrap w:val="0"/>
              <w:adjustRightInd w:val="0"/>
              <w:snapToGrid w:val="0"/>
              <w:spacing w:after="0" w:line="400" w:lineRule="exact"/>
              <w:rPr>
                <w:rFonts w:hint="eastAsia" w:ascii="宋体" w:hAnsi="宋体" w:eastAsia="宋体" w:cs="宋体"/>
                <w:b w:val="0"/>
                <w:bCs w:val="0"/>
                <w:snapToGrid/>
                <w:color w:val="000000" w:themeColor="text1"/>
                <w:kern w:val="0"/>
                <w:sz w:val="21"/>
                <w:szCs w:val="21"/>
                <w:highlight w:val="none"/>
                <w:lang w:eastAsia="zh-CN" w:bidi="ar"/>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2.颁发机构不符合要求和备注规定的，不予得分。</w:t>
            </w:r>
          </w:p>
        </w:tc>
      </w:tr>
      <w:tr w14:paraId="4A3074A7">
        <w:tblPrEx>
          <w:tblCellMar>
            <w:top w:w="0" w:type="dxa"/>
            <w:left w:w="108" w:type="dxa"/>
            <w:bottom w:w="0" w:type="dxa"/>
            <w:right w:w="108" w:type="dxa"/>
          </w:tblCellMar>
        </w:tblPrEx>
        <w:trPr>
          <w:trHeight w:val="2374" w:hRule="atLeast"/>
          <w:jc w:val="center"/>
        </w:trPr>
        <w:tc>
          <w:tcPr>
            <w:tcW w:w="1216" w:type="dxa"/>
            <w:vMerge w:val="continue"/>
            <w:tcBorders>
              <w:left w:val="single" w:color="auto" w:sz="4" w:space="0"/>
              <w:right w:val="single" w:color="auto" w:sz="4" w:space="0"/>
            </w:tcBorders>
            <w:noWrap w:val="0"/>
            <w:vAlign w:val="center"/>
          </w:tcPr>
          <w:p w14:paraId="273DEFCE">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bidi="ar"/>
                <w14:textFill>
                  <w14:solidFill>
                    <w14:schemeClr w14:val="tx1"/>
                  </w14:solidFill>
                </w14:textFill>
              </w:rPr>
            </w:pPr>
          </w:p>
        </w:tc>
        <w:tc>
          <w:tcPr>
            <w:tcW w:w="3823" w:type="dxa"/>
            <w:tcBorders>
              <w:top w:val="single" w:color="auto" w:sz="4" w:space="0"/>
              <w:left w:val="single" w:color="auto" w:sz="4" w:space="0"/>
              <w:bottom w:val="single" w:color="auto" w:sz="4" w:space="0"/>
              <w:right w:val="single" w:color="auto" w:sz="4" w:space="0"/>
            </w:tcBorders>
            <w:noWrap w:val="0"/>
            <w:vAlign w:val="center"/>
          </w:tcPr>
          <w:p w14:paraId="3B20C2B3">
            <w:pPr>
              <w:pStyle w:val="5"/>
              <w:wordWrap w:val="0"/>
              <w:adjustRightInd w:val="0"/>
              <w:snapToGrid w:val="0"/>
              <w:spacing w:after="0" w:line="400" w:lineRule="exact"/>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企业从2021年1月1日至今获得过国家级“AAA级信用企业”称号的,得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5</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分。</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6FD90A9C">
            <w:pPr>
              <w:pStyle w:val="5"/>
              <w:wordWrap w:val="0"/>
              <w:adjustRightInd w:val="0"/>
              <w:snapToGrid w:val="0"/>
              <w:spacing w:after="0" w:line="360" w:lineRule="auto"/>
              <w:rPr>
                <w:rFonts w:hint="eastAsia" w:ascii="宋体" w:hAnsi="宋体" w:eastAsia="宋体" w:cs="宋体"/>
                <w:b w:val="0"/>
                <w:bCs w:val="0"/>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22"/>
                <w:szCs w:val="22"/>
                <w:highlight w:val="none"/>
                <w:lang w:val="en-US" w:eastAsia="zh-CN"/>
                <w14:textFill>
                  <w14:solidFill>
                    <w14:schemeClr w14:val="tx1"/>
                  </w14:solidFill>
                </w14:textFill>
              </w:rPr>
              <w:t>1．需附相关证书彩色扫描件。</w:t>
            </w:r>
          </w:p>
          <w:p w14:paraId="644E28E0">
            <w:pPr>
              <w:pStyle w:val="5"/>
              <w:wordWrap w:val="0"/>
              <w:adjustRightInd w:val="0"/>
              <w:snapToGrid w:val="0"/>
              <w:spacing w:after="0" w:line="360" w:lineRule="auto"/>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2．证书须由国家级企业联合会和企业家协会同时颁发。</w:t>
            </w:r>
          </w:p>
          <w:p w14:paraId="5C23C8DD">
            <w:pPr>
              <w:pStyle w:val="5"/>
              <w:wordWrap w:val="0"/>
              <w:adjustRightInd w:val="0"/>
              <w:snapToGrid w:val="0"/>
              <w:spacing w:after="0" w:line="360" w:lineRule="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3．颁发机构、获奖时间不符合评分标准和备注规定的，不予得分。</w:t>
            </w:r>
          </w:p>
        </w:tc>
      </w:tr>
      <w:tr w14:paraId="588B5508">
        <w:tblPrEx>
          <w:tblCellMar>
            <w:top w:w="0" w:type="dxa"/>
            <w:left w:w="108" w:type="dxa"/>
            <w:bottom w:w="0" w:type="dxa"/>
            <w:right w:w="108" w:type="dxa"/>
          </w:tblCellMar>
        </w:tblPrEx>
        <w:trPr>
          <w:trHeight w:val="4201" w:hRule="atLeast"/>
          <w:jc w:val="center"/>
        </w:trPr>
        <w:tc>
          <w:tcPr>
            <w:tcW w:w="1216" w:type="dxa"/>
            <w:vMerge w:val="continue"/>
            <w:tcBorders>
              <w:left w:val="single" w:color="auto" w:sz="4" w:space="0"/>
              <w:right w:val="single" w:color="auto" w:sz="4" w:space="0"/>
            </w:tcBorders>
            <w:noWrap w:val="0"/>
            <w:vAlign w:val="center"/>
          </w:tcPr>
          <w:p w14:paraId="7CCBD7A7">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bidi="ar"/>
                <w14:textFill>
                  <w14:solidFill>
                    <w14:schemeClr w14:val="tx1"/>
                  </w14:solidFill>
                </w14:textFill>
              </w:rPr>
            </w:pPr>
          </w:p>
        </w:tc>
        <w:tc>
          <w:tcPr>
            <w:tcW w:w="3823" w:type="dxa"/>
            <w:tcBorders>
              <w:top w:val="single" w:color="auto" w:sz="4" w:space="0"/>
              <w:left w:val="single" w:color="auto" w:sz="4" w:space="0"/>
              <w:bottom w:val="single" w:color="auto" w:sz="4" w:space="0"/>
              <w:right w:val="single" w:color="auto" w:sz="4" w:space="0"/>
            </w:tcBorders>
            <w:noWrap w:val="0"/>
            <w:vAlign w:val="center"/>
          </w:tcPr>
          <w:p w14:paraId="41EC4284">
            <w:pPr>
              <w:pStyle w:val="44"/>
              <w:keepNext w:val="0"/>
              <w:keepLines w:val="0"/>
              <w:pageBreakBefore w:val="0"/>
              <w:numPr>
                <w:ilvl w:val="0"/>
                <w:numId w:val="0"/>
              </w:numPr>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 xml:space="preserve">投标人近年度（2024年度~至今）参与了的结对帮扶“百千万工程”等典型项目： </w:t>
            </w:r>
          </w:p>
          <w:p w14:paraId="5B98C34E">
            <w:pPr>
              <w:pStyle w:val="44"/>
              <w:keepNext w:val="0"/>
              <w:keepLines w:val="0"/>
              <w:pageBreakBefore w:val="0"/>
              <w:numPr>
                <w:ilvl w:val="0"/>
                <w:numId w:val="0"/>
              </w:numPr>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1．纯公益帮扶项目已完工，大于10万元、小于50万元（含）及以上的得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5</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 xml:space="preserve">分； </w:t>
            </w:r>
          </w:p>
          <w:p w14:paraId="5ABEA64C">
            <w:pPr>
              <w:pStyle w:val="44"/>
              <w:keepNext w:val="0"/>
              <w:keepLines w:val="0"/>
              <w:pageBreakBefore w:val="0"/>
              <w:numPr>
                <w:ilvl w:val="0"/>
                <w:numId w:val="0"/>
              </w:numPr>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2．帮扶项目已完工，大于1万元、小于10万元的得</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1</w:t>
            </w: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 xml:space="preserve">分； </w:t>
            </w:r>
          </w:p>
          <w:p w14:paraId="3AE24334">
            <w:pPr>
              <w:pStyle w:val="44"/>
              <w:keepNext w:val="0"/>
              <w:keepLines w:val="0"/>
              <w:pageBreakBefore w:val="0"/>
              <w:numPr>
                <w:ilvl w:val="0"/>
                <w:numId w:val="0"/>
              </w:numPr>
              <w:kinsoku/>
              <w:wordWrap w:val="0"/>
              <w:overflowPunct/>
              <w:topLinePunct w:val="0"/>
              <w:autoSpaceDE/>
              <w:autoSpaceDN/>
              <w:bidi w:val="0"/>
              <w:adjustRightInd w:val="0"/>
              <w:snapToGrid w:val="0"/>
              <w:spacing w:line="360" w:lineRule="auto"/>
              <w:ind w:left="0" w:leftChars="0" w:firstLine="0" w:firstLineChars="0"/>
              <w:jc w:val="left"/>
              <w:textAlignment w:val="auto"/>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t>3.其他不计。</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6796C5AD">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pacing w:before="0" w:beforeAutospacing="0" w:after="0" w:afterAutospacing="0" w:line="360" w:lineRule="auto"/>
              <w:jc w:val="both"/>
              <w:textAlignment w:val="auto"/>
              <w:rPr>
                <w:rFonts w:hint="eastAsia" w:ascii="宋体" w:hAnsi="宋体" w:eastAsia="宋体" w:cs="宋体"/>
                <w:color w:val="000000" w:themeColor="text1"/>
                <w:highlight w:val="none"/>
                <w14:textFill>
                  <w14:solidFill>
                    <w14:schemeClr w14:val="tx1"/>
                  </w14:solidFill>
                </w14:textFill>
              </w:rPr>
            </w:pPr>
          </w:p>
          <w:p w14:paraId="5B0DCBE9">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pacing w:before="0" w:beforeAutospacing="0" w:after="0" w:afterAutospacing="0" w:line="360" w:lineRule="auto"/>
              <w:jc w:val="both"/>
              <w:textAlignment w:val="auto"/>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22"/>
                <w:szCs w:val="22"/>
                <w:highlight w:val="none"/>
                <w:lang w:val="en-US" w:eastAsia="zh-CN" w:bidi="ar-SA"/>
                <w14:textFill>
                  <w14:solidFill>
                    <w14:schemeClr w14:val="tx1"/>
                  </w14:solidFill>
                </w14:textFill>
              </w:rPr>
              <w:t>1.需要提供建设主管部门出具的帮扶证明，</w:t>
            </w:r>
            <w:r>
              <w:rPr>
                <w:rFonts w:hint="eastAsia" w:ascii="宋体" w:hAnsi="宋体" w:eastAsia="宋体" w:cs="宋体"/>
                <w:snapToGrid w:val="0"/>
                <w:color w:val="000000" w:themeColor="text1"/>
                <w:kern w:val="0"/>
                <w:sz w:val="22"/>
                <w:szCs w:val="22"/>
                <w:highlight w:val="none"/>
                <w:lang w:val="en-US" w:eastAsia="zh-CN" w:bidi="ar-SA"/>
                <w14:textFill>
                  <w14:solidFill>
                    <w14:schemeClr w14:val="tx1"/>
                  </w14:solidFill>
                </w14:textFill>
              </w:rPr>
              <w:t>且项目已录入“全省百千万工程”建筑业企业与乡镇结对帮扶项目信息库。</w:t>
            </w:r>
          </w:p>
        </w:tc>
      </w:tr>
      <w:tr w14:paraId="6589A35E">
        <w:tblPrEx>
          <w:tblCellMar>
            <w:top w:w="0" w:type="dxa"/>
            <w:left w:w="108" w:type="dxa"/>
            <w:bottom w:w="0" w:type="dxa"/>
            <w:right w:w="108" w:type="dxa"/>
          </w:tblCellMar>
        </w:tblPrEx>
        <w:trPr>
          <w:trHeight w:val="1996" w:hRule="atLeast"/>
          <w:jc w:val="center"/>
        </w:trPr>
        <w:tc>
          <w:tcPr>
            <w:tcW w:w="1216" w:type="dxa"/>
            <w:vMerge w:val="continue"/>
            <w:tcBorders>
              <w:left w:val="single" w:color="auto" w:sz="4" w:space="0"/>
              <w:bottom w:val="single" w:color="auto" w:sz="4" w:space="0"/>
              <w:right w:val="single" w:color="auto" w:sz="4" w:space="0"/>
            </w:tcBorders>
            <w:noWrap w:val="0"/>
            <w:vAlign w:val="center"/>
          </w:tcPr>
          <w:p w14:paraId="198ED04E">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bidi="ar"/>
                <w14:textFill>
                  <w14:solidFill>
                    <w14:schemeClr w14:val="tx1"/>
                  </w14:solidFill>
                </w14:textFill>
              </w:rPr>
            </w:pPr>
          </w:p>
        </w:tc>
        <w:tc>
          <w:tcPr>
            <w:tcW w:w="3823" w:type="dxa"/>
            <w:tcBorders>
              <w:top w:val="single" w:color="auto" w:sz="4" w:space="0"/>
              <w:left w:val="single" w:color="auto" w:sz="4" w:space="0"/>
              <w:bottom w:val="single" w:color="auto" w:sz="4" w:space="0"/>
              <w:right w:val="single" w:color="auto" w:sz="4" w:space="0"/>
            </w:tcBorders>
            <w:noWrap w:val="0"/>
            <w:vAlign w:val="center"/>
          </w:tcPr>
          <w:p w14:paraId="4BE6C0D7">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pacing w:before="0" w:beforeAutospacing="0" w:after="0" w:afterAutospacing="0" w:line="360" w:lineRule="auto"/>
              <w:jc w:val="both"/>
              <w:textAlignment w:val="auto"/>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bidi="ar-SA"/>
                <w14:textFill>
                  <w14:solidFill>
                    <w14:schemeClr w14:val="tx1"/>
                  </w14:solidFill>
                </w14:textFill>
              </w:rPr>
              <w:t>投标人从2022年1月1日至今获得过县（市、区）建设主管部门颁发的“百千万工程”工作相关表扬信的，得</w:t>
            </w:r>
            <w:r>
              <w:rPr>
                <w:rFonts w:hint="eastAsia" w:ascii="宋体" w:hAnsi="宋体" w:eastAsia="宋体" w:cs="宋体"/>
                <w:snapToGrid w:val="0"/>
                <w:color w:val="000000" w:themeColor="text1"/>
                <w:kern w:val="0"/>
                <w:sz w:val="22"/>
                <w:szCs w:val="22"/>
                <w:highlight w:val="none"/>
                <w:u w:val="single"/>
                <w:lang w:val="en-US" w:eastAsia="zh-CN" w:bidi="ar-SA"/>
                <w14:textFill>
                  <w14:solidFill>
                    <w14:schemeClr w14:val="tx1"/>
                  </w14:solidFill>
                </w14:textFill>
              </w:rPr>
              <w:t>5</w:t>
            </w:r>
            <w:r>
              <w:rPr>
                <w:rFonts w:hint="eastAsia" w:ascii="宋体" w:hAnsi="宋体" w:eastAsia="宋体" w:cs="宋体"/>
                <w:snapToGrid w:val="0"/>
                <w:color w:val="000000" w:themeColor="text1"/>
                <w:kern w:val="0"/>
                <w:sz w:val="22"/>
                <w:szCs w:val="22"/>
                <w:highlight w:val="none"/>
                <w:lang w:val="en-US" w:eastAsia="zh-CN" w:bidi="ar-SA"/>
                <w14:textFill>
                  <w14:solidFill>
                    <w14:schemeClr w14:val="tx1"/>
                  </w14:solidFill>
                </w14:textFill>
              </w:rPr>
              <w:t>分。</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1354331C">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pacing w:before="0" w:beforeAutospacing="0" w:after="0" w:afterAutospacing="0" w:line="360" w:lineRule="auto"/>
              <w:jc w:val="both"/>
              <w:textAlignment w:val="auto"/>
              <w:rPr>
                <w:rFonts w:hint="eastAsia" w:ascii="宋体" w:hAnsi="宋体" w:eastAsia="宋体" w:cs="宋体"/>
                <w:b w:val="0"/>
                <w:bCs w:val="0"/>
                <w:snapToGrid w:val="0"/>
                <w:color w:val="000000" w:themeColor="text1"/>
                <w:kern w:val="0"/>
                <w:sz w:val="22"/>
                <w:szCs w:val="22"/>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0"/>
                <w:sz w:val="22"/>
                <w:szCs w:val="22"/>
                <w:highlight w:val="none"/>
                <w:lang w:val="en-US" w:eastAsia="zh-CN" w:bidi="ar-SA"/>
                <w14:textFill>
                  <w14:solidFill>
                    <w14:schemeClr w14:val="tx1"/>
                  </w14:solidFill>
                </w14:textFill>
              </w:rPr>
              <w:t>1.需附相关证明彩色扫描件（或打印件）。</w:t>
            </w:r>
          </w:p>
          <w:p w14:paraId="524B812D">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pacing w:before="0" w:beforeAutospacing="0" w:after="0" w:afterAutospacing="0" w:line="360" w:lineRule="auto"/>
              <w:jc w:val="both"/>
              <w:textAlignment w:val="auto"/>
              <w:rPr>
                <w:rFonts w:hint="eastAsia" w:ascii="宋体" w:hAnsi="宋体" w:eastAsia="宋体" w:cs="宋体"/>
                <w:snapToGrid w:val="0"/>
                <w:color w:val="000000" w:themeColor="text1"/>
                <w:kern w:val="0"/>
                <w:sz w:val="22"/>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bidi="ar-SA"/>
                <w14:textFill>
                  <w14:solidFill>
                    <w14:schemeClr w14:val="tx1"/>
                  </w14:solidFill>
                </w14:textFill>
              </w:rPr>
              <w:t>2、有以下情形之一的，不予计分：</w:t>
            </w:r>
          </w:p>
          <w:p w14:paraId="52AD2D8B">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pacing w:before="0" w:beforeAutospacing="0" w:after="0" w:afterAutospacing="0" w:line="360" w:lineRule="auto"/>
              <w:jc w:val="both"/>
              <w:textAlignment w:val="auto"/>
              <w:rPr>
                <w:rFonts w:hint="eastAsia" w:ascii="宋体" w:hAnsi="宋体" w:eastAsia="宋体" w:cs="宋体"/>
                <w:b w:val="0"/>
                <w:bCs w:val="0"/>
                <w:snapToGrid w:val="0"/>
                <w:color w:val="000000" w:themeColor="text1"/>
                <w:kern w:val="0"/>
                <w:sz w:val="22"/>
                <w:szCs w:val="22"/>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0"/>
                <w:sz w:val="22"/>
                <w:szCs w:val="22"/>
                <w:highlight w:val="none"/>
                <w:lang w:val="en-US" w:eastAsia="zh-CN" w:bidi="ar-SA"/>
                <w14:textFill>
                  <w14:solidFill>
                    <w14:schemeClr w14:val="tx1"/>
                  </w14:solidFill>
                </w14:textFill>
              </w:rPr>
              <w:t>①未提供证明彩色扫描件（或打印件）的；</w:t>
            </w:r>
          </w:p>
          <w:p w14:paraId="5CD694B1">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pacing w:before="0" w:beforeAutospacing="0" w:after="0" w:afterAutospacing="0" w:line="360" w:lineRule="auto"/>
              <w:jc w:val="both"/>
              <w:textAlignment w:val="auto"/>
              <w:rPr>
                <w:rFonts w:hint="eastAsia" w:ascii="宋体" w:hAnsi="宋体" w:eastAsia="宋体" w:cs="宋体"/>
                <w:snapToGrid w:val="0"/>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bidi="ar-SA"/>
                <w14:textFill>
                  <w14:solidFill>
                    <w14:schemeClr w14:val="tx1"/>
                  </w14:solidFill>
                </w14:textFill>
              </w:rPr>
              <w:t>②颁发机构、获得时间不符合要求的。</w:t>
            </w:r>
          </w:p>
        </w:tc>
      </w:tr>
      <w:tr w14:paraId="1373BDDF">
        <w:tblPrEx>
          <w:tblCellMar>
            <w:top w:w="0" w:type="dxa"/>
            <w:left w:w="108" w:type="dxa"/>
            <w:bottom w:w="0" w:type="dxa"/>
            <w:right w:w="108" w:type="dxa"/>
          </w:tblCellMar>
        </w:tblPrEx>
        <w:trPr>
          <w:trHeight w:val="567" w:hRule="exact"/>
          <w:jc w:val="center"/>
        </w:trPr>
        <w:tc>
          <w:tcPr>
            <w:tcW w:w="10501"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5BF7B2B0">
            <w:pPr>
              <w:widowControl w:val="0"/>
              <w:wordWrap w:val="0"/>
              <w:adjustRightInd w:val="0"/>
              <w:snapToGrid w:val="0"/>
              <w:spacing w:after="0" w:line="440" w:lineRule="exact"/>
              <w:jc w:val="left"/>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bidi="ar-SA"/>
                <w14:textFill>
                  <w14:solidFill>
                    <w14:schemeClr w14:val="tx1"/>
                  </w14:solidFill>
                </w14:textFill>
              </w:rPr>
              <w:t>技术部分（施工组织设计），满分：</w:t>
            </w:r>
            <w:r>
              <w:rPr>
                <w:rFonts w:hint="eastAsia" w:ascii="宋体" w:hAnsi="宋体" w:eastAsia="宋体" w:cs="宋体"/>
                <w:b/>
                <w:bCs/>
                <w:color w:val="000000" w:themeColor="text1"/>
                <w:kern w:val="0"/>
                <w:sz w:val="24"/>
                <w:szCs w:val="24"/>
                <w:highlight w:val="none"/>
                <w:u w:val="single"/>
                <w:lang w:val="en-US" w:eastAsia="zh-CN" w:bidi="ar-SA"/>
                <w14:textFill>
                  <w14:solidFill>
                    <w14:schemeClr w14:val="tx1"/>
                  </w14:solidFill>
                </w14:textFill>
              </w:rPr>
              <w:t xml:space="preserve">  20  </w:t>
            </w:r>
            <w:r>
              <w:rPr>
                <w:rFonts w:hint="eastAsia" w:ascii="宋体" w:hAnsi="宋体" w:eastAsia="宋体" w:cs="宋体"/>
                <w:b/>
                <w:bCs/>
                <w:color w:val="000000" w:themeColor="text1"/>
                <w:kern w:val="0"/>
                <w:sz w:val="24"/>
                <w:szCs w:val="24"/>
                <w:highlight w:val="none"/>
                <w:lang w:val="en-US" w:eastAsia="zh-CN" w:bidi="ar-SA"/>
                <w14:textFill>
                  <w14:solidFill>
                    <w14:schemeClr w14:val="tx1"/>
                  </w14:solidFill>
                </w14:textFill>
              </w:rPr>
              <w:t>分。</w:t>
            </w:r>
          </w:p>
        </w:tc>
      </w:tr>
      <w:tr w14:paraId="4D8B763D">
        <w:tblPrEx>
          <w:tblCellMar>
            <w:top w:w="0" w:type="dxa"/>
            <w:left w:w="108" w:type="dxa"/>
            <w:bottom w:w="0" w:type="dxa"/>
            <w:right w:w="108" w:type="dxa"/>
          </w:tblCellMar>
        </w:tblPrEx>
        <w:trPr>
          <w:trHeight w:val="680" w:hRule="exac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57F2ED4B">
            <w:pPr>
              <w:widowControl w:val="0"/>
              <w:wordWrap w:val="0"/>
              <w:adjustRightInd w:val="0"/>
              <w:snapToGrid w:val="0"/>
              <w:spacing w:after="0" w:line="440" w:lineRule="exact"/>
              <w:jc w:val="cente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评分因素</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5C971C01">
            <w:pPr>
              <w:widowControl w:val="0"/>
              <w:wordWrap w:val="0"/>
              <w:adjustRightInd w:val="0"/>
              <w:snapToGrid w:val="0"/>
              <w:spacing w:after="0" w:line="440" w:lineRule="exact"/>
              <w:jc w:val="cente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评分标准</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127EB220">
            <w:pPr>
              <w:widowControl w:val="0"/>
              <w:wordWrap w:val="0"/>
              <w:adjustRightInd w:val="0"/>
              <w:snapToGrid w:val="0"/>
              <w:spacing w:after="0" w:line="440" w:lineRule="exact"/>
              <w:jc w:val="cente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备注</w:t>
            </w:r>
          </w:p>
        </w:tc>
      </w:tr>
      <w:tr w14:paraId="254B77A9">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43B1E54F">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 xml:space="preserve"> 总体概述</w:t>
            </w:r>
          </w:p>
          <w:p w14:paraId="088794EA">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u w:val="single"/>
                <w:lang w:eastAsia="zh-CN"/>
                <w14:textFill>
                  <w14:solidFill>
                    <w14:schemeClr w14:val="tx1"/>
                  </w14:solidFill>
                </w14:textFill>
              </w:rPr>
              <w:t xml:space="preserve"> 3 </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597CF9C8">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【优】得该项评分因素分值的90%～100%（含90%）。</w:t>
            </w:r>
          </w:p>
          <w:p w14:paraId="03F68CB2">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【良】得该项评分因素分值的80%～90%（含80%）。</w:t>
            </w:r>
          </w:p>
          <w:p w14:paraId="7DC3967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【中】得该项评分因素分值的70%～80%（含70%）。</w:t>
            </w:r>
          </w:p>
          <w:p w14:paraId="4783AE55">
            <w:pPr>
              <w:widowControl w:val="0"/>
              <w:kinsoku/>
              <w:wordWrap w:val="0"/>
              <w:autoSpaceDE/>
              <w:autoSpaceDN/>
              <w:adjustRightInd w:val="0"/>
              <w:snapToGrid w:val="0"/>
              <w:spacing w:line="400" w:lineRule="exact"/>
              <w:jc w:val="left"/>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【差】得该项评分因素分值的60～70%（含60%）。</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0827108E">
            <w:pPr>
              <w:widowControl w:val="0"/>
              <w:kinsoku/>
              <w:wordWrap w:val="0"/>
              <w:autoSpaceDE/>
              <w:autoSpaceDN/>
              <w:adjustRightInd w:val="0"/>
              <w:snapToGrid w:val="0"/>
              <w:spacing w:line="400" w:lineRule="exact"/>
              <w:jc w:val="left"/>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【优】对项目总体有深刻认识，表述清晰、完整、严谨、合理，措施先进、具体、有效、成熟，采用了新技术、新工艺、新材料、新设备；施工段划分呼应总体表述，划分清晰、合理，符合规范要求。</w:t>
            </w:r>
          </w:p>
          <w:p w14:paraId="19D45C64">
            <w:pPr>
              <w:widowControl w:val="0"/>
              <w:kinsoku/>
              <w:wordWrap w:val="0"/>
              <w:autoSpaceDE/>
              <w:autoSpaceDN/>
              <w:adjustRightInd w:val="0"/>
              <w:snapToGrid w:val="0"/>
              <w:spacing w:line="400" w:lineRule="exact"/>
              <w:jc w:val="left"/>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【良】对项目总体有一定认识，表述清晰、完整，措施具体有效；施工段划分呼应总体表述，划分清晰，符合规范要求。</w:t>
            </w:r>
          </w:p>
          <w:p w14:paraId="5A1C5E10">
            <w:pPr>
              <w:widowControl w:val="0"/>
              <w:kinsoku/>
              <w:wordWrap w:val="0"/>
              <w:autoSpaceDE/>
              <w:autoSpaceDN/>
              <w:adjustRightInd w:val="0"/>
              <w:snapToGrid w:val="0"/>
              <w:spacing w:line="400" w:lineRule="exact"/>
              <w:jc w:val="left"/>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【中】对项目总体有认识，有一定的措施但部分不具体；施工段划分较合理，符合规范要求。</w:t>
            </w:r>
          </w:p>
          <w:p w14:paraId="708E3266">
            <w:pPr>
              <w:widowControl w:val="0"/>
              <w:kinsoku/>
              <w:wordWrap w:val="0"/>
              <w:autoSpaceDE/>
              <w:autoSpaceDN/>
              <w:adjustRightInd w:val="0"/>
              <w:snapToGrid w:val="0"/>
              <w:spacing w:line="400" w:lineRule="exact"/>
              <w:jc w:val="left"/>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【差】对项目认识不足，表述不清晰，措施不具体；施工段划分不合理。</w:t>
            </w:r>
          </w:p>
        </w:tc>
      </w:tr>
      <w:tr w14:paraId="00970BFE">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2C1A0008">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施工总进</w:t>
            </w:r>
          </w:p>
          <w:p w14:paraId="3E59FFDA">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度计划及</w:t>
            </w:r>
          </w:p>
          <w:p w14:paraId="3C7F83AE">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保证措施</w:t>
            </w:r>
          </w:p>
          <w:p w14:paraId="7029405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u w:val="single"/>
                <w:lang w:eastAsia="zh-CN"/>
                <w14:textFill>
                  <w14:solidFill>
                    <w14:schemeClr w14:val="tx1"/>
                  </w14:solidFill>
                </w14:textFill>
              </w:rPr>
              <w:t xml:space="preserve">3 </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1469ECFC">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【优】得该项评分因素分值的90%～100%（含90%）。</w:t>
            </w:r>
          </w:p>
          <w:p w14:paraId="508E4D70">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【良】得该项评分因素分值的80%～90%（含80%）。</w:t>
            </w:r>
          </w:p>
          <w:p w14:paraId="0909FCC0">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【中】得该项评分因素分值的70%～80%（含70%）。</w:t>
            </w:r>
          </w:p>
          <w:p w14:paraId="5762B805">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【差】得该项评分因素分值的60～70%（含60%）。</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7AF6F6C8">
            <w:pPr>
              <w:widowControl w:val="0"/>
              <w:kinsoku/>
              <w:wordWrap w:val="0"/>
              <w:autoSpaceDE/>
              <w:autoSpaceDN/>
              <w:adjustRightInd w:val="0"/>
              <w:snapToGrid w:val="0"/>
              <w:spacing w:line="400" w:lineRule="exact"/>
              <w:jc w:val="both"/>
              <w:textAlignment w:val="auto"/>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关键线路清晰、准确、完整，计划编制合理、可行。关键节点的控制措施有力、合理、可行。人、材、机需求和进场计划与进度计划相呼应，较好满足施工需要，调配投入计划合理、准确。进度违约责任承诺具体，</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经济赔偿合理。</w:t>
            </w:r>
          </w:p>
          <w:p w14:paraId="509EEFE9">
            <w:pPr>
              <w:widowControl w:val="0"/>
              <w:kinsoku/>
              <w:wordWrap w:val="0"/>
              <w:autoSpaceDE/>
              <w:autoSpaceDN/>
              <w:adjustRightInd w:val="0"/>
              <w:snapToGrid w:val="0"/>
              <w:spacing w:line="400" w:lineRule="exact"/>
              <w:jc w:val="both"/>
              <w:textAlignment w:val="auto"/>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【良】关键线路清晰、准确、完整，计划编制可行。关键节点的控制措施合理、可行。人、材、机需求和进场计划与进度计划相呼应，基本满足施工需要，调配投入计划基本合理、准确。进度违约责任承诺具体，</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经济赔偿较合理。</w:t>
            </w:r>
          </w:p>
          <w:p w14:paraId="3C8D298F">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【中】关键线路基本准确，计划编制基本合理。关键节点的控制措施基本可行。人、材、机需求和进场计划与进度计划相呼应，基本满足施工需要，调配投入计划基本合理。进度违约责任承诺具体。</w:t>
            </w:r>
          </w:p>
          <w:p w14:paraId="63C0C58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【差】关键线路不准确，计划编制不合理。关键节点的控制不可行。人、材、机需求和进场计划与进度计划不相呼应，不能满足施工需要。没有违约责任承诺。</w:t>
            </w:r>
          </w:p>
        </w:tc>
      </w:tr>
      <w:tr w14:paraId="134D3E28">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21106622">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质量</w:t>
            </w:r>
          </w:p>
          <w:p w14:paraId="6C95406A">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保证措施</w:t>
            </w:r>
          </w:p>
          <w:p w14:paraId="6BF537AE">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（4</w:t>
            </w:r>
            <w:r>
              <w:rPr>
                <w:rFonts w:hint="eastAsia" w:ascii="宋体" w:hAnsi="宋体" w:eastAsia="宋体" w:cs="宋体"/>
                <w:b/>
                <w:bCs/>
                <w:snapToGrid w:val="0"/>
                <w:color w:val="000000" w:themeColor="text1"/>
                <w:kern w:val="0"/>
                <w:sz w:val="21"/>
                <w:szCs w:val="21"/>
                <w:highlight w:val="none"/>
                <w:u w:val="single"/>
                <w:lang w:eastAsia="zh-CN"/>
                <w14:textFill>
                  <w14:solidFill>
                    <w14:schemeClr w14:val="tx1"/>
                  </w14:solidFill>
                </w14:textFill>
              </w:rPr>
              <w:t xml:space="preserve"> </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07169F91">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【优】得该项评分因素分值的90%～100%（含90%）。</w:t>
            </w:r>
          </w:p>
          <w:p w14:paraId="38C8A5A5">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【良】得该项评分因素分值的80%～90%（含80%）。</w:t>
            </w:r>
          </w:p>
          <w:p w14:paraId="57A32068">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【中】得该项评分因素分值的70%～80%（含70%）。</w:t>
            </w:r>
          </w:p>
          <w:p w14:paraId="41682A57">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【差】得该项评分因素分值的60～70%（含60%）。</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2A0D5B2F">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【优】应用新技术、新工艺、新材料、新设备，针对项目实际提出先进、可行、具体的保证措施。超过招标文件的质量要求。</w:t>
            </w:r>
          </w:p>
          <w:p w14:paraId="7A1C7711">
            <w:pPr>
              <w:widowControl w:val="0"/>
              <w:kinsoku/>
              <w:wordWrap w:val="0"/>
              <w:autoSpaceDE/>
              <w:autoSpaceDN/>
              <w:adjustRightInd w:val="0"/>
              <w:snapToGrid w:val="0"/>
              <w:spacing w:line="400" w:lineRule="exact"/>
              <w:jc w:val="both"/>
              <w:textAlignment w:val="auto"/>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【良】针对项目实际提出先进、可行、具体的保证措施。满足招标文件的质量要求。</w:t>
            </w:r>
          </w:p>
          <w:p w14:paraId="04E3373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【中】具体措施可行。满足招标文件的质量要求。</w:t>
            </w:r>
          </w:p>
          <w:p w14:paraId="504D8A29">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【差】措施不可行，没有质量违约责任承诺。</w:t>
            </w:r>
          </w:p>
        </w:tc>
      </w:tr>
      <w:tr w14:paraId="618E4605">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11775B00">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施工</w:t>
            </w:r>
          </w:p>
          <w:p w14:paraId="0CB53CA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技术措施</w:t>
            </w:r>
          </w:p>
          <w:p w14:paraId="43A7C23D">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u w:val="single"/>
                <w:lang w:eastAsia="zh-CN"/>
                <w14:textFill>
                  <w14:solidFill>
                    <w14:schemeClr w14:val="tx1"/>
                  </w14:solidFill>
                </w14:textFill>
              </w:rPr>
              <w:t xml:space="preserve"> 2 </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10FC0C54">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【优】得该项评分因素分值的90%～100%（含90%）。</w:t>
            </w:r>
          </w:p>
          <w:p w14:paraId="5CCDB2E3">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【良】得该项评分因素分值的80%～90%（含80%）。</w:t>
            </w:r>
          </w:p>
          <w:p w14:paraId="7218A4E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【中】得该项评分因素分值的70%～80%（含70%）。</w:t>
            </w:r>
          </w:p>
          <w:p w14:paraId="47240866">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【差】得该项评分因素分值的60～70%（含60%）。</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0C30740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经济赔偿合理。</w:t>
            </w:r>
          </w:p>
          <w:p w14:paraId="5C0895CE">
            <w:pPr>
              <w:widowControl w:val="0"/>
              <w:kinsoku/>
              <w:wordWrap w:val="0"/>
              <w:autoSpaceDE/>
              <w:autoSpaceDN/>
              <w:adjustRightInd w:val="0"/>
              <w:snapToGrid w:val="0"/>
              <w:spacing w:line="400" w:lineRule="exact"/>
              <w:jc w:val="both"/>
              <w:textAlignment w:val="auto"/>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经济赔偿较合理。</w:t>
            </w:r>
          </w:p>
          <w:p w14:paraId="66BB7E97">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092C2A10">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【差】对项目关键技术有表述，对重点、难点有建议，解决方案不可行。采用的新技术针对性不强或验证材料不可靠，对节约投资、工期没有具体收益。无违约责任承诺。</w:t>
            </w:r>
          </w:p>
        </w:tc>
      </w:tr>
      <w:tr w14:paraId="154EA3CC">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53E44D64">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绿色施工、</w:t>
            </w:r>
          </w:p>
          <w:p w14:paraId="7110EDD6">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安全防护、</w:t>
            </w:r>
          </w:p>
          <w:p w14:paraId="586C62B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文明施工</w:t>
            </w:r>
          </w:p>
          <w:p w14:paraId="14073F30">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措施计划</w:t>
            </w:r>
          </w:p>
          <w:p w14:paraId="3DBD69A7">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u w:val="single"/>
                <w:lang w:eastAsia="zh-CN"/>
                <w14:textFill>
                  <w14:solidFill>
                    <w14:schemeClr w14:val="tx1"/>
                  </w14:solidFill>
                </w14:textFill>
              </w:rPr>
              <w:t xml:space="preserve"> 3 </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5CEA35BF">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【优】得该项评分因素分值的90%～100%（含90%）。</w:t>
            </w:r>
          </w:p>
          <w:p w14:paraId="157FAAC3">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【良】得该项评分因素分值的80%～90%（含80%）。</w:t>
            </w:r>
          </w:p>
          <w:p w14:paraId="099AAF3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【中】得该项评分因素分值的70%～80%（含70%）。</w:t>
            </w:r>
          </w:p>
          <w:p w14:paraId="00B72AB7">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【差】得该项评分因素分值的60～70%（含60%）。</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3E4E48FA">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【优】针对项目实际情况，有先进、具体、完整、可行的措施，采用规范准确、清晰。</w:t>
            </w:r>
          </w:p>
          <w:p w14:paraId="495EF453">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【良】针对项目实际情况，有合理的措施且具体、完整，采用规范准确。</w:t>
            </w:r>
          </w:p>
          <w:p w14:paraId="237D7185">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【中】有基本合理的措施，采用规范准确。</w:t>
            </w:r>
          </w:p>
          <w:p w14:paraId="78199B66">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【差】措施不力，采用规范不正确。</w:t>
            </w:r>
          </w:p>
        </w:tc>
      </w:tr>
      <w:tr w14:paraId="537D05BE">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356D2FFB">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施工平面</w:t>
            </w:r>
          </w:p>
          <w:p w14:paraId="038DB08F">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布置和临时设施布置</w:t>
            </w:r>
          </w:p>
          <w:p w14:paraId="5688C07A">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u w:val="single"/>
                <w:lang w:eastAsia="zh-CN"/>
                <w14:textFill>
                  <w14:solidFill>
                    <w14:schemeClr w14:val="tx1"/>
                  </w14:solidFill>
                </w14:textFill>
              </w:rPr>
              <w:t xml:space="preserve"> 2 </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305194D3">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【优】得该项评分因素分值的90%～100%（含90%）。</w:t>
            </w:r>
          </w:p>
          <w:p w14:paraId="357DB794">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【良】得该项评分因素分值的80%～90%（含80%）。</w:t>
            </w:r>
          </w:p>
          <w:p w14:paraId="117BD8F5">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【中】得该项评分因素分值的70%～80%（含70%）。</w:t>
            </w:r>
          </w:p>
          <w:p w14:paraId="01552BF3">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【差】得该项评分因素分值的60～70%（含60%）。</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06A06450">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【优】总体布置有针对性、合理，较好满足施工需要，符合绿色施工、安全防护、文明施工要求。</w:t>
            </w:r>
          </w:p>
          <w:p w14:paraId="630BFE19">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【良】总体布置合理，能满足施工需要，基本符合绿色施工、安全防护、文明施工要求。</w:t>
            </w:r>
          </w:p>
          <w:p w14:paraId="4A3FC7AF">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【中】总体布置基本合理，基本满足施工需要。</w:t>
            </w:r>
          </w:p>
          <w:p w14:paraId="2F762F12">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【差】总体布置不合理，不符合绿色施工、安全防护、文明施工要求。</w:t>
            </w:r>
          </w:p>
        </w:tc>
      </w:tr>
      <w:tr w14:paraId="6CCE15C8">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45DCDF0F">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项目</w:t>
            </w:r>
          </w:p>
          <w:p w14:paraId="085BF837">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管理机构</w:t>
            </w:r>
          </w:p>
          <w:p w14:paraId="4DC794F1">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u w:val="single"/>
                <w:lang w:eastAsia="zh-CN"/>
                <w14:textFill>
                  <w14:solidFill>
                    <w14:schemeClr w14:val="tx1"/>
                  </w14:solidFill>
                </w14:textFill>
              </w:rPr>
              <w:t xml:space="preserve"> 3 </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3823" w:type="dxa"/>
            <w:tcBorders>
              <w:top w:val="single" w:color="auto" w:sz="4" w:space="0"/>
              <w:left w:val="single" w:color="auto" w:sz="4" w:space="0"/>
              <w:bottom w:val="single" w:color="auto" w:sz="4" w:space="0"/>
              <w:right w:val="single" w:color="auto" w:sz="4" w:space="0"/>
            </w:tcBorders>
            <w:noWrap w:val="0"/>
            <w:vAlign w:val="center"/>
          </w:tcPr>
          <w:p w14:paraId="583D101E">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【优】得该项评分因素分值的90%～100%（含90%）。</w:t>
            </w:r>
          </w:p>
          <w:p w14:paraId="6D04A045">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【良】得该项评分因素分值的80%～90%（含80%）。</w:t>
            </w:r>
          </w:p>
          <w:p w14:paraId="582308FB">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【中】得该项评分因素分值的70%～80%（含70%）。</w:t>
            </w:r>
          </w:p>
          <w:p w14:paraId="3546E812">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【差】得该项评分因素分值的60～70%（含60%）。</w:t>
            </w:r>
          </w:p>
        </w:tc>
        <w:tc>
          <w:tcPr>
            <w:tcW w:w="5462" w:type="dxa"/>
            <w:tcBorders>
              <w:top w:val="single" w:color="auto" w:sz="4" w:space="0"/>
              <w:left w:val="single" w:color="auto" w:sz="4" w:space="0"/>
              <w:bottom w:val="single" w:color="auto" w:sz="4" w:space="0"/>
              <w:right w:val="single" w:color="auto" w:sz="4" w:space="0"/>
            </w:tcBorders>
            <w:noWrap w:val="0"/>
            <w:vAlign w:val="center"/>
          </w:tcPr>
          <w:p w14:paraId="515DF475">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【优】组织机构形式合理，有完善的指挥系统，生产及质量、绿色施工、安全、文明施工、创优达标监控系统、联络协调系统。</w:t>
            </w:r>
          </w:p>
          <w:p w14:paraId="2D39ECFD">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【良】组织机构形式合理，指挥系统，生产及质量、绿色施工、安全、文明施工、创优达标监控系统、联络协调系统齐全。</w:t>
            </w:r>
          </w:p>
          <w:p w14:paraId="7EFCA87E">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【中】组织机构形式基本合理，有指挥系统，生产及质量、绿色施工、安全、文明施工、创优达标监控系统、联络协调系统。</w:t>
            </w:r>
          </w:p>
          <w:p w14:paraId="52DCAA1C">
            <w:pPr>
              <w:widowControl w:val="0"/>
              <w:kinsoku/>
              <w:wordWrap w:val="0"/>
              <w:autoSpaceDE/>
              <w:autoSpaceDN/>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【差】组织机构形式合理，指挥系统，生产及质量、绿色施工、安全、文明施工、创优达标监控系统、联络协调系统不齐全。</w:t>
            </w:r>
          </w:p>
        </w:tc>
      </w:tr>
      <w:tr w14:paraId="3C85E566">
        <w:tblPrEx>
          <w:tblCellMar>
            <w:top w:w="0" w:type="dxa"/>
            <w:left w:w="108" w:type="dxa"/>
            <w:bottom w:w="0" w:type="dxa"/>
            <w:right w:w="108" w:type="dxa"/>
          </w:tblCellMar>
        </w:tblPrEx>
        <w:trPr>
          <w:trHeight w:val="403" w:hRule="exact"/>
          <w:jc w:val="center"/>
        </w:trPr>
        <w:tc>
          <w:tcPr>
            <w:tcW w:w="10501"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30EB054F">
            <w:pPr>
              <w:widowControl w:val="0"/>
              <w:wordWrap w:val="0"/>
              <w:adjustRightInd w:val="0"/>
              <w:snapToGrid w:val="0"/>
              <w:spacing w:line="400" w:lineRule="exact"/>
              <w:jc w:val="both"/>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lang w:val="en-US" w:eastAsia="zh-CN" w:bidi="ar-SA"/>
                <w14:textFill>
                  <w14:solidFill>
                    <w14:schemeClr w14:val="tx1"/>
                  </w14:solidFill>
                </w14:textFill>
              </w:rPr>
              <w:t>投标报价部分，满分：100分。</w:t>
            </w:r>
          </w:p>
        </w:tc>
      </w:tr>
      <w:tr w14:paraId="2DE83E06">
        <w:tblPrEx>
          <w:tblCellMar>
            <w:top w:w="0" w:type="dxa"/>
            <w:left w:w="108" w:type="dxa"/>
            <w:bottom w:w="0" w:type="dxa"/>
            <w:right w:w="108" w:type="dxa"/>
          </w:tblCellMar>
        </w:tblPrEx>
        <w:trPr>
          <w:trHeight w:val="451" w:hRule="exac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75F86B2">
            <w:pPr>
              <w:widowControl w:val="0"/>
              <w:kinsoku/>
              <w:autoSpaceDE/>
              <w:autoSpaceDN/>
              <w:adjustRightInd w:val="0"/>
              <w:snapToGrid/>
              <w:spacing w:line="360" w:lineRule="atLeast"/>
              <w:jc w:val="center"/>
              <w:textAlignment w:val="baseline"/>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评分事项</w:t>
            </w:r>
          </w:p>
        </w:tc>
        <w:tc>
          <w:tcPr>
            <w:tcW w:w="9285" w:type="dxa"/>
            <w:gridSpan w:val="2"/>
            <w:tcBorders>
              <w:top w:val="single" w:color="auto" w:sz="4" w:space="0"/>
              <w:left w:val="single" w:color="auto" w:sz="4" w:space="0"/>
              <w:bottom w:val="single" w:color="auto" w:sz="4" w:space="0"/>
              <w:right w:val="single" w:color="auto" w:sz="4" w:space="0"/>
            </w:tcBorders>
            <w:noWrap w:val="0"/>
            <w:vAlign w:val="center"/>
          </w:tcPr>
          <w:p w14:paraId="1C0A2435">
            <w:pPr>
              <w:widowControl w:val="0"/>
              <w:kinsoku/>
              <w:autoSpaceDE/>
              <w:autoSpaceDN/>
              <w:adjustRightInd w:val="0"/>
              <w:snapToGrid/>
              <w:spacing w:line="360" w:lineRule="atLeast"/>
              <w:jc w:val="center"/>
              <w:textAlignment w:val="baseline"/>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评分方法</w:t>
            </w:r>
          </w:p>
        </w:tc>
      </w:tr>
      <w:tr w14:paraId="4571F65B">
        <w:tblPrEx>
          <w:tblCellMar>
            <w:top w:w="0" w:type="dxa"/>
            <w:left w:w="108" w:type="dxa"/>
            <w:bottom w:w="0" w:type="dxa"/>
            <w:right w:w="108" w:type="dxa"/>
          </w:tblCellMar>
        </w:tblPrEx>
        <w:trPr>
          <w:trHeight w:val="632"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119A8768">
            <w:pPr>
              <w:widowControl w:val="0"/>
              <w:kinsoku/>
              <w:autoSpaceDE/>
              <w:autoSpaceDN/>
              <w:adjustRightInd w:val="0"/>
              <w:snapToGrid/>
              <w:spacing w:line="360" w:lineRule="atLeast"/>
              <w:jc w:val="center"/>
              <w:textAlignment w:val="baseline"/>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评标基准价D</w:t>
            </w:r>
          </w:p>
        </w:tc>
        <w:tc>
          <w:tcPr>
            <w:tcW w:w="9285" w:type="dxa"/>
            <w:gridSpan w:val="2"/>
            <w:tcBorders>
              <w:top w:val="single" w:color="auto" w:sz="4" w:space="0"/>
              <w:left w:val="single" w:color="auto" w:sz="4" w:space="0"/>
              <w:bottom w:val="single" w:color="auto" w:sz="4" w:space="0"/>
              <w:right w:val="single" w:color="auto" w:sz="4" w:space="0"/>
            </w:tcBorders>
            <w:noWrap w:val="0"/>
            <w:vAlign w:val="center"/>
          </w:tcPr>
          <w:p w14:paraId="4BD546C9">
            <w:pPr>
              <w:widowControl w:val="0"/>
              <w:kinsoku/>
              <w:autoSpaceDE/>
              <w:autoSpaceDN/>
              <w:adjustRightInd w:val="0"/>
              <w:snapToGrid/>
              <w:spacing w:line="360" w:lineRule="atLeast"/>
              <w:jc w:val="left"/>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（1）确定</w:t>
            </w:r>
            <w:r>
              <w:rPr>
                <w:rFonts w:hint="eastAsia" w:ascii="宋体" w:hAnsi="宋体" w:eastAsia="宋体" w:cs="宋体"/>
                <w:snapToGrid/>
                <w:color w:val="000000" w:themeColor="text1"/>
                <w:kern w:val="0"/>
                <w:sz w:val="21"/>
                <w:szCs w:val="21"/>
                <w:highlight w:val="none"/>
                <w:lang w:val="en-US" w:eastAsia="zh-CN"/>
                <w14:textFill>
                  <w14:solidFill>
                    <w14:schemeClr w14:val="tx1"/>
                  </w14:solidFill>
                </w14:textFill>
              </w:rPr>
              <w:t>最高投标限价</w:t>
            </w: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下浮系数n：用1～21号球分别代表一个下浮系数，由评委代表从这21个号码中随机抽取 3 次，每次抽取1个号码，抽出的号球不参与下次抽取。所抽取的3个号码对应下浮系数的算术平均值作为</w:t>
            </w:r>
            <w:r>
              <w:rPr>
                <w:rFonts w:hint="eastAsia" w:ascii="宋体" w:hAnsi="宋体" w:eastAsia="宋体" w:cs="宋体"/>
                <w:snapToGrid/>
                <w:color w:val="000000" w:themeColor="text1"/>
                <w:kern w:val="0"/>
                <w:sz w:val="21"/>
                <w:szCs w:val="21"/>
                <w:highlight w:val="none"/>
                <w:lang w:val="en-US" w:eastAsia="zh-CN"/>
                <w14:textFill>
                  <w14:solidFill>
                    <w14:schemeClr w14:val="tx1"/>
                  </w14:solidFill>
                </w14:textFill>
              </w:rPr>
              <w:t>最高投标限价</w:t>
            </w: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下浮系数n。具体号码对应的下浮系数见下表。</w:t>
            </w:r>
          </w:p>
          <w:tbl>
            <w:tblPr>
              <w:tblStyle w:val="14"/>
              <w:tblW w:w="0" w:type="auto"/>
              <w:tblInd w:w="113" w:type="dxa"/>
              <w:tblLayout w:type="fixed"/>
              <w:tblCellMar>
                <w:top w:w="0" w:type="dxa"/>
                <w:left w:w="108" w:type="dxa"/>
                <w:bottom w:w="0" w:type="dxa"/>
                <w:right w:w="108" w:type="dxa"/>
              </w:tblCellMar>
            </w:tblPr>
            <w:tblGrid>
              <w:gridCol w:w="1731"/>
              <w:gridCol w:w="938"/>
              <w:gridCol w:w="1100"/>
              <w:gridCol w:w="1050"/>
              <w:gridCol w:w="987"/>
              <w:gridCol w:w="1038"/>
              <w:gridCol w:w="925"/>
              <w:gridCol w:w="850"/>
            </w:tblGrid>
            <w:tr w14:paraId="1663BA35">
              <w:tblPrEx>
                <w:tblCellMar>
                  <w:top w:w="0" w:type="dxa"/>
                  <w:left w:w="108" w:type="dxa"/>
                  <w:bottom w:w="0" w:type="dxa"/>
                  <w:right w:w="108" w:type="dxa"/>
                </w:tblCellMar>
              </w:tblPrEx>
              <w:trPr>
                <w:trHeight w:val="446"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74B596E1">
                  <w:pPr>
                    <w:widowControl w:val="0"/>
                    <w:kinsoku/>
                    <w:autoSpaceDE/>
                    <w:autoSpaceDN/>
                    <w:adjustRightInd w:val="0"/>
                    <w:snapToGrid/>
                    <w:spacing w:line="360" w:lineRule="atLeast"/>
                    <w:jc w:val="center"/>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号球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F17B70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2B27ADAA">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00CD213">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4B89A54A">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4</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2324A9DE">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2E94A0EE">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792023A">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7</w:t>
                  </w:r>
                </w:p>
              </w:tc>
            </w:tr>
            <w:tr w14:paraId="4B63ADF1">
              <w:tblPrEx>
                <w:tblCellMar>
                  <w:top w:w="0" w:type="dxa"/>
                  <w:left w:w="108" w:type="dxa"/>
                  <w:bottom w:w="0" w:type="dxa"/>
                  <w:right w:w="108" w:type="dxa"/>
                </w:tblCellMar>
              </w:tblPrEx>
              <w:trPr>
                <w:trHeight w:val="460"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7FD2203B">
                  <w:pPr>
                    <w:widowControl w:val="0"/>
                    <w:kinsoku/>
                    <w:autoSpaceDE/>
                    <w:autoSpaceDN/>
                    <w:adjustRightInd w:val="0"/>
                    <w:snapToGrid/>
                    <w:spacing w:line="360" w:lineRule="atLeast"/>
                    <w:jc w:val="center"/>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下浮系数（%）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87F0FF6">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1.0</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1969A8E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01212E4">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1.2</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6607D721">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1.3</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66652926">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1.4</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7A7EAE6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BDDD000">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1.6</w:t>
                  </w:r>
                </w:p>
              </w:tc>
            </w:tr>
            <w:tr w14:paraId="1B4F4DBA">
              <w:tblPrEx>
                <w:tblCellMar>
                  <w:top w:w="0" w:type="dxa"/>
                  <w:left w:w="108" w:type="dxa"/>
                  <w:bottom w:w="0" w:type="dxa"/>
                  <w:right w:w="108" w:type="dxa"/>
                </w:tblCellMar>
              </w:tblPrEx>
              <w:trPr>
                <w:trHeight w:val="334"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4CC38C0A">
                  <w:pPr>
                    <w:widowControl w:val="0"/>
                    <w:kinsoku/>
                    <w:autoSpaceDE/>
                    <w:autoSpaceDN/>
                    <w:adjustRightInd w:val="0"/>
                    <w:snapToGrid/>
                    <w:spacing w:line="360" w:lineRule="atLeast"/>
                    <w:jc w:val="center"/>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号球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30D5CA7">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8</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522A1336">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9</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3357DF4">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10</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5606BDD0">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11</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32DFD773">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12</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04BE3E8">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13</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03A78FC">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14</w:t>
                  </w:r>
                </w:p>
              </w:tc>
            </w:tr>
            <w:tr w14:paraId="084BC913">
              <w:tblPrEx>
                <w:tblCellMar>
                  <w:top w:w="0" w:type="dxa"/>
                  <w:left w:w="108" w:type="dxa"/>
                  <w:bottom w:w="0" w:type="dxa"/>
                  <w:right w:w="108" w:type="dxa"/>
                </w:tblCellMar>
              </w:tblPrEx>
              <w:trPr>
                <w:trHeight w:val="368"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16A5160E">
                  <w:pPr>
                    <w:widowControl w:val="0"/>
                    <w:kinsoku/>
                    <w:autoSpaceDE/>
                    <w:autoSpaceDN/>
                    <w:adjustRightInd w:val="0"/>
                    <w:snapToGrid/>
                    <w:spacing w:line="360" w:lineRule="atLeast"/>
                    <w:jc w:val="center"/>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下浮系数（%）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F0C871D">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1.7</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090CFBCB">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1.8</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3445A01">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1.9</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4918B4DB">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2.0</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51309048">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2.1</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234683A1">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723C874">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2.3</w:t>
                  </w:r>
                </w:p>
              </w:tc>
            </w:tr>
            <w:tr w14:paraId="2CEB3C5E">
              <w:tblPrEx>
                <w:tblCellMar>
                  <w:top w:w="0" w:type="dxa"/>
                  <w:left w:w="108" w:type="dxa"/>
                  <w:bottom w:w="0" w:type="dxa"/>
                  <w:right w:w="108" w:type="dxa"/>
                </w:tblCellMar>
              </w:tblPrEx>
              <w:trPr>
                <w:trHeight w:val="373"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75CCD3EC">
                  <w:pPr>
                    <w:widowControl w:val="0"/>
                    <w:kinsoku/>
                    <w:autoSpaceDE/>
                    <w:autoSpaceDN/>
                    <w:adjustRightInd w:val="0"/>
                    <w:snapToGrid/>
                    <w:spacing w:line="360" w:lineRule="atLeast"/>
                    <w:jc w:val="center"/>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号球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C604E59">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15</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0E66E502">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16</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8B96DE2">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17</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2BC245B0">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18</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12ECC96E">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19</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B8368F4">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20</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727E09B">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21</w:t>
                  </w:r>
                </w:p>
              </w:tc>
            </w:tr>
            <w:tr w14:paraId="14A4B290">
              <w:tblPrEx>
                <w:tblCellMar>
                  <w:top w:w="0" w:type="dxa"/>
                  <w:left w:w="108" w:type="dxa"/>
                  <w:bottom w:w="0" w:type="dxa"/>
                  <w:right w:w="108" w:type="dxa"/>
                </w:tblCellMar>
              </w:tblPrEx>
              <w:trPr>
                <w:trHeight w:val="442"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74A763EB">
                  <w:pPr>
                    <w:widowControl w:val="0"/>
                    <w:kinsoku/>
                    <w:autoSpaceDE/>
                    <w:autoSpaceDN/>
                    <w:adjustRightInd w:val="0"/>
                    <w:snapToGrid/>
                    <w:spacing w:line="360" w:lineRule="atLeast"/>
                    <w:jc w:val="center"/>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下浮系数（%）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308F7C8">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2.4</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59131F78">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C83D669">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2.6</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36186FAE">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2.7</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5F38AFA1">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2.8</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AC89635">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2.9</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B775015">
                  <w:pPr>
                    <w:widowControl w:val="0"/>
                    <w:kinsoku/>
                    <w:wordWrap w:val="0"/>
                    <w:autoSpaceDE/>
                    <w:autoSpaceDN/>
                    <w:adjustRightInd w:val="0"/>
                    <w:snapToGrid w:val="0"/>
                    <w:spacing w:line="400" w:lineRule="exact"/>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3.0</w:t>
                  </w:r>
                </w:p>
              </w:tc>
            </w:tr>
          </w:tbl>
          <w:p w14:paraId="70556D9F">
            <w:pPr>
              <w:widowControl w:val="0"/>
              <w:kinsoku/>
              <w:autoSpaceDE/>
              <w:autoSpaceDN/>
              <w:adjustRightInd w:val="0"/>
              <w:snapToGrid/>
              <w:spacing w:line="360" w:lineRule="atLeast"/>
              <w:jc w:val="left"/>
              <w:textAlignment w:val="baseline"/>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（2）评标基准价D＝</w:t>
            </w:r>
            <w:r>
              <w:rPr>
                <w:rFonts w:hint="eastAsia" w:ascii="宋体" w:hAnsi="宋体" w:eastAsia="宋体" w:cs="宋体"/>
                <w:snapToGrid/>
                <w:color w:val="000000" w:themeColor="text1"/>
                <w:kern w:val="0"/>
                <w:sz w:val="21"/>
                <w:szCs w:val="21"/>
                <w:highlight w:val="none"/>
                <w:lang w:val="en-US" w:eastAsia="zh-CN"/>
                <w14:textFill>
                  <w14:solidFill>
                    <w14:schemeClr w14:val="tx1"/>
                  </w14:solidFill>
                </w14:textFill>
              </w:rPr>
              <w:t>最高投标限价</w:t>
            </w: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×（1－n）</w:t>
            </w:r>
          </w:p>
        </w:tc>
      </w:tr>
      <w:tr w14:paraId="3B7507FA">
        <w:tblPrEx>
          <w:tblCellMar>
            <w:top w:w="0" w:type="dxa"/>
            <w:left w:w="108" w:type="dxa"/>
            <w:bottom w:w="0" w:type="dxa"/>
            <w:right w:w="108" w:type="dxa"/>
          </w:tblCellMar>
        </w:tblPrEx>
        <w:trPr>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1BB2A350">
            <w:pPr>
              <w:widowControl w:val="0"/>
              <w:kinsoku/>
              <w:autoSpaceDE/>
              <w:autoSpaceDN/>
              <w:adjustRightInd w:val="0"/>
              <w:snapToGrid/>
              <w:spacing w:line="360" w:lineRule="atLeast"/>
              <w:jc w:val="center"/>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投标报价</w:t>
            </w:r>
          </w:p>
          <w:p w14:paraId="6EB4E84E">
            <w:pPr>
              <w:widowControl w:val="0"/>
              <w:kinsoku/>
              <w:autoSpaceDE/>
              <w:autoSpaceDN/>
              <w:adjustRightInd w:val="0"/>
              <w:snapToGrid/>
              <w:spacing w:line="360" w:lineRule="atLeast"/>
              <w:jc w:val="center"/>
              <w:textAlignment w:val="baseline"/>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得分N</w:t>
            </w:r>
          </w:p>
        </w:tc>
        <w:tc>
          <w:tcPr>
            <w:tcW w:w="9285" w:type="dxa"/>
            <w:gridSpan w:val="2"/>
            <w:tcBorders>
              <w:top w:val="single" w:color="auto" w:sz="4" w:space="0"/>
              <w:left w:val="single" w:color="auto" w:sz="4" w:space="0"/>
              <w:bottom w:val="single" w:color="auto" w:sz="4" w:space="0"/>
              <w:right w:val="single" w:color="auto" w:sz="4" w:space="0"/>
            </w:tcBorders>
            <w:noWrap w:val="0"/>
            <w:vAlign w:val="center"/>
          </w:tcPr>
          <w:p w14:paraId="3374F709">
            <w:pPr>
              <w:widowControl w:val="0"/>
              <w:kinsoku/>
              <w:autoSpaceDE/>
              <w:autoSpaceDN/>
              <w:adjustRightInd w:val="0"/>
              <w:snapToGrid/>
              <w:spacing w:line="360" w:lineRule="atLeast"/>
              <w:jc w:val="left"/>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采用内插法计算某投标人的投标报价得分N，即当投标人的投标总价等于评标基准价时得100分，每高于评标基准价一个百分点扣</w:t>
            </w:r>
            <w:r>
              <w:rPr>
                <w:rFonts w:hint="eastAsia" w:ascii="宋体" w:hAnsi="宋体" w:eastAsia="宋体" w:cs="宋体"/>
                <w:b/>
                <w:bCs/>
                <w:snapToGrid/>
                <w:color w:val="000000" w:themeColor="text1"/>
                <w:kern w:val="0"/>
                <w:sz w:val="21"/>
                <w:szCs w:val="21"/>
                <w:highlight w:val="none"/>
                <w:lang w:eastAsia="zh-CN"/>
                <w14:textFill>
                  <w14:solidFill>
                    <w14:schemeClr w14:val="tx1"/>
                  </w14:solidFill>
                </w14:textFill>
              </w:rPr>
              <w:t>1分</w:t>
            </w: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 每低于评标基准价一个百分点扣</w:t>
            </w:r>
            <w:r>
              <w:rPr>
                <w:rFonts w:hint="eastAsia" w:ascii="宋体" w:hAnsi="宋体" w:eastAsia="宋体" w:cs="宋体"/>
                <w:b/>
                <w:bCs/>
                <w:snapToGrid/>
                <w:color w:val="000000" w:themeColor="text1"/>
                <w:kern w:val="0"/>
                <w:sz w:val="21"/>
                <w:szCs w:val="21"/>
                <w:highlight w:val="none"/>
                <w:lang w:eastAsia="zh-CN"/>
                <w14:textFill>
                  <w14:solidFill>
                    <w14:schemeClr w14:val="tx1"/>
                  </w14:solidFill>
                </w14:textFill>
              </w:rPr>
              <w:t>0.5分</w:t>
            </w: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，扣完为止。公式如下：</w:t>
            </w:r>
          </w:p>
          <w:p w14:paraId="1C7D5612">
            <w:pPr>
              <w:widowControl w:val="0"/>
              <w:kinsoku/>
              <w:autoSpaceDE/>
              <w:autoSpaceDN/>
              <w:adjustRightInd w:val="0"/>
              <w:snapToGrid/>
              <w:spacing w:line="360" w:lineRule="atLeast"/>
              <w:jc w:val="left"/>
              <w:textAlignment w:val="baseline"/>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N＝100－（| Di－D | ÷D）×100×E</w:t>
            </w:r>
          </w:p>
          <w:p w14:paraId="44C3E3A3">
            <w:pPr>
              <w:widowControl w:val="0"/>
              <w:kinsoku/>
              <w:autoSpaceDE/>
              <w:autoSpaceDN/>
              <w:adjustRightInd w:val="0"/>
              <w:snapToGrid/>
              <w:spacing w:line="360" w:lineRule="atLeast"/>
              <w:jc w:val="left"/>
              <w:textAlignment w:val="baseline"/>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式中：D为评标基准价；Di为某投标人的投标总价；E为扣分因子，当Di＞D时，E＝</w:t>
            </w:r>
            <w:r>
              <w:rPr>
                <w:rFonts w:hint="eastAsia" w:ascii="宋体" w:hAnsi="宋体" w:eastAsia="宋体" w:cs="宋体"/>
                <w:b/>
                <w:bCs/>
                <w:snapToGrid/>
                <w:color w:val="000000" w:themeColor="text1"/>
                <w:kern w:val="0"/>
                <w:sz w:val="21"/>
                <w:szCs w:val="21"/>
                <w:highlight w:val="none"/>
                <w:lang w:eastAsia="zh-CN"/>
                <w14:textFill>
                  <w14:solidFill>
                    <w14:schemeClr w14:val="tx1"/>
                  </w14:solidFill>
                </w14:textFill>
              </w:rPr>
              <w:t>1</w:t>
            </w: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 xml:space="preserve"> ；当Di＜D时，E＝</w:t>
            </w:r>
            <w:r>
              <w:rPr>
                <w:rFonts w:hint="eastAsia" w:ascii="宋体" w:hAnsi="宋体" w:eastAsia="宋体" w:cs="宋体"/>
                <w:b/>
                <w:bCs/>
                <w:snapToGrid/>
                <w:color w:val="000000" w:themeColor="text1"/>
                <w:kern w:val="0"/>
                <w:sz w:val="21"/>
                <w:szCs w:val="21"/>
                <w:highlight w:val="none"/>
                <w:lang w:eastAsia="zh-CN"/>
                <w14:textFill>
                  <w14:solidFill>
                    <w14:schemeClr w14:val="tx1"/>
                  </w14:solidFill>
                </w14:textFill>
              </w:rPr>
              <w:t>0.5</w:t>
            </w:r>
            <w:r>
              <w:rPr>
                <w:rFonts w:hint="eastAsia" w:ascii="宋体" w:hAnsi="宋体" w:eastAsia="宋体" w:cs="宋体"/>
                <w:snapToGrid/>
                <w:color w:val="000000" w:themeColor="text1"/>
                <w:kern w:val="0"/>
                <w:sz w:val="21"/>
                <w:szCs w:val="21"/>
                <w:highlight w:val="none"/>
                <w:lang w:eastAsia="zh-CN"/>
                <w14:textFill>
                  <w14:solidFill>
                    <w14:schemeClr w14:val="tx1"/>
                  </w14:solidFill>
                </w14:textFill>
              </w:rPr>
              <w:t>。</w:t>
            </w:r>
          </w:p>
        </w:tc>
      </w:tr>
    </w:tbl>
    <w:p w14:paraId="3E3DF6AC">
      <w:pPr>
        <w:keepNext w:val="0"/>
        <w:keepLines w:val="0"/>
        <w:pageBreakBefore w:val="0"/>
        <w:wordWrap w:val="0"/>
        <w:overflowPunct/>
        <w:topLinePunct w:val="0"/>
        <w:bidi w:val="0"/>
        <w:spacing w:before="155" w:line="211" w:lineRule="auto"/>
        <w:ind w:firstLine="482" w:firstLineChars="200"/>
        <w:outlineLvl w:val="9"/>
        <w:rPr>
          <w:rFonts w:hint="eastAsia" w:ascii="宋体" w:hAnsi="宋体" w:eastAsia="宋体" w:cs="宋体"/>
          <w:color w:val="000000" w:themeColor="text1"/>
          <w:spacing w:val="0"/>
          <w:sz w:val="25"/>
          <w:szCs w:val="25"/>
          <w:highlight w:val="none"/>
          <w14:textFill>
            <w14:solidFill>
              <w14:schemeClr w14:val="tx1"/>
            </w14:solidFill>
          </w14:textFill>
        </w:rPr>
      </w:pPr>
      <w:bookmarkStart w:id="134" w:name="_Toc17436"/>
      <w:bookmarkStart w:id="135" w:name="_Toc9725"/>
      <w:bookmarkStart w:id="136" w:name="_Toc31744"/>
      <w:bookmarkStart w:id="137" w:name="_Toc5769"/>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15.5.2  </w:t>
      </w:r>
      <w:r>
        <w:rPr>
          <w:rFonts w:hint="eastAsia" w:ascii="宋体" w:hAnsi="宋体" w:eastAsia="宋体" w:cs="宋体"/>
          <w:color w:val="000000" w:themeColor="text1"/>
          <w:spacing w:val="0"/>
          <w:sz w:val="24"/>
          <w:szCs w:val="24"/>
          <w:highlight w:val="none"/>
          <w14:textFill>
            <w14:solidFill>
              <w14:schemeClr w14:val="tx1"/>
            </w14:solidFill>
          </w14:textFill>
        </w:rPr>
        <w:t>否决投标说明</w:t>
      </w:r>
      <w:bookmarkEnd w:id="134"/>
      <w:bookmarkEnd w:id="135"/>
      <w:bookmarkEnd w:id="136"/>
      <w:bookmarkEnd w:id="137"/>
    </w:p>
    <w:p w14:paraId="7A2EE53E">
      <w:pPr>
        <w:keepNext w:val="0"/>
        <w:keepLines w:val="0"/>
        <w:pageBreakBefore w:val="0"/>
        <w:wordWrap w:val="0"/>
        <w:overflowPunct/>
        <w:topLinePunct w:val="0"/>
        <w:bidi w:val="0"/>
        <w:spacing w:before="150" w:line="332" w:lineRule="auto"/>
        <w:ind w:left="10" w:right="195" w:firstLine="56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详细评审阶段否决投标的全部条件，在本章第四节“否决投标条件 ”第 4 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3E787E43">
      <w:pPr>
        <w:keepNext w:val="0"/>
        <w:keepLines w:val="0"/>
        <w:pageBreakBefore w:val="0"/>
        <w:wordWrap w:val="0"/>
        <w:overflowPunct/>
        <w:topLinePunct w:val="0"/>
        <w:bidi w:val="0"/>
        <w:spacing w:before="59" w:line="330" w:lineRule="auto"/>
        <w:ind w:left="10" w:right="195"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温馨提示</w:t>
      </w:r>
      <w:r>
        <w:rPr>
          <w:rFonts w:hint="eastAsia" w:ascii="宋体" w:hAnsi="宋体" w:eastAsia="宋体" w:cs="宋体"/>
          <w:b/>
          <w:bCs/>
          <w:color w:val="000000" w:themeColor="text1"/>
          <w:spacing w:val="0"/>
          <w:sz w:val="24"/>
          <w:szCs w:val="24"/>
          <w:highlight w:val="none"/>
          <w14:textFill>
            <w14:solidFill>
              <w14:schemeClr w14:val="tx1"/>
            </w14:solidFill>
          </w14:textFill>
        </w:rPr>
        <w:t>：投标人在详细评审阶段根据评分方法提供的佐证材料，其合法性、有效性和准确性不符合要求的，有关量化因素（或评分因素）的折算、调整（或评分）按相应量化标准（或评分标准）处理，但不否决投标。</w:t>
      </w:r>
    </w:p>
    <w:p w14:paraId="354AC629">
      <w:pPr>
        <w:wordWrap w:val="0"/>
        <w:spacing w:before="78" w:line="220" w:lineRule="auto"/>
        <w:ind w:left="496"/>
        <w:outlineLvl w:val="2"/>
        <w:rPr>
          <w:rFonts w:hint="eastAsia" w:ascii="宋体" w:hAnsi="宋体" w:eastAsia="宋体" w:cs="宋体"/>
          <w:color w:val="000000" w:themeColor="text1"/>
          <w:sz w:val="24"/>
          <w:szCs w:val="24"/>
          <w:highlight w:val="none"/>
          <w:lang w:eastAsia="zh-CN"/>
          <w14:textFill>
            <w14:solidFill>
              <w14:schemeClr w14:val="tx1"/>
            </w14:solidFill>
          </w14:textFill>
        </w:rPr>
      </w:pPr>
      <w:bookmarkStart w:id="138" w:name="bookmark137"/>
      <w:bookmarkEnd w:id="138"/>
      <w:bookmarkStart w:id="139" w:name="_Toc16384"/>
      <w:bookmarkStart w:id="140" w:name="_Toc18006"/>
      <w:bookmarkStart w:id="141" w:name="_Toc17694"/>
      <w:bookmarkStart w:id="142" w:name="_Toc13265"/>
      <w:r>
        <w:rPr>
          <w:rFonts w:hint="eastAsia" w:ascii="宋体" w:hAnsi="宋体" w:eastAsia="宋体" w:cs="宋体"/>
          <w:b/>
          <w:bCs/>
          <w:color w:val="000000" w:themeColor="text1"/>
          <w:sz w:val="24"/>
          <w:szCs w:val="24"/>
          <w:highlight w:val="none"/>
          <w:lang w:eastAsia="zh-CN"/>
          <w14:textFill>
            <w14:solidFill>
              <w14:schemeClr w14:val="tx1"/>
            </w14:solidFill>
          </w14:textFill>
        </w:rPr>
        <w:t>16 ．</w:t>
      </w:r>
      <w:bookmarkEnd w:id="139"/>
      <w:r>
        <w:rPr>
          <w:rFonts w:hint="eastAsia" w:ascii="宋体" w:hAnsi="宋体" w:eastAsia="宋体" w:cs="宋体"/>
          <w:b/>
          <w:bCs/>
          <w:color w:val="000000" w:themeColor="text1"/>
          <w:sz w:val="24"/>
          <w:szCs w:val="24"/>
          <w:highlight w:val="none"/>
          <w:lang w:eastAsia="zh-CN"/>
          <w14:textFill>
            <w14:solidFill>
              <w14:schemeClr w14:val="tx1"/>
            </w14:solidFill>
          </w14:textFill>
        </w:rPr>
        <w:t>评标结果公示</w:t>
      </w:r>
      <w:bookmarkEnd w:id="140"/>
      <w:bookmarkEnd w:id="141"/>
      <w:bookmarkEnd w:id="142"/>
    </w:p>
    <w:p w14:paraId="0018E5A6">
      <w:pPr>
        <w:wordWrap w:val="0"/>
        <w:spacing w:before="135" w:line="360" w:lineRule="auto"/>
        <w:ind w:left="2" w:right="105" w:firstLine="494"/>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 xml:space="preserve">16.1  </w:t>
      </w:r>
      <w:r>
        <w:rPr>
          <w:rFonts w:hint="eastAsia" w:ascii="宋体" w:hAnsi="宋体" w:eastAsia="宋体" w:cs="宋体"/>
          <w:color w:val="000000" w:themeColor="text1"/>
          <w:sz w:val="24"/>
          <w:szCs w:val="24"/>
          <w:highlight w:val="none"/>
          <w:lang w:eastAsia="zh-CN"/>
          <w14:textFill>
            <w14:solidFill>
              <w14:schemeClr w14:val="tx1"/>
            </w14:solidFill>
          </w14:textFill>
        </w:rPr>
        <w:t>招标人应当自收到评标报告之日起3个日历天内，在广东省招标投标监管网和全国公共资源交易平台（广东省·韶关市）上对定标候选人、评标情况予以公示，公示期不少于3个日历天。公示主要内容包括：</w:t>
      </w:r>
    </w:p>
    <w:p w14:paraId="6E8417CC">
      <w:pPr>
        <w:wordWrap w:val="0"/>
        <w:spacing w:before="135" w:line="360" w:lineRule="auto"/>
        <w:ind w:left="2" w:right="105" w:firstLine="494"/>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（1）定标候选人名称、投标报价、业绩、质量、工期、拟派驻招标项目管理机构人员信息等；</w:t>
      </w:r>
    </w:p>
    <w:p w14:paraId="1B3C16F2">
      <w:pPr>
        <w:wordWrap w:val="0"/>
        <w:spacing w:before="135" w:line="360" w:lineRule="auto"/>
        <w:ind w:left="479" w:leftChars="228" w:right="105"/>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（2）定标候选人按照招标文件要求承诺的项目负责人姓名及相关证书名称和编号；（3）响应招标文件要求的资格能力条件；</w:t>
      </w:r>
    </w:p>
    <w:p w14:paraId="40845CAE">
      <w:pPr>
        <w:wordWrap w:val="0"/>
        <w:spacing w:before="135" w:line="360" w:lineRule="auto"/>
        <w:ind w:left="479" w:leftChars="228" w:right="105"/>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（4）提出异议的渠道和方式；</w:t>
      </w:r>
    </w:p>
    <w:p w14:paraId="7E202C44">
      <w:pPr>
        <w:wordWrap w:val="0"/>
        <w:spacing w:before="135" w:line="360" w:lineRule="auto"/>
        <w:ind w:right="105" w:firstLine="480" w:firstLineChars="200"/>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（5）评标专家代码（评标专家姓名可用代码进行标示，如专家一、专家二等）及其对应的具体评标意见（含对否决投标人相关意见等）以及评标报告；</w:t>
      </w:r>
    </w:p>
    <w:p w14:paraId="430CA5E9">
      <w:pPr>
        <w:wordWrap w:val="0"/>
        <w:spacing w:before="135" w:line="360" w:lineRule="auto"/>
        <w:ind w:left="479" w:leftChars="228" w:right="105"/>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（6）投标文件；</w:t>
      </w:r>
    </w:p>
    <w:p w14:paraId="031C9164">
      <w:pPr>
        <w:wordWrap w:val="0"/>
        <w:spacing w:before="135" w:line="360" w:lineRule="auto"/>
        <w:ind w:left="479" w:leftChars="228" w:right="105"/>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（7）招标文件确认公示的其他内容。</w:t>
      </w:r>
    </w:p>
    <w:p w14:paraId="525B6BC8">
      <w:pPr>
        <w:keepNext w:val="0"/>
        <w:keepLines w:val="0"/>
        <w:pageBreakBefore w:val="0"/>
        <w:wordWrap w:val="0"/>
        <w:overflowPunct/>
        <w:topLinePunct w:val="0"/>
        <w:bidi w:val="0"/>
        <w:spacing w:before="135" w:line="316" w:lineRule="auto"/>
        <w:ind w:left="2" w:right="105" w:firstLine="494"/>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16.2</w:t>
      </w:r>
      <w:r>
        <w:rPr>
          <w:rFonts w:hint="eastAsia" w:ascii="宋体" w:hAnsi="宋体" w:eastAsia="宋体" w:cs="宋体"/>
          <w:color w:val="000000" w:themeColor="text1"/>
          <w:sz w:val="24"/>
          <w:szCs w:val="24"/>
          <w:highlight w:val="none"/>
          <w:lang w:eastAsia="zh-CN"/>
          <w14:textFill>
            <w14:solidFill>
              <w14:schemeClr w14:val="tx1"/>
            </w14:solidFill>
          </w14:textFill>
        </w:rPr>
        <w:t xml:space="preserve"> 投标人或其他利害关系人对定标候选人有异议的，应当在公示期内提出。异议及投诉处理，严格按照招标投标有关法律法规及《韶关市工程建设项目招标投标活动异议和投诉处理办法》的规定执行。招标人及其评标委员会发现招标投标活动存在违反法律法规规定的，由招标人向有关监管部门投诉。</w:t>
      </w:r>
    </w:p>
    <w:p w14:paraId="4AA593BC">
      <w:pPr>
        <w:keepNext w:val="0"/>
        <w:keepLines w:val="0"/>
        <w:pageBreakBefore w:val="0"/>
        <w:wordWrap w:val="0"/>
        <w:overflowPunct/>
        <w:topLinePunct w:val="0"/>
        <w:bidi w:val="0"/>
        <w:spacing w:before="135" w:line="316" w:lineRule="auto"/>
        <w:ind w:left="2" w:right="105" w:firstLine="494"/>
        <w:jc w:val="both"/>
        <w:rPr>
          <w:rFonts w:hint="eastAsia" w:ascii="宋体" w:hAnsi="宋体" w:eastAsia="宋体" w:cs="宋体"/>
          <w:color w:val="000000" w:themeColor="text1"/>
          <w:sz w:val="24"/>
          <w:szCs w:val="24"/>
          <w:highlight w:val="none"/>
          <w:lang w:eastAsia="zh-CN"/>
          <w14:textFill>
            <w14:solidFill>
              <w14:schemeClr w14:val="tx1"/>
            </w14:solidFill>
          </w14:textFill>
        </w:rPr>
      </w:pPr>
    </w:p>
    <w:p w14:paraId="0F1389C7">
      <w:pPr>
        <w:keepNext w:val="0"/>
        <w:keepLines w:val="0"/>
        <w:pageBreakBefore w:val="0"/>
        <w:wordWrap w:val="0"/>
        <w:overflowPunct/>
        <w:topLinePunct w:val="0"/>
        <w:bidi w:val="0"/>
        <w:spacing w:line="309" w:lineRule="auto"/>
        <w:rPr>
          <w:rFonts w:hint="eastAsia" w:ascii="宋体" w:hAnsi="宋体" w:eastAsia="宋体" w:cs="宋体"/>
          <w:color w:val="000000" w:themeColor="text1"/>
          <w:spacing w:val="0"/>
          <w:sz w:val="24"/>
          <w:szCs w:val="24"/>
          <w:highlight w:val="none"/>
          <w14:textFill>
            <w14:solidFill>
              <w14:schemeClr w14:val="tx1"/>
            </w14:solidFill>
          </w14:textFill>
        </w:rPr>
        <w:sectPr>
          <w:headerReference r:id="rId9" w:type="default"/>
          <w:footerReference r:id="rId10" w:type="default"/>
          <w:pgSz w:w="11906" w:h="16839"/>
          <w:pgMar w:top="1440" w:right="1253" w:bottom="1440" w:left="1253" w:header="0" w:footer="1020" w:gutter="0"/>
          <w:pgBorders>
            <w:top w:val="none" w:sz="0" w:space="0"/>
            <w:left w:val="none" w:sz="0" w:space="0"/>
            <w:bottom w:val="none" w:sz="0" w:space="0"/>
            <w:right w:val="none" w:sz="0" w:space="0"/>
          </w:pgBorders>
          <w:pgNumType w:fmt="decimal"/>
          <w:cols w:space="720" w:num="1"/>
          <w:rtlGutter w:val="0"/>
          <w:docGrid w:linePitch="0" w:charSpace="0"/>
        </w:sectPr>
      </w:pPr>
    </w:p>
    <w:p w14:paraId="4598D3DD">
      <w:pPr>
        <w:keepNext w:val="0"/>
        <w:keepLines w:val="0"/>
        <w:pageBreakBefore w:val="0"/>
        <w:wordWrap w:val="0"/>
        <w:overflowPunct/>
        <w:topLinePunct w:val="0"/>
        <w:bidi w:val="0"/>
        <w:spacing w:before="78" w:line="220" w:lineRule="auto"/>
        <w:ind w:left="9"/>
        <w:jc w:val="center"/>
        <w:outlineLvl w:val="1"/>
        <w:rPr>
          <w:rFonts w:hint="eastAsia" w:ascii="宋体" w:hAnsi="宋体" w:eastAsia="宋体" w:cs="宋体"/>
          <w:color w:val="000000" w:themeColor="text1"/>
          <w:spacing w:val="0"/>
          <w:sz w:val="24"/>
          <w:szCs w:val="24"/>
          <w:highlight w:val="none"/>
          <w14:textFill>
            <w14:solidFill>
              <w14:schemeClr w14:val="tx1"/>
            </w14:solidFill>
          </w14:textFill>
        </w:rPr>
      </w:pPr>
      <w:bookmarkStart w:id="143" w:name="bookmark138"/>
      <w:bookmarkEnd w:id="143"/>
      <w:bookmarkStart w:id="144" w:name="_Toc16450"/>
      <w:r>
        <w:rPr>
          <w:rFonts w:hint="eastAsia" w:ascii="宋体" w:hAnsi="宋体" w:eastAsia="宋体" w:cs="宋体"/>
          <w:b/>
          <w:bCs/>
          <w:color w:val="000000" w:themeColor="text1"/>
          <w:spacing w:val="0"/>
          <w:sz w:val="24"/>
          <w:szCs w:val="24"/>
          <w:highlight w:val="none"/>
          <w14:textFill>
            <w14:solidFill>
              <w14:schemeClr w14:val="tx1"/>
            </w14:solidFill>
          </w14:textFill>
        </w:rPr>
        <w:t>第四节</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否决投标条件</w:t>
      </w:r>
      <w:bookmarkEnd w:id="144"/>
    </w:p>
    <w:p w14:paraId="46F7EEA7">
      <w:pPr>
        <w:pStyle w:val="5"/>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highlight w:val="none"/>
          <w14:textFill>
            <w14:solidFill>
              <w14:schemeClr w14:val="tx1"/>
            </w14:solidFill>
          </w14:textFill>
        </w:rPr>
      </w:pPr>
    </w:p>
    <w:p w14:paraId="602D2B7C">
      <w:pPr>
        <w:keepNext w:val="0"/>
        <w:keepLines w:val="0"/>
        <w:pageBreakBefore w:val="0"/>
        <w:wordWrap w:val="0"/>
        <w:overflowPunct/>
        <w:topLinePunct w:val="0"/>
        <w:bidi w:val="0"/>
        <w:spacing w:before="78" w:line="330" w:lineRule="auto"/>
        <w:ind w:left="10" w:right="65"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本节所集中列示的否决投标条件，是本章第三节“投标人须知正文 ”的组成部分，是对本章第三节所规定的否决投标条件的总结和补充。</w:t>
      </w:r>
      <w:r>
        <w:rPr>
          <w:rFonts w:hint="eastAsia" w:ascii="宋体" w:hAnsi="宋体" w:eastAsia="宋体" w:cs="宋体"/>
          <w:b/>
          <w:bCs/>
          <w:color w:val="000000" w:themeColor="text1"/>
          <w:spacing w:val="0"/>
          <w:sz w:val="24"/>
          <w:szCs w:val="24"/>
          <w:highlight w:val="none"/>
          <w14:textFill>
            <w14:solidFill>
              <w14:schemeClr w14:val="tx1"/>
            </w14:solidFill>
          </w14:textFill>
        </w:rPr>
        <w:t>投标人未有列入本节情形的，评标时一律不得否决其投标。</w:t>
      </w:r>
      <w:r>
        <w:rPr>
          <w:rFonts w:hint="eastAsia" w:ascii="宋体" w:hAnsi="宋体" w:eastAsia="宋体" w:cs="宋体"/>
          <w:color w:val="000000" w:themeColor="text1"/>
          <w:spacing w:val="0"/>
          <w:sz w:val="24"/>
          <w:szCs w:val="24"/>
          <w:highlight w:val="none"/>
          <w14:textFill>
            <w14:solidFill>
              <w14:schemeClr w14:val="tx1"/>
            </w14:solidFill>
          </w14:textFill>
        </w:rPr>
        <w:t>本节所称“规定 ”均指招标文件的规定。</w:t>
      </w:r>
    </w:p>
    <w:p w14:paraId="112C2E94">
      <w:pPr>
        <w:keepNext w:val="0"/>
        <w:keepLines w:val="0"/>
        <w:pageBreakBefore w:val="0"/>
        <w:wordWrap w:val="0"/>
        <w:overflowPunct/>
        <w:topLinePunct w:val="0"/>
        <w:bidi w:val="0"/>
        <w:spacing w:before="34" w:line="220" w:lineRule="auto"/>
        <w:ind w:left="49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45" w:name="_Toc20652"/>
      <w:r>
        <w:rPr>
          <w:rFonts w:hint="eastAsia" w:ascii="宋体" w:hAnsi="宋体" w:eastAsia="宋体" w:cs="宋体"/>
          <w:b/>
          <w:bCs/>
          <w:color w:val="000000" w:themeColor="text1"/>
          <w:spacing w:val="0"/>
          <w:sz w:val="24"/>
          <w:szCs w:val="24"/>
          <w:highlight w:val="none"/>
          <w14:textFill>
            <w14:solidFill>
              <w14:schemeClr w14:val="tx1"/>
            </w14:solidFill>
          </w14:textFill>
        </w:rPr>
        <w:t>1 ．资格评审环节</w:t>
      </w:r>
      <w:bookmarkEnd w:id="145"/>
    </w:p>
    <w:p w14:paraId="74FEF03C">
      <w:pPr>
        <w:keepNext w:val="0"/>
        <w:keepLines w:val="0"/>
        <w:pageBreakBefore w:val="0"/>
        <w:wordWrap w:val="0"/>
        <w:overflowPunct/>
        <w:topLinePunct w:val="0"/>
        <w:bidi w:val="0"/>
        <w:spacing w:before="152" w:line="327" w:lineRule="auto"/>
        <w:ind w:left="13" w:right="65" w:firstLine="47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投标人有下列情形之一的，评标委员会应否决其投标。被否决的投标人，不进入形式评审环节。</w:t>
      </w:r>
    </w:p>
    <w:p w14:paraId="45FE5554">
      <w:pPr>
        <w:keepNext w:val="0"/>
        <w:keepLines w:val="0"/>
        <w:pageBreakBefore w:val="0"/>
        <w:wordWrap w:val="0"/>
        <w:overflowPunct/>
        <w:topLinePunct w:val="0"/>
        <w:bidi w:val="0"/>
        <w:spacing w:before="32" w:line="219" w:lineRule="auto"/>
        <w:ind w:left="5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（1）有本章第三节第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条“禁止投标条款 ”规定的任何一种情形；</w:t>
      </w:r>
    </w:p>
    <w:p w14:paraId="03414978">
      <w:pPr>
        <w:keepNext w:val="0"/>
        <w:keepLines w:val="0"/>
        <w:pageBreakBefore w:val="0"/>
        <w:wordWrap w:val="0"/>
        <w:overflowPunct/>
        <w:topLinePunct w:val="0"/>
        <w:bidi w:val="0"/>
        <w:spacing w:before="154" w:line="220" w:lineRule="auto"/>
        <w:ind w:left="5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（2）投标人资质不符合规定的；</w:t>
      </w:r>
    </w:p>
    <w:p w14:paraId="32EED32B">
      <w:pPr>
        <w:keepNext w:val="0"/>
        <w:keepLines w:val="0"/>
        <w:pageBreakBefore w:val="0"/>
        <w:wordWrap w:val="0"/>
        <w:overflowPunct/>
        <w:topLinePunct w:val="0"/>
        <w:bidi w:val="0"/>
        <w:spacing w:before="153" w:line="315" w:lineRule="auto"/>
        <w:ind w:right="57" w:firstLine="5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名称与营业执照、资质证书、安全生产许可证上的企业名称相互不一致的；其资质证书、安全生产许可证不是由住房城乡建设主管部门颁发的；营业执照、资质证书、安全生产许可证（含实时网页查询页，可参考网址 https://zlaq.mohurd.gov.cn/fwmh/bjxcjgl/fwmh/pages/construction_safety/qyaqscxkz/qyaqscxkz）被吊销、暂扣或不在有效期内的；</w:t>
      </w:r>
    </w:p>
    <w:p w14:paraId="0F2A74BC">
      <w:pPr>
        <w:keepNext w:val="0"/>
        <w:keepLines w:val="0"/>
        <w:pageBreakBefore w:val="0"/>
        <w:wordWrap w:val="0"/>
        <w:overflowPunct/>
        <w:topLinePunct w:val="0"/>
        <w:bidi w:val="0"/>
        <w:spacing w:before="153" w:line="330" w:lineRule="auto"/>
        <w:ind w:left="9" w:right="66"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43462506">
      <w:pPr>
        <w:keepNext w:val="0"/>
        <w:keepLines w:val="0"/>
        <w:pageBreakBefore w:val="0"/>
        <w:wordWrap w:val="0"/>
        <w:overflowPunct/>
        <w:topLinePunct w:val="0"/>
        <w:bidi w:val="0"/>
        <w:spacing w:before="32" w:line="325" w:lineRule="auto"/>
        <w:ind w:left="10" w:right="65" w:firstLine="490"/>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（4）拟派项目经理、项目技术负责人、专职安全员的条件不符合规定的；拟派专职安全员数量不符合规定的；项目技术负责人未在投标文件《项目技术负责人简历表》中签</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字确认。</w:t>
      </w:r>
    </w:p>
    <w:p w14:paraId="1444556B">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温馨提示：建造师打印电子证书后，应在个人签名处手写本人签名，未手写签名或与签名图像笔迹不一致的，该电子证书无效。</w:t>
      </w:r>
    </w:p>
    <w:p w14:paraId="4C6FF416">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项目经理简历表》中拟派项目经理与《开标一览表》不一致的；拟派的项目经理未在投标文件《项目经理简历表》中签字确认；一级建造师的注册证书不是国家住建部颁发的；二级建造师的电子注册证书不是省级住建厅颁发的；建造师的注册单位与投标人不一致的；项目管理班子组成人员的各类证书、证件、证明不在有效期内的（</w:t>
      </w:r>
      <w:r>
        <w:rPr>
          <w:rFonts w:hint="eastAsia" w:ascii="宋体" w:hAnsi="宋体" w:eastAsia="宋体" w:cs="宋体"/>
          <w:b/>
          <w:bCs/>
          <w:color w:val="000000" w:themeColor="text1"/>
          <w:spacing w:val="0"/>
          <w:sz w:val="24"/>
          <w:szCs w:val="24"/>
          <w:highlight w:val="none"/>
          <w14:textFill>
            <w14:solidFill>
              <w14:schemeClr w14:val="tx1"/>
            </w14:solidFill>
          </w14:textFill>
        </w:rPr>
        <w:t>建造师注册证书不在使用有效期内的</w:t>
      </w:r>
      <w:r>
        <w:rPr>
          <w:rFonts w:hint="eastAsia" w:ascii="宋体" w:hAnsi="宋体" w:eastAsia="宋体" w:cs="宋体"/>
          <w:color w:val="000000" w:themeColor="text1"/>
          <w:spacing w:val="0"/>
          <w:sz w:val="24"/>
          <w:szCs w:val="24"/>
          <w:highlight w:val="none"/>
          <w14:textFill>
            <w14:solidFill>
              <w14:schemeClr w14:val="tx1"/>
            </w14:solidFill>
          </w14:textFill>
        </w:rPr>
        <w:t>）；擅自修改、遗漏《项目经理任职声明》实质性内容的；</w:t>
      </w:r>
    </w:p>
    <w:p w14:paraId="798C8207">
      <w:pPr>
        <w:keepNext w:val="0"/>
        <w:keepLines w:val="0"/>
        <w:pageBreakBefore w:val="0"/>
        <w:wordWrap w:val="0"/>
        <w:overflowPunct/>
        <w:topLinePunct w:val="0"/>
        <w:bidi w:val="0"/>
        <w:spacing w:before="1" w:line="293" w:lineRule="auto"/>
        <w:ind w:left="28" w:right="66" w:firstLine="46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注：投标人已经工商变更，但其员工执业资格注册证书的注册单位名称未完成变更的，不得否决其投标。</w:t>
      </w:r>
    </w:p>
    <w:p w14:paraId="4F7B3592">
      <w:pPr>
        <w:keepNext w:val="0"/>
        <w:keepLines w:val="0"/>
        <w:pageBreakBefore w:val="0"/>
        <w:wordWrap w:val="0"/>
        <w:overflowPunct/>
        <w:topLinePunct w:val="0"/>
        <w:bidi w:val="0"/>
        <w:spacing w:before="153" w:line="330" w:lineRule="auto"/>
        <w:ind w:left="9" w:right="66" w:firstLine="480"/>
        <w:jc w:val="both"/>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146" w:name="OLE_LINK27"/>
      <w:r>
        <w:rPr>
          <w:rFonts w:hint="eastAsia" w:ascii="宋体" w:hAnsi="宋体" w:eastAsia="宋体" w:cs="宋体"/>
          <w:b/>
          <w:bCs/>
          <w:color w:val="000000" w:themeColor="text1"/>
          <w:spacing w:val="0"/>
          <w:sz w:val="24"/>
          <w:szCs w:val="24"/>
          <w:highlight w:val="none"/>
          <w14:textFill>
            <w14:solidFill>
              <w14:schemeClr w14:val="tx1"/>
            </w14:solidFill>
          </w14:textFill>
        </w:rPr>
        <w:t>鉴于目前继续教育开展的实际情况，建筑和市政工程施工现场专业人员（例如：施</w:t>
      </w:r>
      <w:bookmarkStart w:id="147" w:name="bookmark139"/>
      <w:bookmarkEnd w:id="147"/>
      <w:r>
        <w:rPr>
          <w:rFonts w:hint="eastAsia" w:ascii="宋体" w:hAnsi="宋体" w:eastAsia="宋体" w:cs="宋体"/>
          <w:b/>
          <w:bCs/>
          <w:color w:val="000000" w:themeColor="text1"/>
          <w:spacing w:val="0"/>
          <w:sz w:val="24"/>
          <w:szCs w:val="24"/>
          <w:highlight w:val="none"/>
          <w14:textFill>
            <w14:solidFill>
              <w14:schemeClr w14:val="tx1"/>
            </w14:solidFill>
          </w14:textFill>
        </w:rPr>
        <w:t>工员、质量员、材料员、资料员）的岗位证书或培训证书不审查其证书的有效期。</w:t>
      </w:r>
      <w:bookmarkEnd w:id="146"/>
    </w:p>
    <w:p w14:paraId="0F791476">
      <w:pPr>
        <w:keepNext w:val="0"/>
        <w:keepLines w:val="0"/>
        <w:pageBreakBefore w:val="0"/>
        <w:wordWrap w:val="0"/>
        <w:overflowPunct/>
        <w:topLinePunct w:val="0"/>
        <w:bidi w:val="0"/>
        <w:spacing w:before="146" w:line="220" w:lineRule="auto"/>
        <w:ind w:left="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（6）招标文件规定不接受联合体投标，但以联合体投标的；</w:t>
      </w:r>
    </w:p>
    <w:p w14:paraId="2C69257C">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（7）联合体投标，未提交《联合体协议书》的；擅自修改、遗漏《联合体协议书》实质性内容的；联合体成员的数量、资质不符合规定的；联合体成员同时以自己名义单独投标或者参加其他联合体投标的；</w:t>
      </w:r>
    </w:p>
    <w:p w14:paraId="50011199">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pacing w:val="0"/>
          <w:sz w:val="24"/>
          <w:szCs w:val="24"/>
          <w:highlight w:val="none"/>
          <w14:textFill>
            <w14:solidFill>
              <w14:schemeClr w14:val="tx1"/>
            </w14:solidFill>
          </w14:textFill>
        </w:rPr>
        <w:t>）投标人为外省建筑企业，但未提供“进粤企业和人员诚信信息登记平台 ”企业和拟派人员信息情况打印页或网页截图的。</w:t>
      </w:r>
    </w:p>
    <w:p w14:paraId="4A7BFED6">
      <w:pPr>
        <w:keepNext w:val="0"/>
        <w:keepLines w:val="0"/>
        <w:pageBreakBefore w:val="0"/>
        <w:wordWrap w:val="0"/>
        <w:overflowPunct/>
        <w:topLinePunct w:val="0"/>
        <w:bidi w:val="0"/>
        <w:spacing w:before="154" w:line="221" w:lineRule="auto"/>
        <w:ind w:left="477"/>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48" w:name="_Toc32536"/>
      <w:r>
        <w:rPr>
          <w:rFonts w:hint="eastAsia" w:ascii="宋体" w:hAnsi="宋体" w:eastAsia="宋体" w:cs="宋体"/>
          <w:b/>
          <w:bCs/>
          <w:color w:val="000000" w:themeColor="text1"/>
          <w:spacing w:val="0"/>
          <w:sz w:val="24"/>
          <w:szCs w:val="24"/>
          <w:highlight w:val="none"/>
          <w14:textFill>
            <w14:solidFill>
              <w14:schemeClr w14:val="tx1"/>
            </w14:solidFill>
          </w14:textFill>
        </w:rPr>
        <w:t>2 ．形式评审环节</w:t>
      </w:r>
      <w:bookmarkEnd w:id="148"/>
    </w:p>
    <w:p w14:paraId="33654F10">
      <w:pPr>
        <w:keepNext w:val="0"/>
        <w:keepLines w:val="0"/>
        <w:pageBreakBefore w:val="0"/>
        <w:wordWrap w:val="0"/>
        <w:overflowPunct/>
        <w:topLinePunct w:val="0"/>
        <w:bidi w:val="0"/>
        <w:spacing w:before="151" w:line="327" w:lineRule="auto"/>
        <w:ind w:right="200" w:firstLine="48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投标人有下列情形之一的，评标委员会应否决其投标。被否决的投标人，不进入响应性评审环节。</w:t>
      </w:r>
    </w:p>
    <w:p w14:paraId="4BAC9BEA">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（1）各分册没按招标文件规定加盖电子印章；</w:t>
      </w:r>
    </w:p>
    <w:p w14:paraId="6E2B21D1">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（2）本章第三节第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10.2.2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目、第 </w:t>
      </w:r>
      <w:r>
        <w:rPr>
          <w:rFonts w:hint="eastAsia" w:ascii="宋体" w:hAnsi="宋体" w:eastAsia="宋体" w:cs="宋体"/>
          <w:b/>
          <w:bCs/>
          <w:color w:val="000000" w:themeColor="text1"/>
          <w:spacing w:val="0"/>
          <w:sz w:val="24"/>
          <w:szCs w:val="24"/>
          <w:highlight w:val="none"/>
          <w14:textFill>
            <w14:solidFill>
              <w14:schemeClr w14:val="tx1"/>
            </w14:solidFill>
          </w14:textFill>
        </w:rPr>
        <w:t>10.3.2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目、第 </w:t>
      </w:r>
      <w:r>
        <w:rPr>
          <w:rFonts w:hint="eastAsia" w:ascii="宋体" w:hAnsi="宋体" w:eastAsia="宋体" w:cs="宋体"/>
          <w:b/>
          <w:bCs/>
          <w:color w:val="000000" w:themeColor="text1"/>
          <w:spacing w:val="0"/>
          <w:sz w:val="24"/>
          <w:szCs w:val="24"/>
          <w:highlight w:val="none"/>
          <w14:textFill>
            <w14:solidFill>
              <w14:schemeClr w14:val="tx1"/>
            </w14:solidFill>
          </w14:textFill>
        </w:rPr>
        <w:t>10.4.3</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目中规定的“所有投标人均应提供 ”的组成内容（包括该组成内容的所附资料）中，任何一项有缺漏的；</w:t>
      </w:r>
    </w:p>
    <w:p w14:paraId="36D3CEC6">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关键字迹模糊、无法辨认，且该种过错将导致评标委员会无法判断投标文件是否响应招标文件实质性要求的；有涂改、行间插字或删除，但未加盖单位章或由投标人的法定代表人或其委托代理人签字确认的；</w:t>
      </w:r>
    </w:p>
    <w:p w14:paraId="5FFF89B9">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（4）投标文件未按规定签字、盖章的。</w:t>
      </w:r>
    </w:p>
    <w:p w14:paraId="707E04F7">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（5）招标文件规定施工组织设计采用“暗标 ”方式进行评审，但施工组织设计的规格颜色、文字排版、正文篇幅（若有）不符合规定的；其任何部位出现手写以及涂改、 行间插字或删除痕迹的；其任何部位出现投标人的名称和其它可识别投标人身份的字符、徽标、人员名称以及其他特殊标记的。</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（本次招标项目不适用）</w:t>
      </w:r>
    </w:p>
    <w:p w14:paraId="1C64F3A3">
      <w:pPr>
        <w:keepNext w:val="0"/>
        <w:keepLines w:val="0"/>
        <w:pageBreakBefore w:val="0"/>
        <w:wordWrap w:val="0"/>
        <w:overflowPunct/>
        <w:topLinePunct w:val="0"/>
        <w:bidi w:val="0"/>
        <w:spacing w:before="227" w:line="221" w:lineRule="auto"/>
        <w:ind w:left="47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49" w:name="_Toc25928"/>
      <w:r>
        <w:rPr>
          <w:rFonts w:hint="eastAsia" w:ascii="宋体" w:hAnsi="宋体" w:eastAsia="宋体" w:cs="宋体"/>
          <w:b/>
          <w:bCs/>
          <w:color w:val="000000" w:themeColor="text1"/>
          <w:spacing w:val="0"/>
          <w:sz w:val="24"/>
          <w:szCs w:val="24"/>
          <w:highlight w:val="none"/>
          <w14:textFill>
            <w14:solidFill>
              <w14:schemeClr w14:val="tx1"/>
            </w14:solidFill>
          </w14:textFill>
        </w:rPr>
        <w:t>3 ．响应性评审环节</w:t>
      </w:r>
      <w:bookmarkEnd w:id="149"/>
    </w:p>
    <w:p w14:paraId="023371C4">
      <w:pPr>
        <w:keepNext w:val="0"/>
        <w:keepLines w:val="0"/>
        <w:pageBreakBefore w:val="0"/>
        <w:wordWrap w:val="0"/>
        <w:overflowPunct/>
        <w:topLinePunct w:val="0"/>
        <w:bidi w:val="0"/>
        <w:spacing w:before="151" w:line="327" w:lineRule="auto"/>
        <w:ind w:left="1" w:right="200" w:firstLine="4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投标人有下列情形之一的，评标委员会应否决其投标。被否决的投标人，不进入详细评审阶段。</w:t>
      </w:r>
    </w:p>
    <w:p w14:paraId="039432FC">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（1）承诺的投标有效期短于规定的；质量标准低于规定的；工期超出规定的；擅自修改、遗漏《投标函》《各项承诺一览表》实质性内容的；</w:t>
      </w:r>
    </w:p>
    <w:p w14:paraId="3A9ED79E">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（2）编制《投标总价》的造价工程师，其注册证书不是</w:t>
      </w:r>
      <w:r>
        <w:rPr>
          <w:rFonts w:hint="eastAsia" w:ascii="宋体" w:hAnsi="宋体" w:eastAsia="宋体" w:cs="宋体"/>
          <w:b/>
          <w:bCs/>
          <w:color w:val="000000" w:themeColor="text1"/>
          <w:spacing w:val="0"/>
          <w:sz w:val="24"/>
          <w:szCs w:val="24"/>
          <w:highlight w:val="none"/>
          <w14:textFill>
            <w14:solidFill>
              <w14:schemeClr w14:val="tx1"/>
            </w14:solidFill>
          </w14:textFill>
        </w:rPr>
        <w:t>住建部门</w:t>
      </w:r>
      <w:r>
        <w:rPr>
          <w:rFonts w:hint="eastAsia" w:ascii="宋体" w:hAnsi="宋体" w:eastAsia="宋体" w:cs="宋体"/>
          <w:color w:val="000000" w:themeColor="text1"/>
          <w:spacing w:val="0"/>
          <w:sz w:val="24"/>
          <w:szCs w:val="24"/>
          <w:highlight w:val="none"/>
          <w14:textFill>
            <w14:solidFill>
              <w14:schemeClr w14:val="tx1"/>
            </w14:solidFill>
          </w14:textFill>
        </w:rPr>
        <w:t>颁发的；其注册单位与投标人（或造价咨询人）不一致的；其注册证书不在有效期内的。</w:t>
      </w:r>
    </w:p>
    <w:p w14:paraId="7EBE7469">
      <w:pPr>
        <w:keepNext w:val="0"/>
        <w:keepLines w:val="0"/>
        <w:pageBreakBefore w:val="0"/>
        <w:wordWrap w:val="0"/>
        <w:overflowPunct/>
        <w:topLinePunct w:val="0"/>
        <w:bidi w:val="0"/>
        <w:spacing w:before="156" w:line="329" w:lineRule="auto"/>
        <w:ind w:right="200" w:firstLine="480"/>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注：投标人（或造价咨询人）已经工商变更，但其员工的执业资格注册证书的注册单位名称未完成变更的，不得否决其投标。</w:t>
      </w:r>
    </w:p>
    <w:p w14:paraId="70E2ADFC">
      <w:pPr>
        <w:keepNext w:val="0"/>
        <w:keepLines w:val="0"/>
        <w:pageBreakBefore w:val="0"/>
        <w:wordWrap w:val="0"/>
        <w:overflowPunct/>
        <w:topLinePunct w:val="0"/>
        <w:bidi w:val="0"/>
        <w:spacing w:before="78" w:line="299" w:lineRule="auto"/>
        <w:ind w:left="2" w:right="81" w:firstLine="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（3）投标人委托造价咨询单位编制《投标总价》，但未在《投标总价扉页》“投标人”栏目加盖造价咨询人公章的；未提供造价咨询人的营业执照副本彩色扫描件；</w:t>
      </w:r>
    </w:p>
    <w:p w14:paraId="05BC2C53">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（4）出现两个或两个以上投标总价的（同一个投标总价大、小写不一致的除外）；投标总价超出</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少于规定的；暂列金额、暂估价未按照招标工程量清单统一报价的；投标总价下浮率超过 15%，又未提供相应书面说明和佐证材料或提供的书面说明和佐证材料不能令人信服，被评标委员会认定以低于成本报价竞标的；擅自修改、增减招标工程量清单项目（包括措施项目）的；</w:t>
      </w:r>
    </w:p>
    <w:p w14:paraId="62906720">
      <w:pPr>
        <w:keepNext w:val="0"/>
        <w:keepLines w:val="0"/>
        <w:pageBreakBefore w:val="0"/>
        <w:wordWrap w:val="0"/>
        <w:overflowPunct/>
        <w:topLinePunct w:val="0"/>
        <w:bidi w:val="0"/>
        <w:spacing w:before="156" w:line="299" w:lineRule="auto"/>
        <w:ind w:right="8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（5）在施工组织设计评审中，评标委员会认定质量、进度保障措施与国家和省市现行有关规范、规定、标准有重大偏差，</w:t>
      </w:r>
      <w:r>
        <w:rPr>
          <w:rFonts w:hint="eastAsia" w:ascii="宋体" w:hAnsi="宋体" w:eastAsia="宋体" w:cs="宋体"/>
          <w:b/>
          <w:bCs/>
          <w:color w:val="000000" w:themeColor="text1"/>
          <w:spacing w:val="0"/>
          <w:sz w:val="24"/>
          <w:szCs w:val="24"/>
          <w:highlight w:val="none"/>
          <w14:textFill>
            <w14:solidFill>
              <w14:schemeClr w14:val="tx1"/>
            </w14:solidFill>
          </w14:textFill>
        </w:rPr>
        <w:t>且该种过错将导致工程质量、进度管理目标无法实现的</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0DBFDD7A">
      <w:pPr>
        <w:keepNext w:val="0"/>
        <w:keepLines w:val="0"/>
        <w:pageBreakBefore w:val="0"/>
        <w:wordWrap w:val="0"/>
        <w:overflowPunct/>
        <w:topLinePunct w:val="0"/>
        <w:bidi w:val="0"/>
        <w:spacing w:before="151" w:line="221" w:lineRule="auto"/>
        <w:ind w:left="47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50" w:name="_Toc27917"/>
      <w:r>
        <w:rPr>
          <w:rFonts w:hint="eastAsia" w:ascii="宋体" w:hAnsi="宋体" w:eastAsia="宋体" w:cs="宋体"/>
          <w:b/>
          <w:bCs/>
          <w:color w:val="000000" w:themeColor="text1"/>
          <w:spacing w:val="0"/>
          <w:sz w:val="24"/>
          <w:szCs w:val="24"/>
          <w:highlight w:val="none"/>
          <w14:textFill>
            <w14:solidFill>
              <w14:schemeClr w14:val="tx1"/>
            </w14:solidFill>
          </w14:textFill>
        </w:rPr>
        <w:t>4 ．其他</w:t>
      </w:r>
      <w:bookmarkEnd w:id="150"/>
    </w:p>
    <w:p w14:paraId="1DB8C9BB">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在任何评标环节（或阶段），投标人有下列情形之一的，评标委员会应否决其投标。 被否决的投标人，不进入下一环节（或阶段）。</w:t>
      </w:r>
    </w:p>
    <w:p w14:paraId="0CA58726">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（1）不按评标委员会要求澄清、说明或补正的；</w:t>
      </w:r>
    </w:p>
    <w:p w14:paraId="0D1C3C0F">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（2）有下列情形之一，被评标委员会认定属于串通投标的：</w:t>
      </w:r>
    </w:p>
    <w:p w14:paraId="66C929C2">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①不同投标人的投标文件两处以上（含两处）错、漏一致；</w:t>
      </w:r>
    </w:p>
    <w:p w14:paraId="6D5FB77A">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②不同投标人的投标总价相近且各分项报价、综合单价分析表内容混乱不能相互对应、乱调乱压或乱抬的，而在询标时没有合理的解释或者不能提供计算依据和报价依据；</w:t>
      </w:r>
    </w:p>
    <w:p w14:paraId="22325080">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③不同投标人的投标各项报价存在异常一致或者呈规律性变化；</w:t>
      </w:r>
    </w:p>
    <w:p w14:paraId="36C4CB17">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④不同投标人的投标文件由同一单位或者同一个人编制；</w:t>
      </w:r>
    </w:p>
    <w:p w14:paraId="1A519F59">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⑤不同投标人的投标文件中投标资料（包括电子资料）相互混装或项目班子成员出现同一人；</w:t>
      </w:r>
    </w:p>
    <w:p w14:paraId="2D971149">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⑥不同投标人的投标文件由同一电脑编制或同一台附属设备打印，或投标报价用同一个预算编制软件密码锁制作或出自同一电子文档；</w:t>
      </w:r>
    </w:p>
    <w:p w14:paraId="3D4E49BC">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⑦不同投标人的投标保证由同一企业或同一账户资金缴纳；</w:t>
      </w:r>
    </w:p>
    <w:p w14:paraId="16BEF131">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⑧不同投标人委托同一个人或注册在同一家企业的注册人员或同一家企业为其投标提供投标咨询、商务报价、技术咨询（招标项目本身要求采用专有技术的除外）等服务。</w:t>
      </w:r>
    </w:p>
    <w:p w14:paraId="72728FDA">
      <w:pPr>
        <w:pStyle w:val="24"/>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451E5D4B">
      <w:pPr>
        <w:keepNext w:val="0"/>
        <w:keepLines w:val="0"/>
        <w:pageBreakBefore w:val="0"/>
        <w:wordWrap w:val="0"/>
        <w:overflowPunct/>
        <w:topLinePunct w:val="0"/>
        <w:bidi w:val="0"/>
        <w:spacing w:line="299"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F20CA48">
      <w:pPr>
        <w:tabs>
          <w:tab w:val="left" w:pos="885"/>
        </w:tabs>
        <w:kinsoku/>
        <w:autoSpaceDE/>
        <w:autoSpaceDN/>
        <w:adjustRightInd/>
        <w:spacing w:line="360" w:lineRule="auto"/>
        <w:jc w:val="both"/>
        <w:outlineLvl w:val="1"/>
        <w:rPr>
          <w:rStyle w:val="26"/>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bookmarkStart w:id="151" w:name="bookmark57"/>
      <w:bookmarkEnd w:id="151"/>
      <w:bookmarkStart w:id="152" w:name="_Toc28716"/>
      <w:bookmarkStart w:id="153" w:name="_Toc15025"/>
      <w:bookmarkStart w:id="154" w:name="_Toc366"/>
      <w:r>
        <w:rPr>
          <w:rStyle w:val="26"/>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第五节 定标规定及细则（本项目采用票决数量法定标）</w:t>
      </w:r>
      <w:bookmarkEnd w:id="152"/>
      <w:bookmarkEnd w:id="153"/>
      <w:bookmarkEnd w:id="154"/>
    </w:p>
    <w:p w14:paraId="140003FA">
      <w:pPr>
        <w:kinsoku/>
        <w:autoSpaceDE/>
        <w:autoSpaceDN/>
        <w:adjustRightInd/>
        <w:snapToGrid/>
        <w:spacing w:line="360" w:lineRule="auto"/>
        <w:ind w:firstLine="482" w:firstLineChars="200"/>
        <w:jc w:val="both"/>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t>1.确定定标会时间</w:t>
      </w:r>
    </w:p>
    <w:p w14:paraId="34D97AFA">
      <w:pPr>
        <w:kinsoku/>
        <w:autoSpaceDE/>
        <w:autoSpaceDN/>
        <w:adjustRightInd/>
        <w:snapToGrid/>
        <w:spacing w:line="360" w:lineRule="auto"/>
        <w:ind w:firstLine="480" w:firstLineChars="200"/>
        <w:jc w:val="both"/>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定标会由招标人组织，原则上应当在定标候选人公示结束后5个工作日内进入韶关市公共资源交易中心召开定标会议。定标会议全过程录音录像。不能按时定标的，应通过广东省招标投标监管网和全国公共资源交易平台（广东省·韶关市）公布延期原因和最终定标时间。若招标人需要对定标候选人或拟派项目负责人进行考察的，定标时间可以适当延迟，但延迟一般不超过 3 个工作日。</w:t>
      </w:r>
    </w:p>
    <w:p w14:paraId="7E570950">
      <w:pPr>
        <w:kinsoku/>
        <w:autoSpaceDE/>
        <w:autoSpaceDN/>
        <w:adjustRightInd/>
        <w:snapToGrid/>
        <w:spacing w:line="360" w:lineRule="auto"/>
        <w:ind w:firstLine="482" w:firstLineChars="200"/>
        <w:jc w:val="both"/>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t>2.定标委员会</w:t>
      </w:r>
    </w:p>
    <w:p w14:paraId="53C3C234">
      <w:pPr>
        <w:kinsoku/>
        <w:autoSpaceDE/>
        <w:autoSpaceDN/>
        <w:adjustRightInd/>
        <w:snapToGrid/>
        <w:spacing w:line="360" w:lineRule="auto"/>
        <w:ind w:firstLine="480" w:firstLineChars="200"/>
        <w:jc w:val="both"/>
        <w:rPr>
          <w:rStyle w:val="26"/>
          <w:rFonts w:ascii="宋体" w:hAnsi="宋体" w:eastAsia="宋体" w:cs="宋体"/>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2.1</w:t>
      </w:r>
      <w:r>
        <w:rPr>
          <w:rStyle w:val="26"/>
          <w:rFonts w:hint="eastAsia" w:ascii="宋体" w:hAnsi="宋体" w:eastAsia="宋体" w:cs="宋体"/>
          <w:snapToGrid/>
          <w:color w:val="000000" w:themeColor="text1"/>
          <w:sz w:val="24"/>
          <w:szCs w:val="24"/>
          <w:highlight w:val="none"/>
          <w:lang w:val="en-US" w:eastAsia="zh-CN"/>
          <w14:textFill>
            <w14:solidFill>
              <w14:schemeClr w14:val="tx1"/>
            </w14:solidFill>
          </w14:textFill>
        </w:rPr>
        <w:t>定标委员会实行招标人负责制，由招标人的法定代表人或者主要负责人负责组建和管理。定标委员会的组成方式和人员由招标人自行确定，成员原则上从招标人、项目业主、代建管理机构或者使用单位的领导班子成员、经营管理人员，或具备中级及以上职称、具有注册职业资格证的工程技术（经济）人员中产生，以上人员难以满足时也可从广东省综合评标评审专家库抽取补足（从广东省综合评标评审专家库抽取补足的专家人数最多为2人），成员数量为7人以上单数，定标委员会成员数量在本投标人须知前附表中约定。定标委员会应当推荐定标组长，招标人（不含代理机构）的法定代表人或者主要负责人参加定标委员会的，由其直接担任定标委员会组长。定标委员会名单在中标结果公告前应当保密。</w:t>
      </w:r>
    </w:p>
    <w:p w14:paraId="74FF2747">
      <w:pPr>
        <w:kinsoku/>
        <w:autoSpaceDE/>
        <w:autoSpaceDN/>
        <w:adjustRightInd/>
        <w:snapToGrid/>
        <w:spacing w:line="360" w:lineRule="auto"/>
        <w:ind w:firstLine="480" w:firstLineChars="200"/>
        <w:jc w:val="both"/>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0E760EF2">
      <w:pPr>
        <w:kinsoku/>
        <w:autoSpaceDE/>
        <w:autoSpaceDN/>
        <w:adjustRightInd/>
        <w:snapToGrid/>
        <w:spacing w:line="360" w:lineRule="auto"/>
        <w:ind w:firstLine="480" w:firstLineChars="200"/>
        <w:jc w:val="both"/>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3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6E17EF85">
      <w:pPr>
        <w:kinsoku/>
        <w:autoSpaceDE/>
        <w:autoSpaceDN/>
        <w:adjustRightInd/>
        <w:snapToGrid/>
        <w:spacing w:line="360" w:lineRule="auto"/>
        <w:ind w:firstLine="482" w:firstLineChars="200"/>
        <w:jc w:val="both"/>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t>3.组建招标监督小组</w:t>
      </w:r>
    </w:p>
    <w:p w14:paraId="720AAF51">
      <w:pPr>
        <w:kinsoku/>
        <w:autoSpaceDE/>
        <w:autoSpaceDN/>
        <w:adjustRightInd/>
        <w:snapToGrid/>
        <w:spacing w:line="360" w:lineRule="auto"/>
        <w:ind w:firstLine="480" w:firstLineChars="200"/>
        <w:jc w:val="both"/>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招标人应及时组建招标监督小组，招标监督小组原则上由不少于3人组成，人员可由招标人直接委派，也可以从招标人的上级主管单位、项目业主单位、使用单位等补充委派，并确定一名组长负责统筹监督工作。同一人不得同时担任定标委员会成员和招标监督小组成员中的两个角色。招标监督小组的职责是对定标委员会的组建、定标过程及招标人在定标前的清标环节和对定标候选人的考察等进行全程监督，确保定标过程公正、公平。发现异常情况及时提醒、进行纠正，但不得就定标涉及的实质内容发表意见或者参与定标讨论。</w:t>
      </w:r>
    </w:p>
    <w:p w14:paraId="684CB560">
      <w:pPr>
        <w:kinsoku/>
        <w:autoSpaceDE/>
        <w:autoSpaceDN/>
        <w:adjustRightInd/>
        <w:snapToGrid/>
        <w:spacing w:line="360" w:lineRule="auto"/>
        <w:ind w:firstLine="482" w:firstLineChars="200"/>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t>4.定标办法</w:t>
      </w:r>
    </w:p>
    <w:p w14:paraId="3A8DFE5F">
      <w:pPr>
        <w:kinsoku/>
        <w:autoSpaceDE/>
        <w:autoSpaceDN/>
        <w:adjustRightInd/>
        <w:snapToGrid/>
        <w:spacing w:line="360" w:lineRule="auto"/>
        <w:ind w:firstLine="482" w:firstLineChars="200"/>
        <w:jc w:val="both"/>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bookmarkStart w:id="155" w:name="OLE_LINK3"/>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本项目</w:t>
      </w:r>
      <w:bookmarkEnd w:id="155"/>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采用票决数量法定标。</w:t>
      </w:r>
    </w:p>
    <w:p w14:paraId="5693A3B1">
      <w:pPr>
        <w:kinsoku/>
        <w:autoSpaceDE/>
        <w:autoSpaceDN/>
        <w:adjustRightInd/>
        <w:snapToGrid/>
        <w:spacing w:line="360" w:lineRule="auto"/>
        <w:ind w:firstLine="482" w:firstLineChars="200"/>
        <w:jc w:val="both"/>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t>5.定标细则</w:t>
      </w:r>
    </w:p>
    <w:p w14:paraId="345E502E">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5.1票决数量法程序</w:t>
      </w:r>
    </w:p>
    <w:p w14:paraId="704CC2EF">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定标委员会根据定标因素对定标候选人进行评审比较后，每名定标委员会成员</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有且仅有投出1票的权利，1票只能投1名定标候选人，根据</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票决</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数量</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排名确定中标候选人</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的</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排序。即各定标委员会成员对定标候选人进行投票，按得票高低排序的前三名</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确定</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中标候选人</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的排序</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若第一轮投票中有得票相同且影响中标候选人排序确定的，由定标委员会对总票数相同的单位进行再次票决确定排序,直至决出排序的前三名中标候选人。</w:t>
      </w:r>
    </w:p>
    <w:p w14:paraId="0440E13F">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票决采用</w:t>
      </w:r>
      <w:r>
        <w:rPr>
          <w:rFonts w:hint="eastAsia" w:ascii="宋体" w:hAnsi="宋体" w:eastAsia="宋体" w:cs="宋体"/>
          <w:b/>
          <w:bCs/>
          <w:snapToGrid/>
          <w:color w:val="000000" w:themeColor="text1"/>
          <w:kern w:val="2"/>
          <w:sz w:val="24"/>
          <w:szCs w:val="24"/>
          <w:highlight w:val="none"/>
          <w:shd w:val="clear" w:color="auto" w:fill="FFFFFF"/>
          <w:lang w:eastAsia="zh-CN"/>
          <w14:textFill>
            <w14:solidFill>
              <w14:schemeClr w14:val="tx1"/>
            </w14:solidFill>
          </w14:textFill>
        </w:rPr>
        <w:t>记名方式</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并注明</w:t>
      </w:r>
      <w:r>
        <w:rPr>
          <w:rFonts w:hint="eastAsia" w:ascii="宋体" w:hAnsi="宋体" w:eastAsia="宋体" w:cs="宋体"/>
          <w:b/>
          <w:bCs/>
          <w:snapToGrid/>
          <w:color w:val="000000" w:themeColor="text1"/>
          <w:kern w:val="2"/>
          <w:sz w:val="24"/>
          <w:szCs w:val="24"/>
          <w:highlight w:val="none"/>
          <w:shd w:val="clear" w:color="auto" w:fill="FFFFFF"/>
          <w:lang w:eastAsia="zh-CN"/>
          <w14:textFill>
            <w14:solidFill>
              <w14:schemeClr w14:val="tx1"/>
            </w14:solidFill>
          </w14:textFill>
        </w:rPr>
        <w:t>投票理由</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w:t>
      </w:r>
    </w:p>
    <w:p w14:paraId="69B9C108">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shd w:val="clear" w:color="auto" w:fill="FFFFFF"/>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5.1.1.</w:t>
      </w:r>
      <w:r>
        <w:rPr>
          <w:rFonts w:hint="eastAsia" w:ascii="宋体" w:hAnsi="宋体" w:eastAsia="宋体" w:cs="宋体"/>
          <w:b/>
          <w:bCs/>
          <w:snapToGrid/>
          <w:color w:val="000000" w:themeColor="text1"/>
          <w:kern w:val="2"/>
          <w:sz w:val="24"/>
          <w:szCs w:val="24"/>
          <w:highlight w:val="none"/>
          <w:shd w:val="clear" w:color="auto" w:fill="FFFFFF"/>
          <w:lang w:eastAsia="zh-CN"/>
          <w14:textFill>
            <w14:solidFill>
              <w14:schemeClr w14:val="tx1"/>
            </w14:solidFill>
          </w14:textFill>
        </w:rPr>
        <w:t>项目情况介绍</w:t>
      </w:r>
    </w:p>
    <w:p w14:paraId="500EA449">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招标人代表介绍项目的概况及招标要求，以及定标方法与定标工作规则，不得发表具有倾向性的言论。</w:t>
      </w:r>
    </w:p>
    <w:p w14:paraId="32132C59">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5.1.2.</w:t>
      </w:r>
      <w:r>
        <w:rPr>
          <w:rFonts w:hint="eastAsia" w:ascii="宋体" w:hAnsi="宋体" w:eastAsia="宋体" w:cs="宋体"/>
          <w:b/>
          <w:bCs/>
          <w:snapToGrid/>
          <w:color w:val="000000" w:themeColor="text1"/>
          <w:kern w:val="2"/>
          <w:sz w:val="24"/>
          <w:szCs w:val="24"/>
          <w:highlight w:val="none"/>
          <w:shd w:val="clear" w:color="auto" w:fill="FFFFFF"/>
          <w:lang w:eastAsia="zh-CN"/>
          <w14:textFill>
            <w14:solidFill>
              <w14:schemeClr w14:val="tx1"/>
            </w14:solidFill>
          </w14:textFill>
        </w:rPr>
        <w:t>审阅定标资料</w:t>
      </w:r>
    </w:p>
    <w:p w14:paraId="44EFA81D">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定标委员会成员对各定标候选人的投标文件进行审阅，审阅内容主要是定标工作规则所规定的定标因素，聚焦于项目需求与候选人能力的匹配度</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w:t>
      </w:r>
    </w:p>
    <w:p w14:paraId="1B34CBBC">
      <w:pPr>
        <w:shd w:val="clear" w:color="auto" w:fill="FFFFFF"/>
        <w:kinsoku/>
        <w:autoSpaceDE/>
        <w:autoSpaceDN/>
        <w:adjustRightInd/>
        <w:snapToGrid/>
        <w:spacing w:line="360" w:lineRule="exact"/>
        <w:ind w:firstLine="482" w:firstLineChars="200"/>
        <w:jc w:val="both"/>
        <w:textAlignment w:val="auto"/>
        <w:rPr>
          <w:rFonts w:hint="eastAsia" w:ascii="宋体" w:hAnsi="宋体" w:eastAsia="宋体" w:cs="宋体"/>
          <w:b/>
          <w:bCs/>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5.1.3.</w:t>
      </w:r>
      <w:r>
        <w:rPr>
          <w:rFonts w:hint="eastAsia" w:ascii="宋体" w:hAnsi="宋体" w:eastAsia="宋体" w:cs="宋体"/>
          <w:b/>
          <w:bCs/>
          <w:color w:val="000000" w:themeColor="text1"/>
          <w:sz w:val="24"/>
          <w:szCs w:val="24"/>
          <w:highlight w:val="none"/>
          <w:shd w:val="clear" w:color="auto" w:fill="FFFFFF"/>
          <w:lang w:eastAsia="zh-CN"/>
          <w14:textFill>
            <w14:solidFill>
              <w14:schemeClr w14:val="tx1"/>
            </w14:solidFill>
          </w14:textFill>
        </w:rPr>
        <w:t>疑问澄清</w:t>
      </w:r>
    </w:p>
    <w:p w14:paraId="79AB07BE">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定标会议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6424A569">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5.1.4.投票，收票，点票和汇总</w:t>
      </w:r>
    </w:p>
    <w:p w14:paraId="38692718">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定标委员会成员按照</w:t>
      </w: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票决数量法</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定标</w:t>
      </w: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办</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法程序，根据公平、公正、择优原则，独立完成票决后，统一由定标工作人员收集、清点，并对票数进行汇总排名。得票相同且影响中标候选人排序确定的，可由定标委员会对总票数相同的单位进行再次票决确定排序。</w:t>
      </w:r>
    </w:p>
    <w:p w14:paraId="2FEF72FF">
      <w:pPr>
        <w:widowControl w:val="0"/>
        <w:kinsoku/>
        <w:autoSpaceDE/>
        <w:autoSpaceDN/>
        <w:adjustRightInd/>
        <w:snapToGrid/>
        <w:spacing w:line="400" w:lineRule="exact"/>
        <w:ind w:firstLine="482" w:firstLineChars="200"/>
        <w:jc w:val="both"/>
        <w:textAlignment w:val="auto"/>
        <w:rPr>
          <w:rFonts w:hint="eastAsia" w:ascii="宋体" w:hAnsi="宋体" w:eastAsia="宋体" w:cs="宋体"/>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5.1.5.公布结果和出具定标报告</w:t>
      </w:r>
    </w:p>
    <w:p w14:paraId="59162899">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Cs/>
          <w:snapToGrid/>
          <w:color w:val="000000" w:themeColor="text1"/>
          <w:kern w:val="2"/>
          <w:sz w:val="24"/>
          <w:szCs w:val="24"/>
          <w:highlight w:val="none"/>
          <w:lang w:eastAsia="zh-CN"/>
          <w14:textFill>
            <w14:solidFill>
              <w14:schemeClr w14:val="tx1"/>
            </w14:solidFill>
          </w14:textFill>
        </w:rPr>
        <w:t>点票工作完成后，定标委员会组长汇总定标结果，编制定标报告，确定中标候选人，全体成员签名。</w:t>
      </w:r>
    </w:p>
    <w:p w14:paraId="4155CD7C">
      <w:pPr>
        <w:shd w:val="clear" w:color="auto" w:fill="FFFFFF"/>
        <w:kinsoku/>
        <w:autoSpaceDE/>
        <w:autoSpaceDN/>
        <w:adjustRightInd/>
        <w:snapToGrid/>
        <w:spacing w:line="360" w:lineRule="exact"/>
        <w:ind w:left="420" w:leftChars="200"/>
        <w:jc w:val="both"/>
        <w:textAlignment w:val="auto"/>
        <w:rPr>
          <w:rFonts w:hint="eastAsia" w:ascii="宋体" w:hAnsi="宋体" w:eastAsia="宋体" w:cs="宋体"/>
          <w:b/>
          <w:bCs/>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5.1.6.</w:t>
      </w:r>
      <w:r>
        <w:rPr>
          <w:rFonts w:hint="eastAsia" w:ascii="宋体" w:hAnsi="宋体" w:eastAsia="宋体" w:cs="宋体"/>
          <w:b/>
          <w:bCs/>
          <w:color w:val="000000" w:themeColor="text1"/>
          <w:sz w:val="24"/>
          <w:szCs w:val="24"/>
          <w:highlight w:val="none"/>
          <w:shd w:val="clear" w:color="auto" w:fill="FFFFFF"/>
          <w:lang w:eastAsia="zh-CN"/>
          <w14:textFill>
            <w14:solidFill>
              <w14:schemeClr w14:val="tx1"/>
            </w14:solidFill>
          </w14:textFill>
        </w:rPr>
        <w:t>全程监督</w:t>
      </w:r>
    </w:p>
    <w:p w14:paraId="4F73540D">
      <w:pPr>
        <w:widowControl w:val="0"/>
        <w:kinsoku/>
        <w:autoSpaceDE/>
        <w:autoSpaceDN/>
        <w:adjustRightInd/>
        <w:snapToGrid/>
        <w:spacing w:line="400" w:lineRule="exact"/>
        <w:ind w:firstLine="480" w:firstLineChars="200"/>
        <w:jc w:val="both"/>
        <w:textAlignment w:val="auto"/>
        <w:rPr>
          <w:rFonts w:hint="eastAsia" w:ascii="宋体" w:hAnsi="宋体" w:eastAsia="宋体" w:cs="宋体"/>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Cs/>
          <w:snapToGrid/>
          <w:color w:val="000000" w:themeColor="text1"/>
          <w:kern w:val="2"/>
          <w:sz w:val="24"/>
          <w:szCs w:val="24"/>
          <w:highlight w:val="none"/>
          <w:lang w:eastAsia="zh-CN"/>
          <w14:textFill>
            <w14:solidFill>
              <w14:schemeClr w14:val="tx1"/>
            </w14:solidFill>
          </w14:textFill>
        </w:rPr>
        <w:t>招标监督小组对定标会议的全过程进行监督，确保程序合规、记录完整，结论形成过程公正、透明。</w:t>
      </w:r>
    </w:p>
    <w:p w14:paraId="157B35CE">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5.2定标因素</w:t>
      </w:r>
    </w:p>
    <w:p w14:paraId="72CF9F9A">
      <w:pPr>
        <w:widowControl w:val="0"/>
        <w:kinsoku/>
        <w:autoSpaceDE/>
        <w:autoSpaceDN/>
        <w:adjustRightInd/>
        <w:snapToGrid/>
        <w:spacing w:line="400" w:lineRule="exact"/>
        <w:ind w:firstLine="480" w:firstLineChars="200"/>
        <w:jc w:val="both"/>
        <w:textAlignment w:val="auto"/>
        <w:rPr>
          <w:rFonts w:hint="eastAsia" w:ascii="宋体" w:hAnsi="宋体" w:eastAsia="宋体" w:cs="宋体"/>
          <w:i/>
          <w:i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在同等条件下，择优的定标因素和相对标准有以下几个方面：</w:t>
      </w:r>
    </w:p>
    <w:p w14:paraId="4496004D">
      <w:pPr>
        <w:widowControl w:val="0"/>
        <w:kinsoku/>
        <w:autoSpaceDE/>
        <w:autoSpaceDN/>
        <w:adjustRightInd/>
        <w:snapToGrid/>
        <w:spacing w:line="400" w:lineRule="exact"/>
        <w:ind w:firstLine="482"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（1）拟派团队管理能力与水平（履约能力）</w:t>
      </w:r>
    </w:p>
    <w:p w14:paraId="66B68022">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相对标准：拟派团队管理能力与水平（履约能力）强的定标候选人优于拟派团队管理能力与水平（履约能力）一般的定标候选人。</w:t>
      </w:r>
    </w:p>
    <w:p w14:paraId="4A0B512F">
      <w:pPr>
        <w:widowControl w:val="0"/>
        <w:kinsoku/>
        <w:autoSpaceDE/>
        <w:autoSpaceDN/>
        <w:adjustRightInd/>
        <w:snapToGrid/>
        <w:spacing w:line="400" w:lineRule="exact"/>
        <w:ind w:firstLine="482"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（2）企业信誉</w:t>
      </w:r>
    </w:p>
    <w:p w14:paraId="7D6987F2">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相对标准：企业信誉评价好的定标候选人优于企业信誉评价一般的定标候选人。</w:t>
      </w:r>
    </w:p>
    <w:p w14:paraId="72003E28">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（3）企业实力</w:t>
      </w:r>
    </w:p>
    <w:p w14:paraId="7F5DD8C9">
      <w:pPr>
        <w:widowControl w:val="0"/>
        <w:kinsoku/>
        <w:autoSpaceDE/>
        <w:autoSpaceDN/>
        <w:adjustRightInd/>
        <w:snapToGrid/>
        <w:spacing w:line="400" w:lineRule="exact"/>
        <w:ind w:firstLine="480"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相对标准：企业实力强的定标候选人优于企业实力弱的定标候选人（结合定标候选人提交的证明材料进行评审）。</w:t>
      </w:r>
    </w:p>
    <w:p w14:paraId="7B4A332C">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（4）评标报告</w:t>
      </w:r>
    </w:p>
    <w:p w14:paraId="0D2CE095">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0DCAD98F">
      <w:pPr>
        <w:widowControl w:val="0"/>
        <w:kinsoku/>
        <w:autoSpaceDE/>
        <w:autoSpaceDN/>
        <w:adjustRightInd/>
        <w:snapToGrid/>
        <w:spacing w:line="400" w:lineRule="exact"/>
        <w:ind w:firstLine="482"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（5）农民工工资保障情况</w:t>
      </w:r>
    </w:p>
    <w:p w14:paraId="70264F51">
      <w:pPr>
        <w:widowControl w:val="0"/>
        <w:kinsoku/>
        <w:autoSpaceDE/>
        <w:autoSpaceDN/>
        <w:adjustRightInd/>
        <w:snapToGrid/>
        <w:spacing w:line="400" w:lineRule="exact"/>
        <w:ind w:firstLine="480" w:firstLineChars="200"/>
        <w:jc w:val="both"/>
        <w:textAlignment w:val="auto"/>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相对标准：农民工工资保障情况好的定标候选人优于农民工工资保障情况差的定标候选人（结合</w:t>
      </w: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定标候选人提交的证明材料和招标人查询的材料进行评审）。</w:t>
      </w:r>
    </w:p>
    <w:p w14:paraId="57A215DA">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6.定标结果公示</w:t>
      </w:r>
    </w:p>
    <w:p w14:paraId="28860487">
      <w:pPr>
        <w:widowControl w:val="0"/>
        <w:kinsoku/>
        <w:autoSpaceDE/>
        <w:autoSpaceDN/>
        <w:adjustRightInd/>
        <w:snapToGrid/>
        <w:spacing w:line="400" w:lineRule="exact"/>
        <w:ind w:firstLine="480" w:firstLineChars="200"/>
        <w:jc w:val="both"/>
        <w:textAlignment w:val="auto"/>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招标人应当自收到定标报告之日起3个日历天内，在广东省招标投标监管网和全国公共资源交易平台（广东省·韶关市）上公示，公示时间不少于3个日历天，招标人及行政监督主管部门按照有关法律法规处理有关异议投诉。公示主要内容包括：定标报告（定标成员信息除外）、</w:t>
      </w:r>
      <w:r>
        <w:rPr>
          <w:rStyle w:val="26"/>
          <w:rFonts w:hint="eastAsia" w:ascii="宋体" w:hAnsi="宋体" w:eastAsia="宋体" w:cs="宋体"/>
          <w:snapToGrid/>
          <w:color w:val="000000" w:themeColor="text1"/>
          <w:sz w:val="24"/>
          <w:szCs w:val="24"/>
          <w:highlight w:val="none"/>
          <w:lang w:val="en-US" w:eastAsia="zh-CN"/>
          <w14:textFill>
            <w14:solidFill>
              <w14:schemeClr w14:val="tx1"/>
            </w14:solidFill>
          </w14:textFill>
        </w:rPr>
        <w:t>中标候选人名单</w:t>
      </w: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w:t>
      </w:r>
      <w:r>
        <w:rPr>
          <w:rStyle w:val="26"/>
          <w:rFonts w:hint="eastAsia" w:ascii="宋体" w:hAnsi="宋体" w:eastAsia="宋体" w:cs="宋体"/>
          <w:snapToGrid/>
          <w:color w:val="000000" w:themeColor="text1"/>
          <w:sz w:val="24"/>
          <w:szCs w:val="24"/>
          <w:highlight w:val="none"/>
          <w:lang w:val="en-US" w:eastAsia="zh-CN"/>
          <w14:textFill>
            <w14:solidFill>
              <w14:schemeClr w14:val="tx1"/>
            </w14:solidFill>
          </w14:textFill>
        </w:rPr>
        <w:t>投标报</w:t>
      </w: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价和拟投入本项目的项目负责人、技术负责人及各专业负责人（如有）等内容。</w:t>
      </w:r>
    </w:p>
    <w:p w14:paraId="0B89A205">
      <w:pPr>
        <w:tabs>
          <w:tab w:val="left" w:pos="885"/>
        </w:tabs>
        <w:kinsoku/>
        <w:autoSpaceDE/>
        <w:autoSpaceDN/>
        <w:adjustRightInd/>
        <w:spacing w:line="360" w:lineRule="auto"/>
        <w:jc w:val="both"/>
        <w:rPr>
          <w:rStyle w:val="26"/>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bookmarkStart w:id="156" w:name="_Toc209"/>
      <w:bookmarkStart w:id="157" w:name="_Toc13023"/>
    </w:p>
    <w:p w14:paraId="522A5B12">
      <w:pPr>
        <w:tabs>
          <w:tab w:val="left" w:pos="885"/>
        </w:tabs>
        <w:kinsoku/>
        <w:autoSpaceDE/>
        <w:autoSpaceDN/>
        <w:adjustRightInd/>
        <w:spacing w:line="360" w:lineRule="auto"/>
        <w:jc w:val="both"/>
        <w:outlineLvl w:val="1"/>
        <w:rPr>
          <w:rStyle w:val="26"/>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bookmarkStart w:id="158" w:name="_Toc5550"/>
      <w:bookmarkStart w:id="159" w:name="_Toc10012"/>
      <w:r>
        <w:rPr>
          <w:rStyle w:val="26"/>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第六节 中标确认</w:t>
      </w:r>
      <w:bookmarkEnd w:id="156"/>
      <w:bookmarkEnd w:id="157"/>
      <w:bookmarkEnd w:id="158"/>
      <w:bookmarkEnd w:id="159"/>
    </w:p>
    <w:p w14:paraId="1D3E4A27">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1.中标人确定</w:t>
      </w:r>
    </w:p>
    <w:p w14:paraId="33C89CE9">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 xml:space="preserve">1.1 </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中标人确定。定标结果公示期满无异议的，招标人确认排名第一的中标候选人为中标人，中标人的投标报价即为中标价。</w:t>
      </w:r>
    </w:p>
    <w:p w14:paraId="55B5EC46">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 xml:space="preserve">1.2 </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中标人确定后，招标人应当在中标人确定之日起七日内向中标人发出中标通知书并将中标结果通知其他投标人。</w:t>
      </w: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在中标通知书发出后</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五日</w:t>
      </w: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内，将投标保证金及银行同期存款利息退回中标候选人以外的投标人，在书面合同订立之日起五日内将投标保证金及银行同期存款利息退回中标人和其他中标候选人。</w:t>
      </w: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w:t>
      </w:r>
      <w:r>
        <w:rPr>
          <w:rFonts w:hint="eastAsia" w:ascii="宋体" w:hAnsi="宋体" w:eastAsia="宋体" w:cs="宋体"/>
          <w:b/>
          <w:bCs/>
          <w:snapToGrid/>
          <w:color w:val="000000" w:themeColor="text1"/>
          <w:sz w:val="24"/>
          <w:szCs w:val="24"/>
          <w:highlight w:val="none"/>
          <w:shd w:val="clear" w:color="auto" w:fill="FFFFFF"/>
          <w:lang w:val="en-US" w:eastAsia="zh-CN"/>
          <w14:textFill>
            <w14:solidFill>
              <w14:schemeClr w14:val="tx1"/>
            </w14:solidFill>
          </w14:textFill>
        </w:rPr>
        <w:t>具体投标保证金退回按韶关市公共资源交易中心相应规定操作</w:t>
      </w: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w:t>
      </w:r>
    </w:p>
    <w:p w14:paraId="4958ED93">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1.3 中标通知书发出后15日内，招标人应将中标结果在广东省招标投标监管网、全国公共资源交易平台（广东省·韶关市）进行公示。招标人应当自确定中标人之日起15日内，向有关招标管理部门提交招标投标情况的书面报告。</w:t>
      </w:r>
    </w:p>
    <w:p w14:paraId="11EE4655">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2.异议和投诉</w:t>
      </w:r>
    </w:p>
    <w:p w14:paraId="736BE44F">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2.1 投标人或者其他利害关系人对招标项目的评标和定标结果有异议的，应当在定标候选人和定标结果公示期间按规定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582E75B5">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2.2在定标候选人和定标结果公示期间有关评审结果的异议成立的，招标人原则上应当组织原评标委员会和原定标委员会对有关的问题予以纠正，问题纠正后再公示定标候选人和</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定标结果</w:t>
      </w: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w:t>
      </w:r>
    </w:p>
    <w:p w14:paraId="632F45B6">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2.3投标人或其他利害关系人认为招标投标活动不符合法律、行政法规规定的，可以自知道或者应当知道之日起10日内按规定向有关招标管理部门投诉。投诉应当有明确的请求和必要的证明材料。招标管理部门应当自收到投诉之日起30个工作日内作出书面处理决定。</w:t>
      </w:r>
    </w:p>
    <w:p w14:paraId="142EE43A">
      <w:pPr>
        <w:widowControl w:val="0"/>
        <w:kinsoku/>
        <w:adjustRightInd/>
        <w:snapToGrid/>
        <w:spacing w:line="340" w:lineRule="exact"/>
        <w:ind w:firstLine="482" w:firstLineChars="200"/>
        <w:jc w:val="both"/>
        <w:textAlignment w:val="auto"/>
        <w:rPr>
          <w:rFonts w:hint="eastAsia" w:ascii="宋体" w:hAnsi="宋体" w:eastAsia="宋体" w:cs="宋体"/>
          <w:b/>
          <w:bCs/>
          <w:i/>
          <w:color w:val="000000" w:themeColor="text1"/>
          <w:sz w:val="24"/>
          <w:szCs w:val="24"/>
          <w:highlight w:val="none"/>
          <w:lang w:eastAsia="zh-CN"/>
          <w14:textFill>
            <w14:solidFill>
              <w14:schemeClr w14:val="tx1"/>
            </w14:solidFill>
          </w14:textFill>
        </w:rPr>
      </w:pPr>
      <w:bookmarkStart w:id="160" w:name="_Toc236550039"/>
      <w:r>
        <w:rPr>
          <w:rStyle w:val="19"/>
          <w:rFonts w:hint="eastAsia" w:ascii="宋体" w:hAnsi="宋体" w:eastAsia="宋体" w:cs="宋体"/>
          <w:b/>
          <w:bCs/>
          <w:i w:val="0"/>
          <w:color w:val="000000" w:themeColor="text1"/>
          <w:kern w:val="2"/>
          <w:sz w:val="24"/>
          <w:szCs w:val="24"/>
          <w:highlight w:val="none"/>
          <w:lang w:eastAsia="zh-CN"/>
          <w14:textFill>
            <w14:solidFill>
              <w14:schemeClr w14:val="tx1"/>
            </w14:solidFill>
          </w14:textFill>
        </w:rPr>
        <w:t>3．废除授标</w:t>
      </w:r>
      <w:bookmarkEnd w:id="160"/>
      <w:r>
        <w:rPr>
          <w:rStyle w:val="19"/>
          <w:rFonts w:hint="eastAsia" w:ascii="宋体" w:hAnsi="宋体" w:eastAsia="宋体" w:cs="宋体"/>
          <w:b/>
          <w:bCs/>
          <w:i w:val="0"/>
          <w:color w:val="000000" w:themeColor="text1"/>
          <w:kern w:val="2"/>
          <w:sz w:val="24"/>
          <w:szCs w:val="24"/>
          <w:highlight w:val="none"/>
          <w:lang w:eastAsia="zh-CN"/>
          <w14:textFill>
            <w14:solidFill>
              <w14:schemeClr w14:val="tx1"/>
            </w14:solidFill>
          </w14:textFill>
        </w:rPr>
        <w:t>及授标</w:t>
      </w:r>
    </w:p>
    <w:p w14:paraId="46A85D10">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3.1评定标完成后，中标人有下列情形之一的，招标人应按规定取消中标人资格或废除授标：</w:t>
      </w:r>
    </w:p>
    <w:p w14:paraId="7B86979C">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（1）以他人名义投标或者以其他方式弄虚作假骗取中标的；</w:t>
      </w:r>
    </w:p>
    <w:p w14:paraId="7CD8292B">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（2）与其他投标人串通投标或以行贿的手段谋取中标的；</w:t>
      </w:r>
    </w:p>
    <w:p w14:paraId="6EC6EE2B">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（3）不是从本投标企业基本账户提交投标担保或以虚假方式提交投标保证金保函（保单）的；</w:t>
      </w:r>
    </w:p>
    <w:p w14:paraId="2C4E77D9">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（4）中标人于投标有效期终止之前撤回投标文件，或者放弃中标资格的；</w:t>
      </w:r>
    </w:p>
    <w:p w14:paraId="0B9C8FD8">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（5）因中标人过错而未能按照规定与招标人签订工程承包合同或中标人因不可抗力提出不能履行合同的；</w:t>
      </w:r>
    </w:p>
    <w:p w14:paraId="538352D2">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（6）因中标人过错而未能按照招标文件要求向招标人提交履约担保的；</w:t>
      </w:r>
    </w:p>
    <w:p w14:paraId="36D0E8E9">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（7）中标单位拟派的项目负责人从投标截止时间起在其他建设工程担任项目负责人；</w:t>
      </w:r>
    </w:p>
    <w:p w14:paraId="499CDD63">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（8）中标人被有关部门查实存在影响中标结果的违法行为，不符合中标条件的；</w:t>
      </w:r>
    </w:p>
    <w:p w14:paraId="6C763D5B">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（9）中标人在参加本项目投标时有本企业投标承诺书所列被依法限制或暂停承揽业务或停业的处罚的；</w:t>
      </w:r>
    </w:p>
    <w:p w14:paraId="155DAA55">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（10）招标文件明确规定可以废除授标的其他情形。</w:t>
      </w:r>
    </w:p>
    <w:p w14:paraId="06D3F036">
      <w:pPr>
        <w:widowControl w:val="0"/>
        <w:kinsoku/>
        <w:autoSpaceDE/>
        <w:autoSpaceDN/>
        <w:adjustRightInd/>
        <w:snapToGrid/>
        <w:spacing w:line="400" w:lineRule="exact"/>
        <w:ind w:firstLine="480" w:firstLineChars="200"/>
        <w:jc w:val="both"/>
        <w:textAlignment w:val="auto"/>
        <w:rPr>
          <w:rFonts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 xml:space="preserve">3.2 </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0CC023F3">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3.3 招标人有下列情形之一的，应依法承担相应的责任：</w:t>
      </w:r>
    </w:p>
    <w:p w14:paraId="22806163">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（1）无正当理由不发出中标通知书的；</w:t>
      </w:r>
    </w:p>
    <w:p w14:paraId="524FFCC1">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（2）招标人不按照规定确定中标人的；</w:t>
      </w:r>
    </w:p>
    <w:p w14:paraId="194C0673">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（3）中标通知书发出后无正当理由改变中标结果的；</w:t>
      </w:r>
    </w:p>
    <w:p w14:paraId="5152CF18">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（4）无正当理由不与中标人签订工程承包合同的；</w:t>
      </w:r>
    </w:p>
    <w:p w14:paraId="506DE973">
      <w:pPr>
        <w:keepNext w:val="0"/>
        <w:keepLines w:val="0"/>
        <w:pageBreakBefore w:val="0"/>
        <w:wordWrap w:val="0"/>
        <w:overflowPunct/>
        <w:topLinePunct w:val="0"/>
        <w:bidi w:val="0"/>
        <w:spacing w:before="78" w:line="219" w:lineRule="auto"/>
        <w:ind w:firstLine="480" w:firstLineChars="200"/>
        <w:outlineLvl w:val="9"/>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（5）在签订工程承包合同时向中标人提出附加条件或者更改合同实质性内容的。</w:t>
      </w:r>
    </w:p>
    <w:p w14:paraId="59129807">
      <w:pPr>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5FFFBA50">
      <w:pPr>
        <w:keepNext w:val="0"/>
        <w:keepLines w:val="0"/>
        <w:pageBreakBefore w:val="0"/>
        <w:wordWrap w:val="0"/>
        <w:overflowPunct/>
        <w:topLinePunct w:val="0"/>
        <w:bidi w:val="0"/>
        <w:spacing w:before="78" w:line="219" w:lineRule="auto"/>
        <w:ind w:left="3525"/>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161" w:name="_Toc5449"/>
      <w:r>
        <w:rPr>
          <w:rFonts w:hint="eastAsia" w:ascii="宋体" w:hAnsi="宋体" w:eastAsia="宋体" w:cs="宋体"/>
          <w:b/>
          <w:bCs/>
          <w:color w:val="000000" w:themeColor="text1"/>
          <w:spacing w:val="0"/>
          <w:sz w:val="24"/>
          <w:szCs w:val="24"/>
          <w:highlight w:val="none"/>
          <w14:textFill>
            <w14:solidFill>
              <w14:schemeClr w14:val="tx1"/>
            </w14:solidFill>
          </w14:textFill>
        </w:rPr>
        <w:t>第二章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中标人须知</w:t>
      </w:r>
      <w:bookmarkEnd w:id="161"/>
    </w:p>
    <w:p w14:paraId="3C63E460">
      <w:pPr>
        <w:keepNext w:val="0"/>
        <w:keepLines w:val="0"/>
        <w:pageBreakBefore w:val="0"/>
        <w:wordWrap w:val="0"/>
        <w:overflowPunct/>
        <w:topLinePunct w:val="0"/>
        <w:bidi w:val="0"/>
        <w:spacing w:before="78" w:line="219" w:lineRule="auto"/>
        <w:ind w:left="582"/>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2" w:name="_Toc22056"/>
      <w:r>
        <w:rPr>
          <w:rFonts w:hint="eastAsia" w:ascii="宋体" w:hAnsi="宋体" w:eastAsia="宋体" w:cs="宋体"/>
          <w:b/>
          <w:bCs/>
          <w:color w:val="000000" w:themeColor="text1"/>
          <w:spacing w:val="0"/>
          <w:sz w:val="24"/>
          <w:szCs w:val="24"/>
          <w:highlight w:val="none"/>
          <w14:textFill>
            <w14:solidFill>
              <w14:schemeClr w14:val="tx1"/>
            </w14:solidFill>
          </w14:textFill>
        </w:rPr>
        <w:t>1 ．中标通知书</w:t>
      </w:r>
      <w:bookmarkEnd w:id="162"/>
    </w:p>
    <w:p w14:paraId="33680385">
      <w:pPr>
        <w:keepNext w:val="0"/>
        <w:keepLines w:val="0"/>
        <w:pageBreakBefore w:val="0"/>
        <w:wordWrap w:val="0"/>
        <w:overflowPunct/>
        <w:topLinePunct w:val="0"/>
        <w:bidi w:val="0"/>
        <w:spacing w:before="152" w:line="332" w:lineRule="auto"/>
        <w:ind w:left="17" w:firstLine="559"/>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招标人确定第一中标候选人为中标人，并在中标人确定之日起 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0E2EC4A2">
      <w:pPr>
        <w:keepNext w:val="0"/>
        <w:keepLines w:val="0"/>
        <w:pageBreakBefore w:val="0"/>
        <w:wordWrap w:val="0"/>
        <w:overflowPunct/>
        <w:topLinePunct w:val="0"/>
        <w:bidi w:val="0"/>
        <w:spacing w:before="78" w:line="221" w:lineRule="auto"/>
        <w:ind w:left="572"/>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3" w:name="_Toc16454"/>
      <w:r>
        <w:rPr>
          <w:rFonts w:hint="eastAsia" w:ascii="宋体" w:hAnsi="宋体" w:eastAsia="宋体" w:cs="宋体"/>
          <w:b/>
          <w:bCs/>
          <w:color w:val="000000" w:themeColor="text1"/>
          <w:spacing w:val="0"/>
          <w:sz w:val="24"/>
          <w:szCs w:val="24"/>
          <w:highlight w:val="none"/>
          <w14:textFill>
            <w14:solidFill>
              <w14:schemeClr w14:val="tx1"/>
            </w14:solidFill>
          </w14:textFill>
        </w:rPr>
        <w:t>2 ．中标结果公示</w:t>
      </w:r>
      <w:bookmarkEnd w:id="163"/>
    </w:p>
    <w:p w14:paraId="6D402282">
      <w:pPr>
        <w:keepNext w:val="0"/>
        <w:keepLines w:val="0"/>
        <w:pageBreakBefore w:val="0"/>
        <w:wordWrap w:val="0"/>
        <w:overflowPunct/>
        <w:topLinePunct w:val="0"/>
        <w:bidi w:val="0"/>
        <w:spacing w:before="115" w:line="316" w:lineRule="auto"/>
        <w:ind w:left="2" w:right="203" w:firstLine="595"/>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中标通知书发出后 15</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日内，招标人应将中标结果在广东省招标投标监管网（http://zbtb.gd.gov.cn）、全国公共资源交易平台（广东省 ·韶关市）（https://ygp.gdzwfw.gov.cn/ggzy-portal/#/440200/index）进行公示。</w:t>
      </w:r>
    </w:p>
    <w:p w14:paraId="2C95E54C">
      <w:pPr>
        <w:keepNext w:val="0"/>
        <w:keepLines w:val="0"/>
        <w:pageBreakBefore w:val="0"/>
        <w:wordWrap w:val="0"/>
        <w:overflowPunct/>
        <w:topLinePunct w:val="0"/>
        <w:bidi w:val="0"/>
        <w:spacing w:before="79" w:line="221" w:lineRule="auto"/>
        <w:ind w:left="570"/>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4" w:name="_Toc20203"/>
      <w:r>
        <w:rPr>
          <w:rFonts w:hint="eastAsia" w:ascii="宋体" w:hAnsi="宋体" w:eastAsia="宋体" w:cs="宋体"/>
          <w:b/>
          <w:bCs/>
          <w:color w:val="000000" w:themeColor="text1"/>
          <w:spacing w:val="0"/>
          <w:sz w:val="24"/>
          <w:szCs w:val="24"/>
          <w:highlight w:val="none"/>
          <w14:textFill>
            <w14:solidFill>
              <w14:schemeClr w14:val="tx1"/>
            </w14:solidFill>
          </w14:textFill>
        </w:rPr>
        <w:t>3 ．履约保证</w:t>
      </w:r>
      <w:bookmarkEnd w:id="164"/>
    </w:p>
    <w:p w14:paraId="677C4C26">
      <w:pPr>
        <w:keepNext w:val="0"/>
        <w:keepLines w:val="0"/>
        <w:pageBreakBefore w:val="0"/>
        <w:widowControl/>
        <w:kinsoku w:val="0"/>
        <w:wordWrap w:val="0"/>
        <w:overflowPunct/>
        <w:topLinePunct w:val="0"/>
        <w:autoSpaceDE w:val="0"/>
        <w:autoSpaceDN w:val="0"/>
        <w:bidi w:val="0"/>
        <w:adjustRightInd w:val="0"/>
        <w:snapToGrid w:val="0"/>
        <w:spacing w:before="153" w:line="312" w:lineRule="auto"/>
        <w:ind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3.1  </w:t>
      </w:r>
      <w:r>
        <w:rPr>
          <w:rFonts w:hint="eastAsia" w:ascii="宋体" w:hAnsi="宋体" w:eastAsia="宋体" w:cs="宋体"/>
          <w:color w:val="000000" w:themeColor="text1"/>
          <w:spacing w:val="0"/>
          <w:sz w:val="24"/>
          <w:szCs w:val="24"/>
          <w:highlight w:val="none"/>
          <w14:textFill>
            <w14:solidFill>
              <w14:schemeClr w14:val="tx1"/>
            </w14:solidFill>
          </w14:textFill>
        </w:rPr>
        <w:t>中标人须在领取中标通知书之日起</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10 </w:t>
      </w:r>
      <w:r>
        <w:rPr>
          <w:rFonts w:hint="eastAsia" w:ascii="宋体" w:hAnsi="宋体" w:eastAsia="宋体" w:cs="宋体"/>
          <w:color w:val="000000" w:themeColor="text1"/>
          <w:spacing w:val="0"/>
          <w:sz w:val="24"/>
          <w:szCs w:val="24"/>
          <w:highlight w:val="none"/>
          <w14:textFill>
            <w14:solidFill>
              <w14:schemeClr w14:val="tx1"/>
            </w14:solidFill>
          </w14:textFill>
        </w:rPr>
        <w:t>个工作日内、签订合同前向招标人提交金额</w:t>
      </w:r>
      <w:r>
        <w:rPr>
          <w:rFonts w:hint="eastAsia" w:ascii="宋体" w:hAnsi="宋体" w:eastAsia="宋体" w:cs="宋体"/>
          <w:color w:val="000000" w:themeColor="text1"/>
          <w:spacing w:val="0"/>
          <w:position w:val="2"/>
          <w:sz w:val="24"/>
          <w:szCs w:val="24"/>
          <w:highlight w:val="none"/>
          <w14:textFill>
            <w14:solidFill>
              <w14:schemeClr w14:val="tx1"/>
            </w14:solidFill>
          </w14:textFill>
        </w:rPr>
        <w:t>为中标价</w:t>
      </w:r>
      <w:r>
        <w:rPr>
          <w:rFonts w:hint="eastAsia" w:ascii="宋体" w:hAnsi="宋体" w:eastAsia="宋体" w:cs="宋体"/>
          <w:color w:val="000000" w:themeColor="text1"/>
          <w:spacing w:val="0"/>
          <w:position w:val="2"/>
          <w:sz w:val="24"/>
          <w:szCs w:val="24"/>
          <w:highlight w:val="none"/>
          <w:u w:val="single"/>
          <w:lang w:val="en-US" w:eastAsia="zh-CN"/>
          <w14:textFill>
            <w14:solidFill>
              <w14:schemeClr w14:val="tx1"/>
            </w14:solidFill>
          </w14:textFill>
        </w:rPr>
        <w:t xml:space="preserve"> 5</w:t>
      </w:r>
      <w:r>
        <w:rPr>
          <w:rFonts w:hint="eastAsia" w:ascii="宋体" w:hAnsi="宋体" w:eastAsia="宋体" w:cs="宋体"/>
          <w:color w:val="000000" w:themeColor="text1"/>
          <w:spacing w:val="0"/>
          <w:position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position w:val="2"/>
          <w:sz w:val="24"/>
          <w:szCs w:val="24"/>
          <w:highlight w:val="none"/>
          <w14:textFill>
            <w14:solidFill>
              <w14:schemeClr w14:val="tx1"/>
            </w14:solidFill>
          </w14:textFill>
        </w:rPr>
        <w:t>的履约保证。联合体中标的，由联合体牵头人提交。</w:t>
      </w:r>
    </w:p>
    <w:p w14:paraId="49B5F994">
      <w:pPr>
        <w:keepNext w:val="0"/>
        <w:keepLines w:val="0"/>
        <w:pageBreakBefore w:val="0"/>
        <w:wordWrap w:val="0"/>
        <w:overflowPunct/>
        <w:topLinePunct w:val="0"/>
        <w:bidi w:val="0"/>
        <w:spacing w:before="89" w:line="286" w:lineRule="auto"/>
        <w:ind w:left="12" w:right="108"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3.2</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position w:val="2"/>
          <w:sz w:val="24"/>
          <w:szCs w:val="24"/>
          <w:highlight w:val="none"/>
          <w14:textFill>
            <w14:solidFill>
              <w14:schemeClr w14:val="tx1"/>
            </w14:solidFill>
          </w14:textFill>
        </w:rPr>
        <w:t>中标人根据《关于统一在市公共资源交易一体化服务平台缴退工程建设项目履约保证金的通知》办理相关手续，履约保证的形式包括履约保证金、履约保证担保、履约保证保险三种，由中标人自主选择</w:t>
      </w:r>
      <w:r>
        <w:rPr>
          <w:rFonts w:hint="eastAsia" w:ascii="宋体" w:hAnsi="宋体" w:eastAsia="宋体" w:cs="宋体"/>
          <w:color w:val="000000" w:themeColor="text1"/>
          <w:spacing w:val="0"/>
          <w:sz w:val="24"/>
          <w:szCs w:val="24"/>
          <w:highlight w:val="none"/>
          <w14:textFill>
            <w14:solidFill>
              <w14:schemeClr w14:val="tx1"/>
            </w14:solidFill>
          </w14:textFill>
        </w:rPr>
        <w:t>。商业保函、银行保函或保险合同（或保险单）的有效期应当自合同生效之日起至项目通过竣工验收之日后 28 天止。</w:t>
      </w:r>
    </w:p>
    <w:p w14:paraId="0431B761">
      <w:pPr>
        <w:keepNext w:val="0"/>
        <w:keepLines w:val="0"/>
        <w:pageBreakBefore w:val="0"/>
        <w:wordWrap w:val="0"/>
        <w:overflowPunct/>
        <w:topLinePunct w:val="0"/>
        <w:bidi w:val="0"/>
        <w:spacing w:line="440" w:lineRule="exact"/>
        <w:ind w:firstLine="562"/>
        <w:rPr>
          <w:rFonts w:hint="eastAsia" w:ascii="宋体" w:hAnsi="宋体" w:eastAsia="宋体" w:cs="宋体"/>
          <w:color w:val="000000" w:themeColor="text1"/>
          <w:spacing w:val="0"/>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position w:val="2"/>
          <w:sz w:val="24"/>
          <w:szCs w:val="24"/>
          <w:highlight w:val="none"/>
          <w:lang w:eastAsia="zh-CN"/>
          <w14:textFill>
            <w14:solidFill>
              <w14:schemeClr w14:val="tx1"/>
            </w14:solidFill>
          </w14:textFill>
        </w:rPr>
        <w:t>注：中标通知书发出时，招标人发起收缴履约保证金并填写保证金金额、缴交时限和项目工期；由中标人在建设工程交易系统中自主选择一种进行缴交。项目竣工后，由招标人发起退保。）</w:t>
      </w:r>
    </w:p>
    <w:p w14:paraId="1AD60AEA">
      <w:pPr>
        <w:keepNext w:val="0"/>
        <w:keepLines w:val="0"/>
        <w:pageBreakBefore w:val="0"/>
        <w:wordWrap w:val="0"/>
        <w:overflowPunct/>
        <w:topLinePunct w:val="0"/>
        <w:bidi w:val="0"/>
        <w:spacing w:before="145" w:line="319" w:lineRule="auto"/>
        <w:ind w:left="12" w:right="108"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  </w:t>
      </w:r>
      <w:r>
        <w:rPr>
          <w:rFonts w:hint="eastAsia" w:ascii="宋体" w:hAnsi="宋体" w:eastAsia="宋体" w:cs="宋体"/>
          <w:color w:val="000000" w:themeColor="text1"/>
          <w:spacing w:val="0"/>
          <w:sz w:val="24"/>
          <w:szCs w:val="24"/>
          <w:highlight w:val="none"/>
          <w14:textFill>
            <w14:solidFill>
              <w14:schemeClr w14:val="tx1"/>
            </w14:solidFill>
          </w14:textFill>
        </w:rPr>
        <w:t>中标人在领取中标通知书之日起 10 个工作日内仍未提交履约保证的，招标人发出第一次提醒函；在领取中标通知书之日起 15 个工作日内仍未提交的，招标人发出第二次提醒函；在领取中标通知书之日起 20个工作日内仍未提交的，视其放弃中标。并由招标人通报建设行政管理部门。如采用商业保函、银行保函或保险合同方式缴纳履约保证金，在保函或保险合同到期前一个月，中标人须主动办理续期手续或提交新的商业保函、银行保函或保险合同。</w:t>
      </w:r>
    </w:p>
    <w:p w14:paraId="439D8102">
      <w:pPr>
        <w:keepNext w:val="0"/>
        <w:keepLines w:val="0"/>
        <w:pageBreakBefore w:val="0"/>
        <w:wordWrap w:val="0"/>
        <w:overflowPunct/>
        <w:topLinePunct w:val="0"/>
        <w:bidi w:val="0"/>
        <w:spacing w:before="152" w:line="299" w:lineRule="auto"/>
        <w:ind w:left="12" w:right="108"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3.4  </w:t>
      </w:r>
      <w:r>
        <w:rPr>
          <w:rFonts w:hint="eastAsia" w:ascii="宋体" w:hAnsi="宋体" w:eastAsia="宋体" w:cs="宋体"/>
          <w:color w:val="000000" w:themeColor="text1"/>
          <w:spacing w:val="0"/>
          <w:sz w:val="24"/>
          <w:szCs w:val="24"/>
          <w:highlight w:val="none"/>
          <w14:textFill>
            <w14:solidFill>
              <w14:schemeClr w14:val="tx1"/>
            </w14:solidFill>
          </w14:textFill>
        </w:rPr>
        <w:t>在工程实施过程中，如果承包人（即招标阶段的中标人，下同）由于自身的资金、技术、质量、非不可抗力等原因给发包人（即招标阶段的招标人，下同）造成经济损失，发包人有权扣划相应金额的履约保证。</w:t>
      </w:r>
    </w:p>
    <w:p w14:paraId="05A3F90E">
      <w:pPr>
        <w:keepNext w:val="0"/>
        <w:keepLines w:val="0"/>
        <w:pageBreakBefore w:val="0"/>
        <w:wordWrap w:val="0"/>
        <w:overflowPunct/>
        <w:topLinePunct w:val="0"/>
        <w:bidi w:val="0"/>
        <w:spacing w:before="154" w:line="220" w:lineRule="auto"/>
        <w:ind w:left="486"/>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3.5  </w:t>
      </w:r>
      <w:r>
        <w:rPr>
          <w:rFonts w:hint="eastAsia" w:ascii="宋体" w:hAnsi="宋体" w:eastAsia="宋体" w:cs="宋体"/>
          <w:color w:val="000000" w:themeColor="text1"/>
          <w:spacing w:val="0"/>
          <w:sz w:val="24"/>
          <w:szCs w:val="24"/>
          <w:highlight w:val="none"/>
          <w14:textFill>
            <w14:solidFill>
              <w14:schemeClr w14:val="tx1"/>
            </w14:solidFill>
          </w14:textFill>
        </w:rPr>
        <w:t>项目通过竣工验收之日后 28 天内，发包人将履约保证退还给承包人。</w:t>
      </w:r>
    </w:p>
    <w:p w14:paraId="13852EBE">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52841E06">
      <w:pPr>
        <w:keepNext w:val="0"/>
        <w:keepLines w:val="0"/>
        <w:pageBreakBefore w:val="0"/>
        <w:wordWrap w:val="0"/>
        <w:overflowPunct/>
        <w:topLinePunct w:val="0"/>
        <w:bidi w:val="0"/>
        <w:spacing w:before="78" w:line="222"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5" w:name="_Toc624"/>
      <w:r>
        <w:rPr>
          <w:rFonts w:hint="eastAsia" w:ascii="宋体" w:hAnsi="宋体" w:eastAsia="宋体" w:cs="宋体"/>
          <w:b/>
          <w:bCs/>
          <w:color w:val="000000" w:themeColor="text1"/>
          <w:spacing w:val="0"/>
          <w:sz w:val="24"/>
          <w:szCs w:val="24"/>
          <w:highlight w:val="none"/>
          <w14:textFill>
            <w14:solidFill>
              <w14:schemeClr w14:val="tx1"/>
            </w14:solidFill>
          </w14:textFill>
        </w:rPr>
        <w:t>4 ．合同订立</w:t>
      </w:r>
      <w:bookmarkEnd w:id="165"/>
    </w:p>
    <w:p w14:paraId="60A8639F">
      <w:pPr>
        <w:keepNext w:val="0"/>
        <w:keepLines w:val="0"/>
        <w:pageBreakBefore w:val="0"/>
        <w:widowControl/>
        <w:kinsoku w:val="0"/>
        <w:wordWrap w:val="0"/>
        <w:overflowPunct/>
        <w:topLinePunct w:val="0"/>
        <w:autoSpaceDE w:val="0"/>
        <w:autoSpaceDN w:val="0"/>
        <w:bidi w:val="0"/>
        <w:adjustRightInd w:val="0"/>
        <w:snapToGrid w:val="0"/>
        <w:spacing w:before="150" w:line="300" w:lineRule="auto"/>
        <w:ind w:left="11" w:right="108" w:firstLine="47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4.1  </w:t>
      </w:r>
      <w:r>
        <w:rPr>
          <w:rFonts w:hint="eastAsia" w:ascii="宋体" w:hAnsi="宋体" w:eastAsia="宋体" w:cs="宋体"/>
          <w:color w:val="000000" w:themeColor="text1"/>
          <w:spacing w:val="0"/>
          <w:sz w:val="24"/>
          <w:szCs w:val="24"/>
          <w:highlight w:val="none"/>
          <w14:textFill>
            <w14:solidFill>
              <w14:schemeClr w14:val="tx1"/>
            </w14:solidFill>
          </w14:textFill>
        </w:rPr>
        <w:t>招标人应当自中标通知书发出之日起</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三十 </w:t>
      </w:r>
      <w:r>
        <w:rPr>
          <w:rFonts w:hint="eastAsia" w:ascii="宋体" w:hAnsi="宋体" w:eastAsia="宋体" w:cs="宋体"/>
          <w:color w:val="000000" w:themeColor="text1"/>
          <w:spacing w:val="0"/>
          <w:sz w:val="24"/>
          <w:szCs w:val="24"/>
          <w:highlight w:val="none"/>
          <w14:textFill>
            <w14:solidFill>
              <w14:schemeClr w14:val="tx1"/>
            </w14:solidFill>
          </w14:textFill>
        </w:rPr>
        <w:t>日内，按照招标文件、中标人的投标文件与中标人订立书面合同。</w:t>
      </w:r>
    </w:p>
    <w:p w14:paraId="44F9543E">
      <w:pPr>
        <w:keepNext w:val="0"/>
        <w:keepLines w:val="0"/>
        <w:pageBreakBefore w:val="0"/>
        <w:wordWrap w:val="0"/>
        <w:overflowPunct/>
        <w:topLinePunct w:val="0"/>
        <w:bidi w:val="0"/>
        <w:spacing w:before="156" w:line="219"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  </w:t>
      </w:r>
      <w:r>
        <w:rPr>
          <w:rFonts w:hint="eastAsia" w:ascii="宋体" w:hAnsi="宋体" w:eastAsia="宋体" w:cs="宋体"/>
          <w:color w:val="000000" w:themeColor="text1"/>
          <w:spacing w:val="0"/>
          <w:sz w:val="24"/>
          <w:szCs w:val="24"/>
          <w:highlight w:val="none"/>
          <w14:textFill>
            <w14:solidFill>
              <w14:schemeClr w14:val="tx1"/>
            </w14:solidFill>
          </w14:textFill>
        </w:rPr>
        <w:t>不正常报价的梳理和确认</w:t>
      </w:r>
    </w:p>
    <w:p w14:paraId="416E0180">
      <w:pPr>
        <w:keepNext w:val="0"/>
        <w:keepLines w:val="0"/>
        <w:pageBreakBefore w:val="0"/>
        <w:wordWrap w:val="0"/>
        <w:overflowPunct/>
        <w:topLinePunct w:val="0"/>
        <w:bidi w:val="0"/>
        <w:spacing w:before="154" w:line="299" w:lineRule="auto"/>
        <w:ind w:left="14" w:right="64"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4.2.1 合同订立期间，在不改变中标人的投标总价的前提下，招标人应对中标人的投标报价进行全面分析和整理，从而发现并提取其中可能存在的算术性错误、错漏项、不平衡报价等不正常报价，并修正其中的算术性错误。</w:t>
      </w:r>
      <w:r>
        <w:rPr>
          <w:rFonts w:hint="eastAsia" w:ascii="宋体" w:hAnsi="宋体" w:eastAsia="宋体" w:cs="宋体"/>
          <w:color w:val="000000" w:themeColor="text1"/>
          <w:spacing w:val="0"/>
          <w:sz w:val="24"/>
          <w:szCs w:val="24"/>
          <w:highlight w:val="none"/>
          <w14:textFill>
            <w14:solidFill>
              <w14:schemeClr w14:val="tx1"/>
            </w14:solidFill>
          </w14:textFill>
        </w:rPr>
        <w:t>招标人不具备以上能力的，可授权编制本项目</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的造价咨询单位实施。</w:t>
      </w:r>
    </w:p>
    <w:p w14:paraId="0BF121F6">
      <w:pPr>
        <w:keepNext w:val="0"/>
        <w:keepLines w:val="0"/>
        <w:pageBreakBefore w:val="0"/>
        <w:wordWrap w:val="0"/>
        <w:overflowPunct/>
        <w:topLinePunct w:val="0"/>
        <w:bidi w:val="0"/>
        <w:spacing w:before="121" w:line="309" w:lineRule="auto"/>
        <w:ind w:left="14" w:right="65"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4.2.2  </w:t>
      </w:r>
      <w:r>
        <w:rPr>
          <w:rFonts w:hint="eastAsia" w:ascii="宋体" w:hAnsi="宋体" w:eastAsia="宋体" w:cs="宋体"/>
          <w:color w:val="000000" w:themeColor="text1"/>
          <w:spacing w:val="0"/>
          <w:sz w:val="24"/>
          <w:szCs w:val="24"/>
          <w:highlight w:val="none"/>
          <w14:textFill>
            <w14:solidFill>
              <w14:schemeClr w14:val="tx1"/>
            </w14:solidFill>
          </w14:textFill>
        </w:rPr>
        <w:t>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0D1041E0">
      <w:pPr>
        <w:keepNext w:val="0"/>
        <w:keepLines w:val="0"/>
        <w:pageBreakBefore w:val="0"/>
        <w:wordWrap w:val="0"/>
        <w:overflowPunct/>
        <w:topLinePunct w:val="0"/>
        <w:bidi w:val="0"/>
        <w:spacing w:before="157" w:line="279" w:lineRule="auto"/>
        <w:ind w:left="12" w:right="66"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4.2.3  </w:t>
      </w:r>
      <w:r>
        <w:rPr>
          <w:rFonts w:hint="eastAsia" w:ascii="宋体" w:hAnsi="宋体" w:eastAsia="宋体" w:cs="宋体"/>
          <w:color w:val="000000" w:themeColor="text1"/>
          <w:spacing w:val="0"/>
          <w:sz w:val="24"/>
          <w:szCs w:val="24"/>
          <w:highlight w:val="none"/>
          <w14:textFill>
            <w14:solidFill>
              <w14:schemeClr w14:val="tx1"/>
            </w14:solidFill>
          </w14:textFill>
        </w:rPr>
        <w:t>错漏项的认定。中标人已标价工程量清单中，任一清单项目未填报价格或价格为零的，视为错漏项。</w:t>
      </w:r>
    </w:p>
    <w:p w14:paraId="3A357F91">
      <w:pPr>
        <w:keepNext w:val="0"/>
        <w:keepLines w:val="0"/>
        <w:pageBreakBefore w:val="0"/>
        <w:wordWrap w:val="0"/>
        <w:overflowPunct/>
        <w:topLinePunct w:val="0"/>
        <w:bidi w:val="0"/>
        <w:spacing w:before="121" w:line="360" w:lineRule="auto"/>
        <w:ind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4.2.4  </w:t>
      </w:r>
      <w:r>
        <w:rPr>
          <w:rFonts w:hint="eastAsia" w:ascii="宋体" w:hAnsi="宋体" w:eastAsia="宋体" w:cs="宋体"/>
          <w:color w:val="000000" w:themeColor="text1"/>
          <w:spacing w:val="0"/>
          <w:sz w:val="24"/>
          <w:szCs w:val="24"/>
          <w:highlight w:val="none"/>
          <w14:textFill>
            <w14:solidFill>
              <w14:schemeClr w14:val="tx1"/>
            </w14:solidFill>
          </w14:textFill>
        </w:rPr>
        <w:t>不平衡报价的认定。经修正算术性错误后的中标人已标价工程量清单中，</w:t>
      </w:r>
      <w:r>
        <w:rPr>
          <w:rFonts w:hint="eastAsia" w:ascii="宋体" w:hAnsi="宋体" w:eastAsia="宋体" w:cs="宋体"/>
          <w:color w:val="000000" w:themeColor="text1"/>
          <w:spacing w:val="0"/>
          <w:sz w:val="24"/>
          <w:szCs w:val="24"/>
          <w:highlight w:val="none"/>
          <w:u w:val="single"/>
          <w14:textFill>
            <w14:solidFill>
              <w14:schemeClr w14:val="tx1"/>
            </w14:solidFill>
          </w14:textFill>
        </w:rPr>
        <w:t>对于投标报价中综合单价相对</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u w:val="single"/>
          <w14:textFill>
            <w14:solidFill>
              <w14:schemeClr w14:val="tx1"/>
            </w14:solidFill>
          </w14:textFill>
        </w:rPr>
        <w:t>《</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》中对应综合单价的偏差大于±15% </w:t>
      </w:r>
      <w:r>
        <w:rPr>
          <w:rFonts w:hint="eastAsia" w:ascii="宋体" w:hAnsi="宋体" w:eastAsia="宋体" w:cs="宋体"/>
          <w:color w:val="000000" w:themeColor="text1"/>
          <w:spacing w:val="0"/>
          <w:sz w:val="24"/>
          <w:szCs w:val="24"/>
          <w:highlight w:val="none"/>
          <w:u w:val="none"/>
          <w14:textFill>
            <w14:solidFill>
              <w14:schemeClr w14:val="tx1"/>
            </w14:solidFill>
          </w14:textFill>
        </w:rPr>
        <w:t>的清单项目</w:t>
      </w:r>
      <w:r>
        <w:rPr>
          <w:rFonts w:hint="eastAsia" w:ascii="宋体" w:hAnsi="宋体" w:eastAsia="宋体" w:cs="宋体"/>
          <w:color w:val="000000" w:themeColor="text1"/>
          <w:spacing w:val="0"/>
          <w:sz w:val="24"/>
          <w:szCs w:val="24"/>
          <w:highlight w:val="none"/>
          <w14:textFill>
            <w14:solidFill>
              <w14:schemeClr w14:val="tx1"/>
            </w14:solidFill>
          </w14:textFill>
        </w:rPr>
        <w:t>，视为不平衡报价项目。</w:t>
      </w:r>
    </w:p>
    <w:p w14:paraId="59BB732F">
      <w:pPr>
        <w:keepNext w:val="0"/>
        <w:keepLines w:val="0"/>
        <w:pageBreakBefore w:val="0"/>
        <w:wordWrap w:val="0"/>
        <w:overflowPunct/>
        <w:topLinePunct w:val="0"/>
        <w:bidi w:val="0"/>
        <w:spacing w:before="146" w:line="330" w:lineRule="auto"/>
        <w:ind w:left="10" w:right="65" w:firstLine="478"/>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4.2.5 </w:t>
      </w:r>
      <w:r>
        <w:rPr>
          <w:rFonts w:hint="eastAsia" w:ascii="宋体" w:hAnsi="宋体" w:eastAsia="宋体" w:cs="宋体"/>
          <w:color w:val="000000" w:themeColor="text1"/>
          <w:spacing w:val="0"/>
          <w:sz w:val="24"/>
          <w:szCs w:val="24"/>
          <w:highlight w:val="none"/>
          <w14:textFill>
            <w14:solidFill>
              <w14:schemeClr w14:val="tx1"/>
            </w14:solidFill>
          </w14:textFill>
        </w:rPr>
        <w:t>施工合同签订前，招标人或其授权的造价咨询单位应就发现的以上所有不平衡报价进行修正，形成《不平衡报价修正报告》，并由招标人和中标人共同签章确认，构成施工合同的组成部分。</w:t>
      </w:r>
    </w:p>
    <w:p w14:paraId="1B35F881">
      <w:pPr>
        <w:keepNext w:val="0"/>
        <w:keepLines w:val="0"/>
        <w:pageBreakBefore w:val="0"/>
        <w:wordWrap w:val="0"/>
        <w:overflowPunct/>
        <w:topLinePunct w:val="0"/>
        <w:bidi w:val="0"/>
        <w:spacing w:before="34" w:line="326" w:lineRule="auto"/>
        <w:ind w:left="12" w:right="65" w:firstLine="47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4.2.6 合同履行过程中，被认定为错漏项的清单项目，结算时按照第三章“拟签订合同的主要条款</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”规定处理。</w:t>
      </w:r>
    </w:p>
    <w:p w14:paraId="0A0FE849">
      <w:pPr>
        <w:keepNext w:val="0"/>
        <w:keepLines w:val="0"/>
        <w:pageBreakBefore w:val="0"/>
        <w:wordWrap w:val="0"/>
        <w:overflowPunct/>
        <w:topLinePunct w:val="0"/>
        <w:bidi w:val="0"/>
        <w:spacing w:before="33" w:line="317" w:lineRule="auto"/>
        <w:ind w:left="12" w:right="38" w:firstLine="476"/>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按照第三章“拟签订合同的主要条款</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”有关规定调整合同价款。</w:t>
      </w:r>
    </w:p>
    <w:p w14:paraId="4C2BA967">
      <w:pPr>
        <w:keepNext w:val="0"/>
        <w:keepLines w:val="0"/>
        <w:pageBreakBefore w:val="0"/>
        <w:wordWrap w:val="0"/>
        <w:overflowPunct/>
        <w:topLinePunct w:val="0"/>
        <w:bidi w:val="0"/>
        <w:spacing w:before="87" w:line="276"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4.3  </w:t>
      </w:r>
      <w:r>
        <w:rPr>
          <w:rFonts w:hint="eastAsia" w:ascii="宋体" w:hAnsi="宋体" w:eastAsia="宋体" w:cs="宋体"/>
          <w:color w:val="000000" w:themeColor="text1"/>
          <w:spacing w:val="0"/>
          <w:sz w:val="24"/>
          <w:szCs w:val="24"/>
          <w:highlight w:val="none"/>
          <w14:textFill>
            <w14:solidFill>
              <w14:schemeClr w14:val="tx1"/>
            </w14:solidFill>
          </w14:textFill>
        </w:rPr>
        <w:t>本招标项目合同计价方式为：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单价 </w:t>
      </w:r>
      <w:r>
        <w:rPr>
          <w:rFonts w:hint="eastAsia" w:ascii="宋体" w:hAnsi="宋体" w:eastAsia="宋体" w:cs="宋体"/>
          <w:color w:val="000000" w:themeColor="text1"/>
          <w:spacing w:val="0"/>
          <w:sz w:val="24"/>
          <w:szCs w:val="24"/>
          <w:highlight w:val="none"/>
          <w14:textFill>
            <w14:solidFill>
              <w14:schemeClr w14:val="tx1"/>
            </w14:solidFill>
          </w14:textFill>
        </w:rPr>
        <w:t>合同。</w:t>
      </w:r>
    </w:p>
    <w:p w14:paraId="7AD8D0F4">
      <w:pPr>
        <w:keepNext w:val="0"/>
        <w:keepLines w:val="0"/>
        <w:pageBreakBefore w:val="0"/>
        <w:wordWrap w:val="0"/>
        <w:overflowPunct/>
        <w:topLinePunct w:val="0"/>
        <w:bidi w:val="0"/>
        <w:spacing w:before="120" w:line="298" w:lineRule="auto"/>
        <w:ind w:left="11" w:right="28"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4.4  </w:t>
      </w:r>
      <w:r>
        <w:rPr>
          <w:rFonts w:hint="eastAsia" w:ascii="宋体" w:hAnsi="宋体" w:eastAsia="宋体" w:cs="宋体"/>
          <w:color w:val="000000" w:themeColor="text1"/>
          <w:spacing w:val="0"/>
          <w:sz w:val="24"/>
          <w:szCs w:val="24"/>
          <w:highlight w:val="none"/>
          <w14:textFill>
            <w14:solidFill>
              <w14:schemeClr w14:val="tx1"/>
            </w14:solidFill>
          </w14:textFill>
        </w:rPr>
        <w:t>合同的标的、质量、履行期限条款和合同的价款、单价、比例条款等主要条款，应当与招标文件、中标人的投标文件的内容一致。中标人在签订合同时不得向招标人提出附加条件。</w:t>
      </w:r>
    </w:p>
    <w:p w14:paraId="77C16957">
      <w:pPr>
        <w:keepNext w:val="0"/>
        <w:keepLines w:val="0"/>
        <w:pageBreakBefore w:val="0"/>
        <w:wordWrap w:val="0"/>
        <w:overflowPunct/>
        <w:topLinePunct w:val="0"/>
        <w:bidi w:val="0"/>
        <w:spacing w:before="150" w:line="319" w:lineRule="auto"/>
        <w:ind w:left="12" w:right="9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4.5  若中标人在领取中标通知书之日起 30 天内仍未签订合同，招标人发出第一次提醒函；在领取中标通知书之日起 40 天内仍未签订，招标人发出第二次提醒函；在领取中标通知书之日起 45 天内仍未签订，视其放弃中标。</w:t>
      </w:r>
    </w:p>
    <w:p w14:paraId="3235BDE2">
      <w:pPr>
        <w:keepNext w:val="0"/>
        <w:keepLines w:val="0"/>
        <w:pageBreakBefore w:val="0"/>
        <w:wordWrap w:val="0"/>
        <w:overflowPunct/>
        <w:topLinePunct w:val="0"/>
        <w:bidi w:val="0"/>
        <w:spacing w:before="150" w:line="319" w:lineRule="auto"/>
        <w:ind w:left="12" w:right="9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4.6  在书面合同订立之日起 2 个工作日内，由中标人或招标代理机构将合同上传至建设工程交易系统，并发起退还投标保证的申请。韶关市公共资源交易中心在收到申请之日起 3 个工作日内，将投标保证金（或银行保函）退还给中标人和其他中标候选人。</w:t>
      </w:r>
    </w:p>
    <w:p w14:paraId="1D51752E">
      <w:pPr>
        <w:keepNext w:val="0"/>
        <w:keepLines w:val="0"/>
        <w:pageBreakBefore w:val="0"/>
        <w:wordWrap w:val="0"/>
        <w:overflowPunct/>
        <w:topLinePunct w:val="0"/>
        <w:bidi w:val="0"/>
        <w:spacing w:before="78" w:line="220" w:lineRule="auto"/>
        <w:ind w:left="489"/>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6" w:name="_Toc13877"/>
      <w:r>
        <w:rPr>
          <w:rFonts w:hint="eastAsia" w:ascii="宋体" w:hAnsi="宋体" w:eastAsia="宋体" w:cs="宋体"/>
          <w:b/>
          <w:bCs/>
          <w:color w:val="000000" w:themeColor="text1"/>
          <w:spacing w:val="0"/>
          <w:sz w:val="24"/>
          <w:szCs w:val="24"/>
          <w:highlight w:val="none"/>
          <w14:textFill>
            <w14:solidFill>
              <w14:schemeClr w14:val="tx1"/>
            </w14:solidFill>
          </w14:textFill>
        </w:rPr>
        <w:t>5 ．放弃中标的处理</w:t>
      </w:r>
      <w:bookmarkEnd w:id="166"/>
    </w:p>
    <w:p w14:paraId="18C72D34">
      <w:pPr>
        <w:keepNext w:val="0"/>
        <w:keepLines w:val="0"/>
        <w:pageBreakBefore w:val="0"/>
        <w:wordWrap w:val="0"/>
        <w:overflowPunct/>
        <w:topLinePunct w:val="0"/>
        <w:bidi w:val="0"/>
        <w:spacing w:before="150" w:line="319" w:lineRule="auto"/>
        <w:ind w:left="12" w:right="91" w:firstLine="477"/>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5.1</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中标人无正当理由放弃中标的，取消其中标资格，其投标保证不予退还，给招标人造成的损失超过投标保证金额的，弃标人还应当对超过部分予以赔偿。招标人可按照</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定</w:t>
      </w:r>
      <w:r>
        <w:rPr>
          <w:rFonts w:hint="eastAsia" w:ascii="宋体" w:hAnsi="宋体" w:eastAsia="宋体" w:cs="宋体"/>
          <w:color w:val="000000" w:themeColor="text1"/>
          <w:spacing w:val="0"/>
          <w:sz w:val="24"/>
          <w:szCs w:val="24"/>
          <w:highlight w:val="none"/>
          <w14:textFill>
            <w14:solidFill>
              <w14:schemeClr w14:val="tx1"/>
            </w14:solidFill>
          </w14:textFill>
        </w:rPr>
        <w:t>标委员会提交的中标候选人名单排序依次确定其他中标候选人为中标人，如果招标人认为其他中标候选人的条件明显不利于招标人的，也可以重新招标。因此种情况造成招标人重新招标的，招标人可不接受该弃标人再次投标。同时，</w:t>
      </w:r>
      <w:r>
        <w:rPr>
          <w:rFonts w:hint="eastAsia" w:ascii="宋体" w:hAnsi="宋体" w:eastAsia="宋体" w:cs="宋体"/>
          <w:b/>
          <w:bCs/>
          <w:color w:val="000000" w:themeColor="text1"/>
          <w:spacing w:val="0"/>
          <w:sz w:val="24"/>
          <w:szCs w:val="24"/>
          <w:highlight w:val="none"/>
          <w14:textFill>
            <w14:solidFill>
              <w14:schemeClr w14:val="tx1"/>
            </w14:solidFill>
          </w14:textFill>
        </w:rPr>
        <w:t>招标人应将该弃标人的失信行为向行政监督部门报告。</w:t>
      </w:r>
    </w:p>
    <w:p w14:paraId="0C97F14D">
      <w:pPr>
        <w:keepNext w:val="0"/>
        <w:keepLines w:val="0"/>
        <w:pageBreakBefore w:val="0"/>
        <w:wordWrap w:val="0"/>
        <w:overflowPunct/>
        <w:topLinePunct w:val="0"/>
        <w:bidi w:val="0"/>
        <w:spacing w:before="79" w:line="298" w:lineRule="auto"/>
        <w:ind w:left="10" w:right="91" w:firstLine="47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5.2  </w:t>
      </w:r>
      <w:r>
        <w:rPr>
          <w:rFonts w:hint="eastAsia" w:ascii="宋体" w:hAnsi="宋体" w:eastAsia="宋体" w:cs="宋体"/>
          <w:color w:val="000000" w:themeColor="text1"/>
          <w:spacing w:val="0"/>
          <w:sz w:val="24"/>
          <w:szCs w:val="24"/>
          <w:highlight w:val="none"/>
          <w14:textFill>
            <w14:solidFill>
              <w14:schemeClr w14:val="tx1"/>
            </w14:solidFill>
          </w14:textFill>
        </w:rPr>
        <w:t>中标人因不可抗力提出不能履行合同的，须在领取中标通知书之日起 10 天内提供有关证明文件或资料，其投标保证予以退还，</w:t>
      </w:r>
      <w:r>
        <w:rPr>
          <w:rFonts w:hint="eastAsia" w:ascii="宋体" w:hAnsi="宋体" w:eastAsia="宋体" w:cs="宋体"/>
          <w:color w:val="000000" w:themeColor="text1"/>
          <w:sz w:val="24"/>
          <w:szCs w:val="24"/>
          <w:highlight w:val="none"/>
          <w:lang w:eastAsia="zh-CN"/>
          <w14:textFill>
            <w14:solidFill>
              <w14:schemeClr w14:val="tx1"/>
            </w14:solidFill>
          </w14:textFill>
        </w:rPr>
        <w:t>招标人可按照</w:t>
      </w:r>
      <w:r>
        <w:rPr>
          <w:rFonts w:hint="eastAsia" w:ascii="宋体" w:hAnsi="宋体" w:eastAsia="宋体" w:cs="宋体"/>
          <w:color w:val="000000" w:themeColor="text1"/>
          <w:sz w:val="24"/>
          <w:szCs w:val="24"/>
          <w:highlight w:val="none"/>
          <w:lang w:val="en-US" w:eastAsia="zh-CN"/>
          <w14:textFill>
            <w14:solidFill>
              <w14:schemeClr w14:val="tx1"/>
            </w14:solidFill>
          </w14:textFill>
        </w:rPr>
        <w:t>定</w:t>
      </w:r>
      <w:r>
        <w:rPr>
          <w:rFonts w:hint="eastAsia" w:ascii="宋体" w:hAnsi="宋体" w:eastAsia="宋体" w:cs="宋体"/>
          <w:color w:val="000000" w:themeColor="text1"/>
          <w:sz w:val="24"/>
          <w:szCs w:val="24"/>
          <w:highlight w:val="none"/>
          <w:lang w:eastAsia="zh-CN"/>
          <w14:textFill>
            <w14:solidFill>
              <w14:schemeClr w14:val="tx1"/>
            </w14:solidFill>
          </w14:textFill>
        </w:rPr>
        <w:t>标委员会提出的中标候选人名单排序依次确定其他中标候选人为中标人。如果招标人认为其他中标候选人的条</w:t>
      </w:r>
      <w:bookmarkStart w:id="167" w:name="bookmark84"/>
      <w:bookmarkEnd w:id="167"/>
      <w:r>
        <w:rPr>
          <w:rFonts w:hint="eastAsia" w:ascii="宋体" w:hAnsi="宋体" w:eastAsia="宋体" w:cs="宋体"/>
          <w:color w:val="000000" w:themeColor="text1"/>
          <w:sz w:val="24"/>
          <w:szCs w:val="24"/>
          <w:highlight w:val="none"/>
          <w:lang w:eastAsia="zh-CN"/>
          <w14:textFill>
            <w14:solidFill>
              <w14:schemeClr w14:val="tx1"/>
            </w14:solidFill>
          </w14:textFill>
        </w:rPr>
        <w:t>件明显不利于招标人的，也可以重新招标。</w:t>
      </w:r>
    </w:p>
    <w:p w14:paraId="5D2715B3">
      <w:pPr>
        <w:pStyle w:val="13"/>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1D167E59">
      <w:pPr>
        <w:pStyle w:val="13"/>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sectPr>
          <w:footerReference r:id="rId1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3622B001">
      <w:pPr>
        <w:keepNext w:val="0"/>
        <w:keepLines w:val="0"/>
        <w:pageBreakBefore w:val="0"/>
        <w:wordWrap w:val="0"/>
        <w:overflowPunct/>
        <w:topLinePunct w:val="0"/>
        <w:bidi w:val="0"/>
        <w:spacing w:before="78" w:line="219" w:lineRule="auto"/>
        <w:ind w:left="2923"/>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168" w:name="bookmark86"/>
      <w:bookmarkEnd w:id="168"/>
      <w:bookmarkStart w:id="169" w:name="_Toc10710"/>
      <w:r>
        <w:rPr>
          <w:rFonts w:hint="eastAsia" w:ascii="宋体" w:hAnsi="宋体" w:eastAsia="宋体" w:cs="宋体"/>
          <w:b/>
          <w:bCs/>
          <w:color w:val="000000" w:themeColor="text1"/>
          <w:spacing w:val="0"/>
          <w:sz w:val="24"/>
          <w:szCs w:val="24"/>
          <w:highlight w:val="none"/>
          <w14:textFill>
            <w14:solidFill>
              <w14:schemeClr w14:val="tx1"/>
            </w14:solidFill>
          </w14:textFill>
        </w:rPr>
        <w:t>第三章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拟签订合同的主要条款</w:t>
      </w:r>
      <w:bookmarkEnd w:id="169"/>
    </w:p>
    <w:p w14:paraId="0B04D162">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0B370127">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6F61A5A1">
      <w:pPr>
        <w:keepNext w:val="0"/>
        <w:keepLines w:val="0"/>
        <w:pageBreakBefore w:val="0"/>
        <w:wordWrap w:val="0"/>
        <w:overflowPunct/>
        <w:topLinePunct w:val="0"/>
        <w:bidi w:val="0"/>
        <w:spacing w:before="78" w:line="220" w:lineRule="auto"/>
        <w:ind w:left="49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70" w:name="_Toc29782"/>
      <w:r>
        <w:rPr>
          <w:rFonts w:hint="eastAsia" w:ascii="宋体" w:hAnsi="宋体" w:eastAsia="宋体" w:cs="宋体"/>
          <w:b/>
          <w:bCs/>
          <w:color w:val="000000" w:themeColor="text1"/>
          <w:spacing w:val="0"/>
          <w:sz w:val="24"/>
          <w:szCs w:val="24"/>
          <w:highlight w:val="none"/>
          <w14:textFill>
            <w14:solidFill>
              <w14:schemeClr w14:val="tx1"/>
            </w14:solidFill>
          </w14:textFill>
        </w:rPr>
        <w:t>1 ．工程承包方式</w:t>
      </w:r>
      <w:bookmarkEnd w:id="170"/>
    </w:p>
    <w:p w14:paraId="68DBE4BA">
      <w:pPr>
        <w:keepNext w:val="0"/>
        <w:keepLines w:val="0"/>
        <w:pageBreakBefore w:val="0"/>
        <w:wordWrap w:val="0"/>
        <w:overflowPunct/>
        <w:topLinePunct w:val="0"/>
        <w:bidi w:val="0"/>
        <w:spacing w:before="153" w:line="299" w:lineRule="auto"/>
        <w:ind w:left="11" w:right="295" w:firstLine="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  </w:t>
      </w:r>
      <w:r>
        <w:rPr>
          <w:rFonts w:hint="eastAsia" w:ascii="宋体" w:hAnsi="宋体" w:eastAsia="宋体" w:cs="宋体"/>
          <w:color w:val="000000" w:themeColor="text1"/>
          <w:spacing w:val="0"/>
          <w:sz w:val="24"/>
          <w:szCs w:val="24"/>
          <w:highlight w:val="none"/>
          <w14:textFill>
            <w14:solidFill>
              <w14:schemeClr w14:val="tx1"/>
            </w14:solidFill>
          </w14:textFill>
        </w:rPr>
        <w:t>承包人以中标价按包工包料、包质量、包安全包文明施工、包工期方式总承包施工，不允许转包和违法分包，如果承包人将建设工程转包或违法分包，发包人可以解除合同</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给发包人造成的损失由承包人承担</w:t>
      </w:r>
      <w:r>
        <w:rPr>
          <w:rFonts w:hint="eastAsia" w:ascii="宋体" w:hAnsi="宋体" w:eastAsia="宋体" w:cs="宋体"/>
          <w:color w:val="000000" w:themeColor="text1"/>
          <w:spacing w:val="0"/>
          <w:sz w:val="24"/>
          <w:szCs w:val="24"/>
          <w:highlight w:val="none"/>
          <w14:textFill>
            <w14:solidFill>
              <w14:schemeClr w14:val="tx1"/>
            </w14:solidFill>
          </w14:textFill>
        </w:rPr>
        <w:t>。如果确需分包须与发包人协商，在得到发包人和监理单位同意后报建设行政主管部门备案。</w:t>
      </w:r>
    </w:p>
    <w:p w14:paraId="1A7AD95C">
      <w:pPr>
        <w:keepNext w:val="0"/>
        <w:keepLines w:val="0"/>
        <w:pageBreakBefore w:val="0"/>
        <w:wordWrap w:val="0"/>
        <w:overflowPunct/>
        <w:topLinePunct w:val="0"/>
        <w:bidi w:val="0"/>
        <w:spacing w:before="153" w:line="219"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1.1.1  </w:t>
      </w:r>
      <w:r>
        <w:rPr>
          <w:rFonts w:hint="eastAsia" w:ascii="宋体" w:hAnsi="宋体" w:eastAsia="宋体" w:cs="宋体"/>
          <w:color w:val="000000" w:themeColor="text1"/>
          <w:spacing w:val="0"/>
          <w:sz w:val="24"/>
          <w:szCs w:val="24"/>
          <w:highlight w:val="none"/>
          <w14:textFill>
            <w14:solidFill>
              <w14:schemeClr w14:val="tx1"/>
            </w14:solidFill>
          </w14:textFill>
        </w:rPr>
        <w:t>包工包料：材料符合招标文件要求并报验使用；办理用工保险。</w:t>
      </w:r>
    </w:p>
    <w:p w14:paraId="6D255FC4">
      <w:pPr>
        <w:keepNext w:val="0"/>
        <w:keepLines w:val="0"/>
        <w:pageBreakBefore w:val="0"/>
        <w:wordWrap w:val="0"/>
        <w:overflowPunct/>
        <w:topLinePunct w:val="0"/>
        <w:bidi w:val="0"/>
        <w:spacing w:before="156"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1.1.2  </w:t>
      </w:r>
      <w:r>
        <w:rPr>
          <w:rFonts w:hint="eastAsia" w:ascii="宋体" w:hAnsi="宋体" w:eastAsia="宋体" w:cs="宋体"/>
          <w:color w:val="000000" w:themeColor="text1"/>
          <w:spacing w:val="0"/>
          <w:sz w:val="24"/>
          <w:szCs w:val="24"/>
          <w:highlight w:val="none"/>
          <w14:textFill>
            <w14:solidFill>
              <w14:schemeClr w14:val="tx1"/>
            </w14:solidFill>
          </w14:textFill>
        </w:rPr>
        <w:t>包质量：符合招标文件要求。</w:t>
      </w:r>
    </w:p>
    <w:p w14:paraId="7B161543">
      <w:pPr>
        <w:keepNext w:val="0"/>
        <w:keepLines w:val="0"/>
        <w:pageBreakBefore w:val="0"/>
        <w:wordWrap w:val="0"/>
        <w:overflowPunct/>
        <w:topLinePunct w:val="0"/>
        <w:bidi w:val="0"/>
        <w:spacing w:before="153"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1.1.3  </w:t>
      </w:r>
      <w:r>
        <w:rPr>
          <w:rFonts w:hint="eastAsia" w:ascii="宋体" w:hAnsi="宋体" w:eastAsia="宋体" w:cs="宋体"/>
          <w:color w:val="000000" w:themeColor="text1"/>
          <w:spacing w:val="0"/>
          <w:sz w:val="24"/>
          <w:szCs w:val="24"/>
          <w:highlight w:val="none"/>
          <w14:textFill>
            <w14:solidFill>
              <w14:schemeClr w14:val="tx1"/>
            </w14:solidFill>
          </w14:textFill>
        </w:rPr>
        <w:t>包安全包文明施工：符合招标文件要求。</w:t>
      </w:r>
    </w:p>
    <w:p w14:paraId="41E26BE4">
      <w:pPr>
        <w:keepNext w:val="0"/>
        <w:keepLines w:val="0"/>
        <w:pageBreakBefore w:val="0"/>
        <w:wordWrap w:val="0"/>
        <w:overflowPunct/>
        <w:topLinePunct w:val="0"/>
        <w:bidi w:val="0"/>
        <w:spacing w:before="154" w:line="219"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1.1.4  </w:t>
      </w:r>
      <w:r>
        <w:rPr>
          <w:rFonts w:hint="eastAsia" w:ascii="宋体" w:hAnsi="宋体" w:eastAsia="宋体" w:cs="宋体"/>
          <w:color w:val="000000" w:themeColor="text1"/>
          <w:spacing w:val="0"/>
          <w:sz w:val="24"/>
          <w:szCs w:val="24"/>
          <w:highlight w:val="none"/>
          <w14:textFill>
            <w14:solidFill>
              <w14:schemeClr w14:val="tx1"/>
            </w14:solidFill>
          </w14:textFill>
        </w:rPr>
        <w:t>包工期：本招标项目施工必须在招标工期内完成。</w:t>
      </w:r>
    </w:p>
    <w:p w14:paraId="5E683A9A">
      <w:pPr>
        <w:keepNext w:val="0"/>
        <w:keepLines w:val="0"/>
        <w:pageBreakBefore w:val="0"/>
        <w:wordWrap w:val="0"/>
        <w:overflowPunct/>
        <w:topLinePunct w:val="0"/>
        <w:bidi w:val="0"/>
        <w:spacing w:before="78" w:line="220"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71" w:name="bookmark88"/>
      <w:bookmarkEnd w:id="171"/>
      <w:bookmarkStart w:id="172" w:name="_Toc28189"/>
      <w:r>
        <w:rPr>
          <w:rFonts w:hint="eastAsia" w:ascii="宋体" w:hAnsi="宋体" w:eastAsia="宋体" w:cs="宋体"/>
          <w:b/>
          <w:bCs/>
          <w:color w:val="000000" w:themeColor="text1"/>
          <w:spacing w:val="0"/>
          <w:sz w:val="24"/>
          <w:szCs w:val="24"/>
          <w:highlight w:val="none"/>
          <w14:textFill>
            <w14:solidFill>
              <w14:schemeClr w14:val="tx1"/>
            </w14:solidFill>
          </w14:textFill>
        </w:rPr>
        <w:t>2 ．工程结算原则</w:t>
      </w:r>
      <w:bookmarkEnd w:id="172"/>
    </w:p>
    <w:p w14:paraId="047D1E9F">
      <w:pPr>
        <w:keepNext w:val="0"/>
        <w:keepLines w:val="0"/>
        <w:pageBreakBefore w:val="0"/>
        <w:wordWrap w:val="0"/>
        <w:overflowPunct/>
        <w:topLinePunct w:val="0"/>
        <w:bidi w:val="0"/>
        <w:spacing w:before="153" w:line="219"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2.1 </w:t>
      </w:r>
      <w:r>
        <w:rPr>
          <w:rFonts w:hint="eastAsia" w:ascii="宋体" w:hAnsi="宋体" w:eastAsia="宋体" w:cs="宋体"/>
          <w:color w:val="000000" w:themeColor="text1"/>
          <w:spacing w:val="0"/>
          <w:sz w:val="24"/>
          <w:szCs w:val="24"/>
          <w:highlight w:val="none"/>
          <w14:textFill>
            <w14:solidFill>
              <w14:schemeClr w14:val="tx1"/>
            </w14:solidFill>
          </w14:textFill>
        </w:rPr>
        <w:t>承包人的投标总价为中标价，即为签约合同价。</w:t>
      </w:r>
    </w:p>
    <w:p w14:paraId="7FAD113F">
      <w:pPr>
        <w:keepNext w:val="0"/>
        <w:keepLines w:val="0"/>
        <w:pageBreakBefore w:val="0"/>
        <w:wordWrap w:val="0"/>
        <w:overflowPunct/>
        <w:topLinePunct w:val="0"/>
        <w:bidi w:val="0"/>
        <w:spacing w:before="155" w:line="319" w:lineRule="auto"/>
        <w:ind w:left="12" w:right="231"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2.2 </w:t>
      </w:r>
      <w:r>
        <w:rPr>
          <w:rFonts w:hint="eastAsia" w:ascii="宋体" w:hAnsi="宋体" w:eastAsia="宋体" w:cs="宋体"/>
          <w:color w:val="000000" w:themeColor="text1"/>
          <w:spacing w:val="0"/>
          <w:sz w:val="24"/>
          <w:szCs w:val="24"/>
          <w:highlight w:val="none"/>
          <w14:textFill>
            <w14:solidFill>
              <w14:schemeClr w14:val="tx1"/>
            </w14:solidFill>
          </w14:textFill>
        </w:rPr>
        <w:t>招标工程量清单标明的工程量是投标人投标报价的共同基础，竣工结算的工程量按</w:t>
      </w:r>
      <w:bookmarkStart w:id="173" w:name="OLE_LINK28"/>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）对工程计量的规定进行计量，必须以承包人完成合同工程应予计量的工程量确定。施</w:t>
      </w:r>
      <w:bookmarkEnd w:id="173"/>
      <w:r>
        <w:rPr>
          <w:rFonts w:hint="eastAsia" w:ascii="宋体" w:hAnsi="宋体" w:eastAsia="宋体" w:cs="宋体"/>
          <w:color w:val="000000" w:themeColor="text1"/>
          <w:spacing w:val="0"/>
          <w:sz w:val="24"/>
          <w:szCs w:val="24"/>
          <w:highlight w:val="none"/>
          <w14:textFill>
            <w14:solidFill>
              <w14:schemeClr w14:val="tx1"/>
            </w14:solidFill>
          </w14:textFill>
        </w:rPr>
        <w:t>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0EBA0169">
      <w:pPr>
        <w:keepNext w:val="0"/>
        <w:keepLines w:val="0"/>
        <w:pageBreakBefore w:val="0"/>
        <w:wordWrap w:val="0"/>
        <w:overflowPunct/>
        <w:topLinePunct w:val="0"/>
        <w:bidi w:val="0"/>
        <w:spacing w:before="38" w:line="299" w:lineRule="auto"/>
        <w:ind w:left="12" w:right="183" w:firstLine="47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  </w:t>
      </w:r>
      <w:r>
        <w:rPr>
          <w:rFonts w:hint="eastAsia" w:ascii="宋体" w:hAnsi="宋体" w:eastAsia="宋体" w:cs="宋体"/>
          <w:color w:val="000000" w:themeColor="text1"/>
          <w:spacing w:val="0"/>
          <w:sz w:val="24"/>
          <w:szCs w:val="24"/>
          <w:highlight w:val="none"/>
          <w14:textFill>
            <w14:solidFill>
              <w14:schemeClr w14:val="tx1"/>
            </w14:solidFill>
          </w14:textFill>
        </w:rPr>
        <w:t>施工合同履行期间，若出现下列情形的，发、承包双方应当按照以下规定调整合同价款：</w:t>
      </w:r>
    </w:p>
    <w:p w14:paraId="28C07B92">
      <w:pPr>
        <w:keepNext w:val="0"/>
        <w:keepLines w:val="0"/>
        <w:pageBreakBefore w:val="0"/>
        <w:wordWrap w:val="0"/>
        <w:overflowPunct/>
        <w:topLinePunct w:val="0"/>
        <w:bidi w:val="0"/>
        <w:spacing w:before="227" w:line="220"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2.3.1  </w:t>
      </w:r>
      <w:r>
        <w:rPr>
          <w:rFonts w:hint="eastAsia" w:ascii="宋体" w:hAnsi="宋体" w:eastAsia="宋体" w:cs="宋体"/>
          <w:color w:val="000000" w:themeColor="text1"/>
          <w:spacing w:val="0"/>
          <w:sz w:val="24"/>
          <w:szCs w:val="24"/>
          <w:highlight w:val="none"/>
          <w14:textFill>
            <w14:solidFill>
              <w14:schemeClr w14:val="tx1"/>
            </w14:solidFill>
          </w14:textFill>
        </w:rPr>
        <w:t>法律法规变化</w:t>
      </w:r>
    </w:p>
    <w:p w14:paraId="6BF5F2D0">
      <w:pPr>
        <w:keepNext w:val="0"/>
        <w:keepLines w:val="0"/>
        <w:pageBreakBefore w:val="0"/>
        <w:wordWrap w:val="0"/>
        <w:overflowPunct/>
        <w:topLinePunct w:val="0"/>
        <w:bidi w:val="0"/>
        <w:spacing w:before="156" w:line="298" w:lineRule="auto"/>
        <w:ind w:left="10" w:right="183"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pacing w:val="0"/>
          <w:sz w:val="24"/>
          <w:szCs w:val="24"/>
          <w:highlight w:val="none"/>
          <w14:textFill>
            <w14:solidFill>
              <w14:schemeClr w14:val="tx1"/>
            </w14:solidFill>
          </w14:textFill>
        </w:rPr>
        <w:instrText xml:space="preserve"> HYPERLINK "2.3.1.1" </w:instrTex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2.3.1.1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color w:val="000000" w:themeColor="text1"/>
          <w:spacing w:val="0"/>
          <w:sz w:val="24"/>
          <w:szCs w:val="24"/>
          <w:highlight w:val="none"/>
          <w14:textFill>
            <w14:solidFill>
              <w14:schemeClr w14:val="tx1"/>
            </w14:solidFill>
          </w14:textFill>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14:paraId="3215BC69">
      <w:pPr>
        <w:keepNext w:val="0"/>
        <w:keepLines w:val="0"/>
        <w:pageBreakBefore w:val="0"/>
        <w:wordWrap w:val="0"/>
        <w:overflowPunct/>
        <w:topLinePunct w:val="0"/>
        <w:bidi w:val="0"/>
        <w:spacing w:before="157" w:line="325" w:lineRule="auto"/>
        <w:ind w:left="12" w:right="183" w:firstLine="47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注：本招标文件所称“基准日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”，均指投标文件递交截止时间（见第一章第二节“重要事项时间地点一览表</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”）前</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28 天。</w:t>
      </w:r>
    </w:p>
    <w:p w14:paraId="5B8E95D2">
      <w:pPr>
        <w:keepNext w:val="0"/>
        <w:keepLines w:val="0"/>
        <w:pageBreakBefore w:val="0"/>
        <w:wordWrap w:val="0"/>
        <w:overflowPunct/>
        <w:topLinePunct w:val="0"/>
        <w:bidi w:val="0"/>
        <w:spacing w:before="33" w:line="299" w:lineRule="auto"/>
        <w:ind w:left="11"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"2.3.1.2"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2.3.1.2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因承包人原因导致工程延误，本章第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2.3.1.1 </w:t>
      </w:r>
      <w:r>
        <w:rPr>
          <w:rFonts w:hint="eastAsia" w:ascii="宋体" w:hAnsi="宋体" w:eastAsia="宋体" w:cs="宋体"/>
          <w:color w:val="000000" w:themeColor="text1"/>
          <w:spacing w:val="0"/>
          <w:sz w:val="24"/>
          <w:szCs w:val="24"/>
          <w:highlight w:val="none"/>
          <w14:textFill>
            <w14:solidFill>
              <w14:schemeClr w14:val="tx1"/>
            </w14:solidFill>
          </w14:textFill>
        </w:rPr>
        <w:t>子目中的法定机构根据国家法律法规变化发布新规的时间在合同工程原定竣工时间之后的，合同价款调增的不予调整，合同价款调减的予以调整。</w:t>
      </w:r>
    </w:p>
    <w:p w14:paraId="231CEC4D">
      <w:pPr>
        <w:keepNext w:val="0"/>
        <w:keepLines w:val="0"/>
        <w:pageBreakBefore w:val="0"/>
        <w:wordWrap w:val="0"/>
        <w:overflowPunct/>
        <w:topLinePunct w:val="0"/>
        <w:bidi w:val="0"/>
        <w:spacing w:before="155" w:line="220"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2.3.2  </w:t>
      </w:r>
      <w:r>
        <w:rPr>
          <w:rFonts w:hint="eastAsia" w:ascii="宋体" w:hAnsi="宋体" w:eastAsia="宋体" w:cs="宋体"/>
          <w:color w:val="000000" w:themeColor="text1"/>
          <w:spacing w:val="0"/>
          <w:sz w:val="24"/>
          <w:szCs w:val="24"/>
          <w:highlight w:val="none"/>
          <w14:textFill>
            <w14:solidFill>
              <w14:schemeClr w14:val="tx1"/>
            </w14:solidFill>
          </w14:textFill>
        </w:rPr>
        <w:t>工程量偏差或变化</w:t>
      </w:r>
    </w:p>
    <w:p w14:paraId="655704F0">
      <w:pPr>
        <w:keepNext w:val="0"/>
        <w:keepLines w:val="0"/>
        <w:pageBreakBefore w:val="0"/>
        <w:wordWrap w:val="0"/>
        <w:overflowPunct/>
        <w:topLinePunct w:val="0"/>
        <w:bidi w:val="0"/>
        <w:spacing w:before="158" w:line="309" w:lineRule="auto"/>
        <w:ind w:left="10" w:right="183"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"2.3.2.1"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2.3.2.1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合同履行期间，当应予计算的实际工程量与招标工程量清单出现偏差或因工程变更引起已标价工程量清单项目的工程数量发生变化时，工程量偏差或变化在 15%以内（含 15%）的，其综合单价不予调整；工程量偏差或变化超过 15%的，按照以下规定调整：</w:t>
      </w:r>
    </w:p>
    <w:p w14:paraId="6F1EA887">
      <w:pPr>
        <w:keepNext w:val="0"/>
        <w:keepLines w:val="0"/>
        <w:pageBreakBefore w:val="0"/>
        <w:wordWrap w:val="0"/>
        <w:overflowPunct/>
        <w:topLinePunct w:val="0"/>
        <w:bidi w:val="0"/>
        <w:spacing w:before="78" w:line="327" w:lineRule="auto"/>
        <w:ind w:left="12" w:firstLine="478"/>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174" w:name="bookmark142"/>
      <w:bookmarkEnd w:id="174"/>
      <w:r>
        <w:rPr>
          <w:rFonts w:hint="eastAsia" w:ascii="宋体" w:hAnsi="宋体" w:eastAsia="宋体" w:cs="宋体"/>
          <w:color w:val="000000" w:themeColor="text1"/>
          <w:spacing w:val="0"/>
          <w:sz w:val="24"/>
          <w:szCs w:val="24"/>
          <w:highlight w:val="none"/>
          <w14:textFill>
            <w14:solidFill>
              <w14:schemeClr w14:val="tx1"/>
            </w14:solidFill>
          </w14:textFill>
        </w:rPr>
        <w:t>对于合理报价的清单项目，当工程量增加超过 15%时，增加部分的工程量的综合单价以投标报价《</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》中综合单价为基价调低 3%；当工程量减少超过 15%时，减少后剩余部分的工程量的综合单价以投标报价《</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》中综合单价为基价调高 3%。</w:t>
      </w:r>
    </w:p>
    <w:p w14:paraId="19CF62EE">
      <w:pPr>
        <w:keepNext w:val="0"/>
        <w:keepLines w:val="0"/>
        <w:pageBreakBefore w:val="0"/>
        <w:wordWrap w:val="0"/>
        <w:overflowPunct/>
        <w:topLinePunct w:val="0"/>
        <w:bidi w:val="0"/>
        <w:spacing w:before="97" w:line="324" w:lineRule="auto"/>
        <w:ind w:left="13" w:right="179"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对于按照第二章“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中标人须知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”第</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4.2 条被认定为不平衡报价的清单项目，其综合单价按照以下方法调整：</w:t>
      </w:r>
    </w:p>
    <w:p w14:paraId="25F45A58">
      <w:pPr>
        <w:keepNext w:val="0"/>
        <w:keepLines w:val="0"/>
        <w:pageBreakBefore w:val="0"/>
        <w:wordWrap w:val="0"/>
        <w:overflowPunct/>
        <w:topLinePunct w:val="0"/>
        <w:bidi w:val="0"/>
        <w:spacing w:before="97" w:line="324" w:lineRule="auto"/>
        <w:ind w:left="13" w:right="179" w:firstLine="477"/>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以</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中《</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b/>
          <w:bCs/>
          <w:color w:val="000000" w:themeColor="text1"/>
          <w:spacing w:val="0"/>
          <w:sz w:val="24"/>
          <w:szCs w:val="24"/>
          <w:highlight w:val="none"/>
          <w14:textFill>
            <w14:solidFill>
              <w14:schemeClr w14:val="tx1"/>
            </w14:solidFill>
          </w14:textFill>
        </w:rPr>
        <w:t>》子目相对应综合单价×（1-中标下浮率）。</w:t>
      </w:r>
    </w:p>
    <w:p w14:paraId="3E1FC9C8">
      <w:pPr>
        <w:keepNext w:val="0"/>
        <w:keepLines w:val="0"/>
        <w:pageBreakBefore w:val="0"/>
        <w:wordWrap w:val="0"/>
        <w:overflowPunct/>
        <w:topLinePunct w:val="0"/>
        <w:bidi w:val="0"/>
        <w:spacing w:before="97" w:line="324" w:lineRule="auto"/>
        <w:ind w:left="13" w:right="179" w:firstLine="477"/>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175" w:name="_Toc12035"/>
      <w:bookmarkStart w:id="176" w:name="_Toc18478"/>
      <w:bookmarkStart w:id="177" w:name="_Toc30068"/>
      <w:r>
        <w:rPr>
          <w:rFonts w:hint="eastAsia" w:ascii="宋体" w:hAnsi="宋体" w:eastAsia="宋体" w:cs="宋体"/>
          <w:b/>
          <w:bCs/>
          <w:color w:val="000000" w:themeColor="text1"/>
          <w:spacing w:val="0"/>
          <w:sz w:val="24"/>
          <w:szCs w:val="24"/>
          <w:highlight w:val="none"/>
          <w14:textFill>
            <w14:solidFill>
              <w14:schemeClr w14:val="tx1"/>
            </w14:solidFill>
          </w14:textFill>
        </w:rPr>
        <w:t>中标下浮率=[1-（中标价-中标</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bookmarkEnd w:id="175"/>
      <w:bookmarkEnd w:id="176"/>
      <w:bookmarkStart w:id="178" w:name="_Toc13602"/>
      <w:bookmarkStart w:id="179" w:name="_Toc15512"/>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 ×100%</w:t>
      </w:r>
      <w:bookmarkEnd w:id="177"/>
      <w:bookmarkEnd w:id="178"/>
      <w:bookmarkEnd w:id="179"/>
    </w:p>
    <w:p w14:paraId="5F716669">
      <w:pPr>
        <w:keepNext w:val="0"/>
        <w:keepLines w:val="0"/>
        <w:pageBreakBefore w:val="0"/>
        <w:wordWrap w:val="0"/>
        <w:overflowPunct/>
        <w:topLinePunct w:val="0"/>
        <w:bidi w:val="0"/>
        <w:spacing w:before="123" w:line="301" w:lineRule="auto"/>
        <w:ind w:left="10" w:right="116" w:firstLine="48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若修正后的该部分《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》总金额大于原投标报价中的该部分总金额，则从投标报价需调高的综合单价中选择偏离最大的清单开始调整，调整幅度逐步减少，直至修正后的该部分《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》总金额与原投标报价中的该部分总金额一致；若修正后的该部分《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》总金额小于原投标报价中的该部分总金额，则从投标报价需调低的综合单价中选择偏离最大的清单开始调整，调整幅度逐步减少，直至修正后的该部分《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》总金额与原投标报价中的该部分总金额一致。修正后的总造价应与总中标价保持一致，形成《不平衡报价修正报告》，并由招标人和中标人共同签章确认。</w:t>
      </w:r>
    </w:p>
    <w:p w14:paraId="2C74F04F">
      <w:pPr>
        <w:keepNext w:val="0"/>
        <w:keepLines w:val="0"/>
        <w:pageBreakBefore w:val="0"/>
        <w:wordWrap w:val="0"/>
        <w:overflowPunct/>
        <w:topLinePunct w:val="0"/>
        <w:bidi w:val="0"/>
        <w:spacing w:before="129" w:line="299" w:lineRule="auto"/>
        <w:ind w:left="12" w:right="179"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"2.3.2.2"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2.3.2.2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如果工程量出现本章第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2.3.2.1 </w:t>
      </w:r>
      <w:r>
        <w:rPr>
          <w:rFonts w:hint="eastAsia" w:ascii="宋体" w:hAnsi="宋体" w:eastAsia="宋体" w:cs="宋体"/>
          <w:color w:val="000000" w:themeColor="text1"/>
          <w:spacing w:val="0"/>
          <w:sz w:val="24"/>
          <w:szCs w:val="24"/>
          <w:highlight w:val="none"/>
          <w14:textFill>
            <w14:solidFill>
              <w14:schemeClr w14:val="tx1"/>
            </w14:solidFill>
          </w14:textFill>
        </w:rPr>
        <w:t>子目的变化，且该变化引起相关措施项目相应发生变化时，按系数或单一总价方式计价的，工程量增加的措施项目费调增，工程量减少的措施项目费调减。</w:t>
      </w:r>
    </w:p>
    <w:p w14:paraId="3DB00805">
      <w:pPr>
        <w:keepNext w:val="0"/>
        <w:keepLines w:val="0"/>
        <w:pageBreakBefore w:val="0"/>
        <w:wordWrap w:val="0"/>
        <w:overflowPunct/>
        <w:topLinePunct w:val="0"/>
        <w:bidi w:val="0"/>
        <w:spacing w:before="154" w:line="221"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  </w:t>
      </w:r>
      <w:r>
        <w:rPr>
          <w:rFonts w:hint="eastAsia" w:ascii="宋体" w:hAnsi="宋体" w:eastAsia="宋体" w:cs="宋体"/>
          <w:color w:val="000000" w:themeColor="text1"/>
          <w:spacing w:val="0"/>
          <w:sz w:val="24"/>
          <w:szCs w:val="24"/>
          <w:highlight w:val="none"/>
          <w14:textFill>
            <w14:solidFill>
              <w14:schemeClr w14:val="tx1"/>
            </w14:solidFill>
          </w14:textFill>
        </w:rPr>
        <w:t>工程变更</w:t>
      </w:r>
    </w:p>
    <w:p w14:paraId="23DCAF42">
      <w:pPr>
        <w:keepNext w:val="0"/>
        <w:keepLines w:val="0"/>
        <w:pageBreakBefore w:val="0"/>
        <w:wordWrap w:val="0"/>
        <w:overflowPunct/>
        <w:topLinePunct w:val="0"/>
        <w:bidi w:val="0"/>
        <w:spacing w:before="153" w:line="279" w:lineRule="auto"/>
        <w:ind w:left="19" w:right="179" w:firstLine="4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"2.3.3.1"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2.3.3.1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合同履行期间，因工程变更引起已标价工程量清单项目发生变化时，按照以下规定调整：</w:t>
      </w:r>
    </w:p>
    <w:p w14:paraId="187CDAE7">
      <w:pPr>
        <w:keepNext w:val="0"/>
        <w:keepLines w:val="0"/>
        <w:pageBreakBefore w:val="0"/>
        <w:numPr>
          <w:ilvl w:val="0"/>
          <w:numId w:val="1"/>
        </w:numPr>
        <w:wordWrap w:val="0"/>
        <w:overflowPunct/>
        <w:topLinePunct w:val="0"/>
        <w:bidi w:val="0"/>
        <w:spacing w:before="78" w:line="360" w:lineRule="auto"/>
        <w:ind w:firstLine="240" w:firstLineChars="10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已标价工程量清单中有适用于变更工程项目的，采用该项目的单价。</w:t>
      </w:r>
      <w:r>
        <w:rPr>
          <w:rFonts w:hint="eastAsia" w:ascii="宋体" w:hAnsi="宋体" w:eastAsia="宋体" w:cs="宋体"/>
          <w:b/>
          <w:bCs/>
          <w:color w:val="000000" w:themeColor="text1"/>
          <w:spacing w:val="0"/>
          <w:sz w:val="24"/>
          <w:szCs w:val="24"/>
          <w:highlight w:val="none"/>
          <w14:textFill>
            <w14:solidFill>
              <w14:schemeClr w14:val="tx1"/>
            </w14:solidFill>
          </w14:textFill>
        </w:rPr>
        <w:t>但如果</w:t>
      </w:r>
      <w:bookmarkStart w:id="180" w:name="bookmark143"/>
      <w:bookmarkEnd w:id="180"/>
      <w:r>
        <w:rPr>
          <w:rFonts w:hint="eastAsia" w:ascii="宋体" w:hAnsi="宋体" w:eastAsia="宋体" w:cs="宋体"/>
          <w:b/>
          <w:bCs/>
          <w:color w:val="000000" w:themeColor="text1"/>
          <w:spacing w:val="0"/>
          <w:sz w:val="24"/>
          <w:szCs w:val="24"/>
          <w:highlight w:val="none"/>
          <w14:textFill>
            <w14:solidFill>
              <w14:schemeClr w14:val="tx1"/>
            </w14:solidFill>
          </w14:textFill>
        </w:rPr>
        <w:t>被采用的项目属于按照第二章“中标人须知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”第</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4.2 条被认定为不平衡报价的清单项目，变更工程项目的单价按照本章 2.3.2.1 的方法调整。】</w:t>
      </w:r>
    </w:p>
    <w:p w14:paraId="7205A22D">
      <w:pPr>
        <w:keepNext w:val="0"/>
        <w:keepLines w:val="0"/>
        <w:pageBreakBefore w:val="0"/>
        <w:numPr>
          <w:ilvl w:val="0"/>
          <w:numId w:val="0"/>
        </w:numPr>
        <w:wordWrap w:val="0"/>
        <w:overflowPunct/>
        <w:topLinePunct w:val="0"/>
        <w:bidi w:val="0"/>
        <w:spacing w:before="78" w:line="360" w:lineRule="auto"/>
        <w:ind w:firstLine="241" w:firstLineChars="1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已标价工程量清单中没有适用但有类似于变更工程项目的，可在合理范围内参照类似项目的单价。</w:t>
      </w:r>
      <w:r>
        <w:rPr>
          <w:rFonts w:hint="eastAsia" w:ascii="宋体" w:hAnsi="宋体" w:eastAsia="宋体" w:cs="宋体"/>
          <w:b/>
          <w:bCs/>
          <w:color w:val="000000" w:themeColor="text1"/>
          <w:spacing w:val="0"/>
          <w:sz w:val="24"/>
          <w:szCs w:val="24"/>
          <w:highlight w:val="none"/>
          <w14:textFill>
            <w14:solidFill>
              <w14:schemeClr w14:val="tx1"/>
            </w14:solidFill>
          </w14:textFill>
        </w:rPr>
        <w:t>但如果被参考的类似项目属于按照第二章“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中标人须知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”第</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4.2条被认定为不平衡报价的清单项目，变更工程项目的单价按照本章2.3.2.1 的方法调整。</w:t>
      </w:r>
    </w:p>
    <w:p w14:paraId="314A12AB">
      <w:pPr>
        <w:keepNext w:val="0"/>
        <w:keepLines w:val="0"/>
        <w:pageBreakBefore w:val="0"/>
        <w:numPr>
          <w:ilvl w:val="0"/>
          <w:numId w:val="0"/>
        </w:numPr>
        <w:wordWrap w:val="0"/>
        <w:overflowPunct/>
        <w:topLinePunct w:val="0"/>
        <w:bidi w:val="0"/>
        <w:spacing w:before="38" w:line="310" w:lineRule="auto"/>
        <w:ind w:right="81" w:rightChars="0" w:firstLine="240" w:firstLineChars="1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w:t>
      </w:r>
    </w:p>
    <w:p w14:paraId="3BB23C34">
      <w:pPr>
        <w:keepNext w:val="0"/>
        <w:keepLines w:val="0"/>
        <w:pageBreakBefore w:val="0"/>
        <w:wordWrap w:val="0"/>
        <w:overflowPunct/>
        <w:topLinePunct w:val="0"/>
        <w:bidi w:val="0"/>
        <w:spacing w:before="126" w:line="314" w:lineRule="auto"/>
        <w:ind w:left="29" w:right="21" w:firstLine="50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中标下浮率=[1-（中标价-中标</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×100%</w:t>
      </w:r>
    </w:p>
    <w:p w14:paraId="132C32ED">
      <w:pPr>
        <w:keepNext w:val="0"/>
        <w:keepLines w:val="0"/>
        <w:pageBreakBefore w:val="0"/>
        <w:wordWrap w:val="0"/>
        <w:overflowPunct/>
        <w:topLinePunct w:val="0"/>
        <w:bidi w:val="0"/>
        <w:spacing w:before="145" w:line="309" w:lineRule="auto"/>
        <w:ind w:right="81" w:firstLine="240" w:firstLineChars="100"/>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7485EB42">
      <w:pPr>
        <w:keepNext w:val="0"/>
        <w:keepLines w:val="0"/>
        <w:pageBreakBefore w:val="0"/>
        <w:wordWrap w:val="0"/>
        <w:overflowPunct/>
        <w:topLinePunct w:val="0"/>
        <w:bidi w:val="0"/>
        <w:spacing w:before="156" w:line="309" w:lineRule="auto"/>
        <w:ind w:left="7" w:right="8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"2.3.3.2"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2.3.3.2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w:t>
      </w:r>
    </w:p>
    <w:p w14:paraId="48DB76F2">
      <w:pPr>
        <w:keepNext w:val="0"/>
        <w:keepLines w:val="0"/>
        <w:pageBreakBefore w:val="0"/>
        <w:wordWrap w:val="0"/>
        <w:overflowPunct/>
        <w:topLinePunct w:val="0"/>
        <w:bidi w:val="0"/>
        <w:spacing w:before="152" w:line="220" w:lineRule="auto"/>
        <w:ind w:left="49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应按照实际发生变化的措施项目计算。</w:t>
      </w:r>
    </w:p>
    <w:p w14:paraId="3430AEEE">
      <w:pPr>
        <w:keepNext w:val="0"/>
        <w:keepLines w:val="0"/>
        <w:pageBreakBefore w:val="0"/>
        <w:wordWrap w:val="0"/>
        <w:overflowPunct/>
        <w:topLinePunct w:val="0"/>
        <w:bidi w:val="0"/>
        <w:spacing w:before="156" w:line="309" w:lineRule="auto"/>
        <w:ind w:left="7" w:right="8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（2）采用单价计算的措施项目费，应按照实际发生变化的措施项目，按本章第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2.3.3.1 </w:t>
      </w:r>
      <w:r>
        <w:rPr>
          <w:rFonts w:hint="eastAsia" w:ascii="宋体" w:hAnsi="宋体" w:eastAsia="宋体" w:cs="宋体"/>
          <w:color w:val="000000" w:themeColor="text1"/>
          <w:spacing w:val="0"/>
          <w:sz w:val="24"/>
          <w:szCs w:val="24"/>
          <w:highlight w:val="none"/>
          <w14:textFill>
            <w14:solidFill>
              <w14:schemeClr w14:val="tx1"/>
            </w14:solidFill>
          </w14:textFill>
        </w:rPr>
        <w:t>子目的规定确定单价。</w:t>
      </w:r>
    </w:p>
    <w:p w14:paraId="49A98A6F">
      <w:pPr>
        <w:keepNext w:val="0"/>
        <w:keepLines w:val="0"/>
        <w:pageBreakBefore w:val="0"/>
        <w:wordWrap w:val="0"/>
        <w:overflowPunct/>
        <w:topLinePunct w:val="0"/>
        <w:bidi w:val="0"/>
        <w:spacing w:before="154" w:line="360" w:lineRule="auto"/>
        <w:ind w:left="8" w:right="81"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（3）按总价或系数计算的措施项目费，应按照实际发生变化的措施项目费调整并考虑中标下浮率因素，即调整金额＝按照实际变化调整后的金额×（1-中标下浮率）。</w:t>
      </w:r>
    </w:p>
    <w:p w14:paraId="78BE891C">
      <w:pPr>
        <w:keepNext w:val="0"/>
        <w:keepLines w:val="0"/>
        <w:pageBreakBefore w:val="0"/>
        <w:wordWrap w:val="0"/>
        <w:overflowPunct/>
        <w:topLinePunct w:val="0"/>
        <w:bidi w:val="0"/>
        <w:spacing w:before="157" w:line="324" w:lineRule="auto"/>
        <w:ind w:left="21" w:right="81" w:firstLine="47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如果承包人未事先将拟实施的方案提交发包人确认，视为工程变更不引起措施项目费的调整或承包人放弃调整措施项目费的权利。</w:t>
      </w:r>
    </w:p>
    <w:p w14:paraId="2ECDD016">
      <w:pPr>
        <w:keepNext w:val="0"/>
        <w:keepLines w:val="0"/>
        <w:pageBreakBefore w:val="0"/>
        <w:wordWrap w:val="0"/>
        <w:overflowPunct/>
        <w:topLinePunct w:val="0"/>
        <w:bidi w:val="0"/>
        <w:spacing w:before="35" w:line="309" w:lineRule="auto"/>
        <w:ind w:right="81" w:firstLine="42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"2.3.3.3"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2.3.3.3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当因非承包人原因，发包人提出的工程变更删减了合同中的某项原定工作或工程，致使承包人发生的费用或（和）得到的收益不能被包括在其他已支付或应支付的项目中，也未被包含在任何替代的工作或工程中时，承包人有权提出并应得到合理的费用及利润补偿。</w:t>
      </w:r>
    </w:p>
    <w:p w14:paraId="4E492982">
      <w:pPr>
        <w:keepNext w:val="0"/>
        <w:keepLines w:val="0"/>
        <w:pageBreakBefore w:val="0"/>
        <w:wordWrap w:val="0"/>
        <w:overflowPunct/>
        <w:topLinePunct w:val="0"/>
        <w:bidi w:val="0"/>
        <w:spacing w:before="155" w:line="220" w:lineRule="auto"/>
        <w:ind w:left="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2.3.4  </w:t>
      </w:r>
      <w:r>
        <w:rPr>
          <w:rFonts w:hint="eastAsia" w:ascii="宋体" w:hAnsi="宋体" w:eastAsia="宋体" w:cs="宋体"/>
          <w:color w:val="000000" w:themeColor="text1"/>
          <w:spacing w:val="0"/>
          <w:sz w:val="24"/>
          <w:szCs w:val="24"/>
          <w:highlight w:val="none"/>
          <w14:textFill>
            <w14:solidFill>
              <w14:schemeClr w14:val="tx1"/>
            </w14:solidFill>
          </w14:textFill>
        </w:rPr>
        <w:t>项目特征不符</w:t>
      </w:r>
    </w:p>
    <w:p w14:paraId="7DBF02D2">
      <w:pPr>
        <w:keepNext w:val="0"/>
        <w:keepLines w:val="0"/>
        <w:pageBreakBefore w:val="0"/>
        <w:wordWrap w:val="0"/>
        <w:overflowPunct/>
        <w:topLinePunct w:val="0"/>
        <w:bidi w:val="0"/>
        <w:spacing w:before="78" w:line="331" w:lineRule="auto"/>
        <w:ind w:left="8" w:right="108"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181" w:name="bookmark144"/>
      <w:bookmarkEnd w:id="181"/>
      <w:r>
        <w:rPr>
          <w:rFonts w:hint="eastAsia" w:ascii="宋体" w:hAnsi="宋体" w:eastAsia="宋体" w:cs="宋体"/>
          <w:color w:val="000000" w:themeColor="text1"/>
          <w:spacing w:val="0"/>
          <w:sz w:val="24"/>
          <w:szCs w:val="24"/>
          <w:highlight w:val="none"/>
          <w14:textFill>
            <w14:solidFill>
              <w14:schemeClr w14:val="tx1"/>
            </w14:solidFill>
          </w14:textFill>
        </w:rPr>
        <w:t xml:space="preserve">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 </w:t>
      </w:r>
      <w:r>
        <w:rPr>
          <w:rFonts w:hint="eastAsia" w:ascii="宋体" w:hAnsi="宋体" w:eastAsia="宋体" w:cs="宋体"/>
          <w:color w:val="000000" w:themeColor="text1"/>
          <w:spacing w:val="0"/>
          <w:sz w:val="24"/>
          <w:szCs w:val="24"/>
          <w:highlight w:val="none"/>
          <w14:textFill>
            <w14:solidFill>
              <w14:schemeClr w14:val="tx1"/>
            </w14:solidFill>
          </w14:textFill>
        </w:rPr>
        <w:t>目相关条款的规定重新确定相应工程量清单项目的综合单价，并调整合同价款。</w:t>
      </w:r>
    </w:p>
    <w:p w14:paraId="197538B0">
      <w:pPr>
        <w:keepNext w:val="0"/>
        <w:keepLines w:val="0"/>
        <w:pageBreakBefore w:val="0"/>
        <w:wordWrap w:val="0"/>
        <w:overflowPunct/>
        <w:topLinePunct w:val="0"/>
        <w:bidi w:val="0"/>
        <w:spacing w:before="38" w:line="221"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2.3.5  </w:t>
      </w:r>
      <w:r>
        <w:rPr>
          <w:rFonts w:hint="eastAsia" w:ascii="宋体" w:hAnsi="宋体" w:eastAsia="宋体" w:cs="宋体"/>
          <w:color w:val="000000" w:themeColor="text1"/>
          <w:spacing w:val="0"/>
          <w:sz w:val="24"/>
          <w:szCs w:val="24"/>
          <w:highlight w:val="none"/>
          <w14:textFill>
            <w14:solidFill>
              <w14:schemeClr w14:val="tx1"/>
            </w14:solidFill>
          </w14:textFill>
        </w:rPr>
        <w:t>招标工程量清单缺项</w:t>
      </w:r>
    </w:p>
    <w:p w14:paraId="5867B021">
      <w:pPr>
        <w:keepNext w:val="0"/>
        <w:keepLines w:val="0"/>
        <w:pageBreakBefore w:val="0"/>
        <w:widowControl/>
        <w:kinsoku w:val="0"/>
        <w:wordWrap w:val="0"/>
        <w:overflowPunct/>
        <w:topLinePunct w:val="0"/>
        <w:autoSpaceDE w:val="0"/>
        <w:autoSpaceDN w:val="0"/>
        <w:bidi w:val="0"/>
        <w:adjustRightInd w:val="0"/>
        <w:snapToGrid w:val="0"/>
        <w:spacing w:before="152" w:line="25" w:lineRule="atLeast"/>
        <w:ind w:left="9" w:right="56" w:firstLine="47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"2.3.5.1"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2.3.5.1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合同履行期间，由于招标工程量清单中缺项，新增分部分项工程清单项目，应按照本章第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2.3.3.1 </w:t>
      </w:r>
      <w:r>
        <w:rPr>
          <w:rFonts w:hint="eastAsia" w:ascii="宋体" w:hAnsi="宋体" w:eastAsia="宋体" w:cs="宋体"/>
          <w:color w:val="000000" w:themeColor="text1"/>
          <w:spacing w:val="0"/>
          <w:sz w:val="24"/>
          <w:szCs w:val="24"/>
          <w:highlight w:val="none"/>
          <w14:textFill>
            <w14:solidFill>
              <w14:schemeClr w14:val="tx1"/>
            </w14:solidFill>
          </w14:textFill>
        </w:rPr>
        <w:t>子目的规定确定单价，并调整合同价款。</w:t>
      </w:r>
    </w:p>
    <w:p w14:paraId="789762A4">
      <w:pPr>
        <w:keepNext w:val="0"/>
        <w:keepLines w:val="0"/>
        <w:pageBreakBefore w:val="0"/>
        <w:widowControl/>
        <w:kinsoku w:val="0"/>
        <w:wordWrap w:val="0"/>
        <w:overflowPunct/>
        <w:topLinePunct w:val="0"/>
        <w:autoSpaceDE w:val="0"/>
        <w:autoSpaceDN w:val="0"/>
        <w:bidi w:val="0"/>
        <w:adjustRightInd w:val="0"/>
        <w:snapToGrid w:val="0"/>
        <w:spacing w:before="157" w:line="25" w:lineRule="atLeast"/>
        <w:ind w:firstLine="42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"2.3.5.2"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2.3.5.2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新增分部分项工程清单项目后，引起措施项目发生变化的，应按照本章第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2.3.3.2 </w:t>
      </w:r>
      <w:r>
        <w:rPr>
          <w:rFonts w:hint="eastAsia" w:ascii="宋体" w:hAnsi="宋体" w:eastAsia="宋体" w:cs="宋体"/>
          <w:color w:val="000000" w:themeColor="text1"/>
          <w:spacing w:val="0"/>
          <w:sz w:val="24"/>
          <w:szCs w:val="24"/>
          <w:highlight w:val="none"/>
          <w14:textFill>
            <w14:solidFill>
              <w14:schemeClr w14:val="tx1"/>
            </w14:solidFill>
          </w14:textFill>
        </w:rPr>
        <w:t>子目的规定，在承包人提交的实施方案被发包人批准后调整合同价款。</w:t>
      </w:r>
    </w:p>
    <w:p w14:paraId="64483C48">
      <w:pPr>
        <w:keepNext w:val="0"/>
        <w:keepLines w:val="0"/>
        <w:pageBreakBefore w:val="0"/>
        <w:widowControl/>
        <w:kinsoku w:val="0"/>
        <w:wordWrap w:val="0"/>
        <w:overflowPunct/>
        <w:topLinePunct w:val="0"/>
        <w:autoSpaceDE w:val="0"/>
        <w:autoSpaceDN w:val="0"/>
        <w:bidi w:val="0"/>
        <w:adjustRightInd w:val="0"/>
        <w:snapToGrid w:val="0"/>
        <w:spacing w:before="156" w:line="300" w:lineRule="auto"/>
        <w:ind w:left="11" w:right="108" w:firstLine="471"/>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"2.3.5.3"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2.3.5.3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由于招标工程量清单中措施项目缺项，承包人应将新增措施项目实施方案提交发包人批准后，按照本章第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2.3.3.1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子目、第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2.3.3.2 </w:t>
      </w:r>
      <w:r>
        <w:rPr>
          <w:rFonts w:hint="eastAsia" w:ascii="宋体" w:hAnsi="宋体" w:eastAsia="宋体" w:cs="宋体"/>
          <w:color w:val="000000" w:themeColor="text1"/>
          <w:spacing w:val="0"/>
          <w:sz w:val="24"/>
          <w:szCs w:val="24"/>
          <w:highlight w:val="none"/>
          <w14:textFill>
            <w14:solidFill>
              <w14:schemeClr w14:val="tx1"/>
            </w14:solidFill>
          </w14:textFill>
        </w:rPr>
        <w:t>子目的规定调整合同价款。</w:t>
      </w:r>
    </w:p>
    <w:p w14:paraId="08FB5658">
      <w:pPr>
        <w:keepNext w:val="0"/>
        <w:keepLines w:val="0"/>
        <w:pageBreakBefore w:val="0"/>
        <w:wordWrap w:val="0"/>
        <w:overflowPunct/>
        <w:topLinePunct w:val="0"/>
        <w:bidi w:val="0"/>
        <w:spacing w:before="154" w:line="219"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2.3.6  </w:t>
      </w:r>
      <w:r>
        <w:rPr>
          <w:rFonts w:hint="eastAsia" w:ascii="宋体" w:hAnsi="宋体" w:eastAsia="宋体" w:cs="宋体"/>
          <w:color w:val="000000" w:themeColor="text1"/>
          <w:spacing w:val="0"/>
          <w:sz w:val="24"/>
          <w:szCs w:val="24"/>
          <w:highlight w:val="none"/>
          <w14:textFill>
            <w14:solidFill>
              <w14:schemeClr w14:val="tx1"/>
            </w14:solidFill>
          </w14:textFill>
        </w:rPr>
        <w:t>物价变化</w:t>
      </w:r>
    </w:p>
    <w:p w14:paraId="7D525C3E">
      <w:pPr>
        <w:keepNext w:val="0"/>
        <w:keepLines w:val="0"/>
        <w:pageBreakBefore w:val="0"/>
        <w:wordWrap w:val="0"/>
        <w:overflowPunct/>
        <w:topLinePunct w:val="0"/>
        <w:bidi w:val="0"/>
        <w:spacing w:before="156" w:line="315" w:lineRule="auto"/>
        <w:ind w:left="8" w:right="108"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"2.3.6.1"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合同履行期间，项目所在地工程造价管理机构发布的动态人工调整系数发生变化时，如果承包人投标报价中人工费（以下简称“ 中标人工费 ”）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6A69C7F8">
      <w:pPr>
        <w:keepNext w:val="0"/>
        <w:keepLines w:val="0"/>
        <w:pageBreakBefore w:val="0"/>
        <w:wordWrap w:val="0"/>
        <w:overflowPunct/>
        <w:topLinePunct w:val="0"/>
        <w:bidi w:val="0"/>
        <w:spacing w:before="153" w:line="220" w:lineRule="auto"/>
        <w:ind w:left="494"/>
        <w:rPr>
          <w:rFonts w:hint="eastAsia" w:ascii="宋体" w:hAnsi="宋体" w:eastAsia="宋体" w:cs="宋体"/>
          <w:color w:val="000000" w:themeColor="text1"/>
          <w:spacing w:val="0"/>
          <w:sz w:val="15"/>
          <w:szCs w:val="15"/>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结算人工费＝中标人工费×F</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p>
    <w:p w14:paraId="381BBD03">
      <w:pPr>
        <w:keepNext w:val="0"/>
        <w:keepLines w:val="0"/>
        <w:pageBreakBefore w:val="0"/>
        <w:wordWrap w:val="0"/>
        <w:overflowPunct/>
        <w:topLinePunct w:val="0"/>
        <w:bidi w:val="0"/>
        <w:spacing w:before="152" w:line="219"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式中，F</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为施工当月项目所在地工程造价管理机构发布的动态人工调整系数。</w:t>
      </w:r>
    </w:p>
    <w:p w14:paraId="4F9CF534">
      <w:pPr>
        <w:keepNext w:val="0"/>
        <w:keepLines w:val="0"/>
        <w:pageBreakBefore w:val="0"/>
        <w:wordWrap w:val="0"/>
        <w:overflowPunct/>
        <w:topLinePunct w:val="0"/>
        <w:bidi w:val="0"/>
        <w:spacing w:before="119" w:line="324" w:lineRule="auto"/>
        <w:ind w:left="1" w:right="108" w:firstLine="48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pacing w:val="0"/>
          <w:sz w:val="24"/>
          <w:szCs w:val="24"/>
          <w:highlight w:val="none"/>
          <w14:textFill>
            <w14:solidFill>
              <w14:schemeClr w14:val="tx1"/>
            </w14:solidFill>
          </w14:textFill>
        </w:rPr>
        <w:instrText xml:space="preserve"> HYPERLINK "2.3.6.2" </w:instrTex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本招标项目约定，材料、工程设备单价涨跌风险幅度值 A 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5%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。合同履行期间，当《承包人提供主要材料和工程设备一览表》（详见招标工程量清单）中的材料、工程设备单价涨跌幅度等于或低于 A 值时，该材料、工程设备单价不予调整；超过A 值时，其超过部分可以调整。相关费用按有关规定进行相应调整。</w:t>
      </w:r>
    </w:p>
    <w:p w14:paraId="62EE16C1">
      <w:pPr>
        <w:keepNext w:val="0"/>
        <w:keepLines w:val="0"/>
        <w:pageBreakBefore w:val="0"/>
        <w:wordWrap w:val="0"/>
        <w:overflowPunct/>
        <w:topLinePunct w:val="0"/>
        <w:bidi w:val="0"/>
        <w:spacing w:before="126" w:line="295" w:lineRule="auto"/>
        <w:ind w:left="11" w:right="108" w:firstLine="47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a ．如果承包人投标报价中材料、工程设备单价（以下简称“ 中标单价 ”）低于基准日当月项目所在地工程造价管理机构发布的对应材料、工程设备单价（以下简称“基准单价 ”），该材料、工程设备的结算单价调整公式为：</w:t>
      </w:r>
    </w:p>
    <w:p w14:paraId="15C1572F">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5" o:spt="75" type="#_x0000_t75" style="height:33.95pt;width:200.95pt;" o:ole="t" filled="f" o:preferrelative="t" stroked="f" coordsize="21600,21600">
            <v:path/>
            <v:fill on="f" focussize="0,0"/>
            <v:stroke on="f"/>
            <v:imagedata r:id="rId32" embosscolor="#FFFFFF" o:title=""/>
            <o:lock v:ext="edit" grouping="f" rotation="f" text="f" aspectratio="t"/>
            <w10:wrap type="none"/>
            <w10:anchorlock/>
          </v:shape>
          <o:OLEObject Type="Embed" ProgID="Equation.KSEE3" ShapeID="_x0000_i1025" DrawAspect="Content" ObjectID="_1468075725" r:id="rId31">
            <o:LockedField>false</o:LockedField>
          </o:OLEObject>
        </w:object>
      </w:r>
    </w:p>
    <w:p w14:paraId="5FEA2B94">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6" o:spt="75" type="#_x0000_t75" style="height:33.95pt;width:198.95pt;" o:ole="t" filled="f" o:preferrelative="t" stroked="f" coordsize="21600,21600">
            <v:path/>
            <v:fill on="f" focussize="0,0"/>
            <v:stroke on="f"/>
            <v:imagedata r:id="rId34" embosscolor="#FFFFFF" o:title=""/>
            <o:lock v:ext="edit" grouping="f" rotation="f" text="f" aspectratio="t"/>
            <w10:wrap type="none"/>
            <w10:anchorlock/>
          </v:shape>
          <o:OLEObject Type="Embed" ProgID="Equation.KSEE3" ShapeID="_x0000_i1026" DrawAspect="Content" ObjectID="_1468075726" r:id="rId33">
            <o:LockedField>false</o:LockedField>
          </o:OLEObject>
        </w:object>
      </w:r>
    </w:p>
    <w:p w14:paraId="67B1681F">
      <w:pPr>
        <w:keepNext w:val="0"/>
        <w:keepLines w:val="0"/>
        <w:pageBreakBefore w:val="0"/>
        <w:wordWrap w:val="0"/>
        <w:overflowPunct/>
        <w:topLinePunct w:val="0"/>
        <w:bidi w:val="0"/>
        <w:adjustRightInd w:val="0"/>
        <w:snapToGrid w:val="0"/>
        <w:spacing w:before="360" w:beforeLines="150" w:after="240" w:afterLines="100" w:line="440" w:lineRule="exact"/>
        <w:ind w:firstLine="482" w:firstLineChars="200"/>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b</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．如果中标单价高于基准单价，该材料、工程设备的结算单价调整公式为：</w:t>
      </w:r>
    </w:p>
    <w:p w14:paraId="75BCCAF3">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7" o:spt="75" type="#_x0000_t75" style="height:33.95pt;width:198.95pt;" o:ole="t" filled="f" o:preferrelative="t" stroked="f" coordsize="21600,21600">
            <v:path/>
            <v:fill on="f" focussize="0,0"/>
            <v:stroke on="f"/>
            <v:imagedata r:id="rId36" embosscolor="#FFFFFF" o:title=""/>
            <o:lock v:ext="edit" grouping="f" rotation="f" text="f" aspectratio="t"/>
            <w10:wrap type="none"/>
            <w10:anchorlock/>
          </v:shape>
          <o:OLEObject Type="Embed" ProgID="Equation.KSEE3" ShapeID="_x0000_i1027" DrawAspect="Content" ObjectID="_1468075727" r:id="rId35">
            <o:LockedField>false</o:LockedField>
          </o:OLEObject>
        </w:object>
      </w:r>
    </w:p>
    <w:p w14:paraId="416D8DFC">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8" o:spt="75" type="#_x0000_t75" style="height:33.95pt;width:200.95pt;" o:ole="t" filled="f" o:preferrelative="t" stroked="f" coordsize="21600,21600">
            <v:path/>
            <v:fill on="f" focussize="0,0"/>
            <v:stroke on="f"/>
            <v:imagedata r:id="rId38" embosscolor="#FFFFFF" o:title=""/>
            <o:lock v:ext="edit" grouping="f" rotation="f" text="f" aspectratio="t"/>
            <w10:wrap type="none"/>
            <w10:anchorlock/>
          </v:shape>
          <o:OLEObject Type="Embed" ProgID="Equation.KSEE3" ShapeID="_x0000_i1028" DrawAspect="Content" ObjectID="_1468075728" r:id="rId37">
            <o:LockedField>false</o:LockedField>
          </o:OLEObject>
        </w:object>
      </w:r>
    </w:p>
    <w:p w14:paraId="06B55B00">
      <w:pPr>
        <w:keepNext w:val="0"/>
        <w:keepLines w:val="0"/>
        <w:pageBreakBefore w:val="0"/>
        <w:wordWrap w:val="0"/>
        <w:overflowPunct/>
        <w:topLinePunct w:val="0"/>
        <w:bidi w:val="0"/>
        <w:adjustRightInd w:val="0"/>
        <w:snapToGrid w:val="0"/>
        <w:spacing w:before="360" w:beforeLines="150" w:after="240" w:afterLines="100" w:line="440" w:lineRule="exact"/>
        <w:ind w:firstLine="482"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c</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．如果中标单价等于基准单价，该材料、工程设备的结算单价调整公式为：</w:t>
      </w:r>
    </w:p>
    <w:p w14:paraId="4FFC8AE1">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9" o:spt="75" type="#_x0000_t75" style="height:33.95pt;width:200.95pt;" o:ole="t" filled="f" o:preferrelative="t" stroked="f" coordsize="21600,21600">
            <v:path/>
            <v:fill on="f" focussize="0,0"/>
            <v:stroke on="f"/>
            <v:imagedata r:id="rId40" embosscolor="#FFFFFF" o:title=""/>
            <o:lock v:ext="edit" grouping="f" rotation="f" text="f" aspectratio="t"/>
            <w10:wrap type="none"/>
            <w10:anchorlock/>
          </v:shape>
          <o:OLEObject Type="Embed" ProgID="Equation.KSEE3" ShapeID="_x0000_i1029" DrawAspect="Content" ObjectID="_1468075729" r:id="rId39">
            <o:LockedField>false</o:LockedField>
          </o:OLEObject>
        </w:object>
      </w:r>
    </w:p>
    <w:p w14:paraId="4903428A">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0" o:spt="75" type="#_x0000_t75" style="height:33.95pt;width:200.95pt;" o:ole="t" filled="f" o:preferrelative="t" stroked="f" coordsize="21600,21600">
            <v:path/>
            <v:fill on="f" focussize="0,0"/>
            <v:stroke on="f"/>
            <v:imagedata r:id="rId42" embosscolor="#FFFFFF" o:title=""/>
            <o:lock v:ext="edit" grouping="f" rotation="f" text="f" aspectratio="t"/>
            <w10:wrap type="none"/>
            <w10:anchorlock/>
          </v:shape>
          <o:OLEObject Type="Embed" ProgID="Equation.KSEE3" ShapeID="_x0000_i1030" DrawAspect="Content" ObjectID="_1468075730" r:id="rId41">
            <o:LockedField>false</o:LockedField>
          </o:OLEObject>
        </w:object>
      </w:r>
    </w:p>
    <w:p w14:paraId="40B2A737">
      <w:pPr>
        <w:keepNext w:val="0"/>
        <w:keepLines w:val="0"/>
        <w:pageBreakBefore w:val="0"/>
        <w:wordWrap w:val="0"/>
        <w:overflowPunct/>
        <w:topLinePunct w:val="0"/>
        <w:bidi w:val="0"/>
        <w:spacing w:before="78"/>
        <w:ind w:left="330"/>
        <w:rPr>
          <w:rFonts w:hint="eastAsia" w:ascii="宋体" w:hAnsi="宋体" w:eastAsia="宋体" w:cs="宋体"/>
          <w:color w:val="000000" w:themeColor="text1"/>
          <w:spacing w:val="0"/>
          <w:sz w:val="24"/>
          <w:szCs w:val="24"/>
          <w:highlight w:val="none"/>
          <w14:textFill>
            <w14:solidFill>
              <w14:schemeClr w14:val="tx1"/>
            </w14:solidFill>
          </w14:textFill>
        </w:rPr>
      </w:pPr>
    </w:p>
    <w:p w14:paraId="0EFBDC2C">
      <w:pPr>
        <w:keepNext w:val="0"/>
        <w:keepLines w:val="0"/>
        <w:pageBreakBefore w:val="0"/>
        <w:wordWrap w:val="0"/>
        <w:overflowPunct/>
        <w:topLinePunct w:val="0"/>
        <w:bidi w:val="0"/>
        <w:spacing w:before="78" w:line="330" w:lineRule="auto"/>
        <w:ind w:right="59" w:firstLine="50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以上公式中，F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1 </w:t>
      </w:r>
      <w:r>
        <w:rPr>
          <w:rFonts w:hint="eastAsia" w:ascii="宋体" w:hAnsi="宋体" w:eastAsia="宋体" w:cs="宋体"/>
          <w:color w:val="000000" w:themeColor="text1"/>
          <w:spacing w:val="0"/>
          <w:sz w:val="24"/>
          <w:szCs w:val="24"/>
          <w:highlight w:val="none"/>
          <w14:textFill>
            <w14:solidFill>
              <w14:schemeClr w14:val="tx1"/>
            </w14:solidFill>
          </w14:textFill>
        </w:rPr>
        <w:t>为中标单价；F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0</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为基准单价；F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2 </w:t>
      </w:r>
      <w:r>
        <w:rPr>
          <w:rFonts w:hint="eastAsia" w:ascii="宋体" w:hAnsi="宋体" w:eastAsia="宋体" w:cs="宋体"/>
          <w:color w:val="000000" w:themeColor="text1"/>
          <w:spacing w:val="0"/>
          <w:sz w:val="24"/>
          <w:szCs w:val="24"/>
          <w:highlight w:val="none"/>
          <w14:textFill>
            <w14:solidFill>
              <w14:schemeClr w14:val="tx1"/>
            </w14:solidFill>
          </w14:textFill>
        </w:rPr>
        <w:t>为施工当月项目所在地工程造价管理机构发布的材料、工程设备单价；A 为合同约定的材料、工程设备单价涨跌风险幅度值。</w:t>
      </w:r>
    </w:p>
    <w:p w14:paraId="6F9801F9">
      <w:pPr>
        <w:keepNext w:val="0"/>
        <w:keepLines w:val="0"/>
        <w:pageBreakBefore w:val="0"/>
        <w:wordWrap w:val="0"/>
        <w:overflowPunct/>
        <w:topLinePunct w:val="0"/>
        <w:bidi w:val="0"/>
        <w:spacing w:before="33" w:line="299" w:lineRule="auto"/>
        <w:ind w:right="59"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"2.3.6.3"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合同履行期间，当《发包人提供材料和工程设备一览表》（详见招标工程量清单）中的材料、工程设备单价发生变化时，由发包人按照实际变化调整，并列入合同价款。</w:t>
      </w:r>
    </w:p>
    <w:p w14:paraId="6F47D427">
      <w:pPr>
        <w:keepNext w:val="0"/>
        <w:keepLines w:val="0"/>
        <w:pageBreakBefore w:val="0"/>
        <w:wordWrap w:val="0"/>
        <w:overflowPunct/>
        <w:topLinePunct w:val="0"/>
        <w:bidi w:val="0"/>
        <w:spacing w:before="121" w:line="308" w:lineRule="auto"/>
        <w:ind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"2.3.6.4"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2.3.6.4</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本招标项目约定，施工机具台班单价涨跌风险幅度值 B 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10%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。合同履行期间，当施工机具台班单价涨跌幅度等于或低于 B 值时，该施工机具台班单价不予调整；超过 B 值时，其超过部分可以调整。相关费用按有关规定进行相应调整。</w:t>
      </w:r>
    </w:p>
    <w:p w14:paraId="120353C6">
      <w:pPr>
        <w:keepNext w:val="0"/>
        <w:keepLines w:val="0"/>
        <w:pageBreakBefore w:val="0"/>
        <w:wordWrap w:val="0"/>
        <w:overflowPunct/>
        <w:topLinePunct w:val="0"/>
        <w:bidi w:val="0"/>
        <w:spacing w:before="153" w:line="278" w:lineRule="auto"/>
        <w:ind w:left="42" w:right="59" w:firstLine="44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．如果承包人投标报价中施工机具台班单价（以下简称“ 中标单价 ”）低于基准日当月项目所在地工程造价管理机构发布的对应施工机具台班单价（以下简称“基准单价 ”），该施工机具台班的结算单价调整公式为：</w:t>
      </w:r>
    </w:p>
    <w:p w14:paraId="0DF11097">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1" o:spt="75" type="#_x0000_t75" style="height:33.95pt;width:200.95pt;" o:ole="t" filled="f" o:preferrelative="t" stroked="f" coordsize="21600,21600">
            <v:path/>
            <v:fill on="f" focussize="0,0"/>
            <v:stroke on="f"/>
            <v:imagedata r:id="rId44" embosscolor="#FFFFFF" o:title=""/>
            <o:lock v:ext="edit" grouping="f" rotation="f" text="f" aspectratio="t"/>
            <w10:wrap type="none"/>
            <w10:anchorlock/>
          </v:shape>
          <o:OLEObject Type="Embed" ProgID="Equation.KSEE3" ShapeID="_x0000_i1031" DrawAspect="Content" ObjectID="_1468075731" r:id="rId43">
            <o:LockedField>false</o:LockedField>
          </o:OLEObject>
        </w:object>
      </w:r>
    </w:p>
    <w:p w14:paraId="183065CE">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2" o:spt="75" type="#_x0000_t75" style="height:33.95pt;width:198pt;" o:ole="t" filled="f" o:preferrelative="t" stroked="f" coordsize="21600,21600">
            <v:path/>
            <v:fill on="f" focussize="0,0"/>
            <v:stroke on="f"/>
            <v:imagedata r:id="rId46" embosscolor="#FFFFFF" o:title=""/>
            <o:lock v:ext="edit" grouping="f" rotation="f" text="f" aspectratio="t"/>
            <w10:wrap type="none"/>
            <w10:anchorlock/>
          </v:shape>
          <o:OLEObject Type="Embed" ProgID="Equation.KSEE3" ShapeID="_x0000_i1032" DrawAspect="Content" ObjectID="_1468075732" r:id="rId45">
            <o:LockedField>false</o:LockedField>
          </o:OLEObject>
        </w:object>
      </w:r>
    </w:p>
    <w:p w14:paraId="2B2919C1">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sz w:val="24"/>
          <w:szCs w:val="24"/>
          <w:highlight w:val="none"/>
          <w14:textFill>
            <w14:solidFill>
              <w14:schemeClr w14:val="tx1"/>
            </w14:solidFill>
          </w14:textFill>
        </w:rPr>
        <w:t>b</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．如果中标单价高于基准单价，该施工机具台班的结算单价调整公式为：</w:t>
      </w:r>
    </w:p>
    <w:p w14:paraId="0B4D8697">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3" o:spt="75" type="#_x0000_t75" style="height:33.95pt;width:198pt;" o:ole="t" filled="f" o:preferrelative="t" stroked="f" coordsize="21600,21600">
            <v:path/>
            <v:fill on="f" focussize="0,0"/>
            <v:stroke on="f"/>
            <v:imagedata r:id="rId48" embosscolor="#FFFFFF" o:title=""/>
            <o:lock v:ext="edit" grouping="f" rotation="f" text="f" aspectratio="t"/>
            <w10:wrap type="none"/>
            <w10:anchorlock/>
          </v:shape>
          <o:OLEObject Type="Embed" ProgID="Equation.KSEE3" ShapeID="_x0000_i1033" DrawAspect="Content" ObjectID="_1468075733" r:id="rId47">
            <o:LockedField>false</o:LockedField>
          </o:OLEObject>
        </w:object>
      </w:r>
    </w:p>
    <w:p w14:paraId="3F7BD139">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4" o:spt="75" type="#_x0000_t75" style="height:33.95pt;width:200.95pt;" o:ole="t" filled="f" o:preferrelative="t" stroked="f" coordsize="21600,21600">
            <v:path/>
            <v:fill on="f" focussize="0,0"/>
            <v:stroke on="f"/>
            <v:imagedata r:id="rId50" embosscolor="#FFFFFF" o:title=""/>
            <o:lock v:ext="edit" grouping="f" rotation="f" text="f" aspectratio="t"/>
            <w10:wrap type="none"/>
            <w10:anchorlock/>
          </v:shape>
          <o:OLEObject Type="Embed" ProgID="Equation.KSEE3" ShapeID="_x0000_i1034" DrawAspect="Content" ObjectID="_1468075734" r:id="rId49">
            <o:LockedField>false</o:LockedField>
          </o:OLEObject>
        </w:object>
      </w:r>
    </w:p>
    <w:p w14:paraId="62112DB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sz w:val="24"/>
          <w:szCs w:val="24"/>
          <w:highlight w:val="none"/>
          <w14:textFill>
            <w14:solidFill>
              <w14:schemeClr w14:val="tx1"/>
            </w14:solidFill>
          </w14:textFill>
        </w:rPr>
        <w:t>c</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．如果中标单价等于基准单价，该施工机具台班的结算单价调整公式为：</w:t>
      </w:r>
    </w:p>
    <w:p w14:paraId="68970ACC">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5" o:spt="75" type="#_x0000_t75" style="height:33.95pt;width:200.95pt;" o:ole="t" filled="f" o:preferrelative="t" stroked="f" coordsize="21600,21600">
            <v:path/>
            <v:fill on="f" focussize="0,0"/>
            <v:stroke on="f"/>
            <v:imagedata r:id="rId52" embosscolor="#FFFFFF" o:title=""/>
            <o:lock v:ext="edit" grouping="f" rotation="f" text="f" aspectratio="t"/>
            <w10:wrap type="none"/>
            <w10:anchorlock/>
          </v:shape>
          <o:OLEObject Type="Embed" ProgID="Equation.KSEE3" ShapeID="_x0000_i1035" DrawAspect="Content" ObjectID="_1468075735" r:id="rId51">
            <o:LockedField>false</o:LockedField>
          </o:OLEObject>
        </w:object>
      </w:r>
    </w:p>
    <w:p w14:paraId="121158F2">
      <w:pPr>
        <w:keepNext w:val="0"/>
        <w:keepLines w:val="0"/>
        <w:pageBreakBefore w:val="0"/>
        <w:wordWrap w:val="0"/>
        <w:overflowPunct/>
        <w:topLinePunct w:val="0"/>
        <w:bidi w:val="0"/>
        <w:spacing w:before="79" w:line="324" w:lineRule="auto"/>
        <w:ind w:left="11" w:right="65" w:firstLine="504"/>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6" o:spt="75" type="#_x0000_t75" style="height:33.95pt;width:200.95pt;" o:ole="t" filled="f" o:preferrelative="t" stroked="f" coordsize="21600,21600">
            <v:path/>
            <v:fill on="f" focussize="0,0"/>
            <v:stroke on="f"/>
            <v:imagedata r:id="rId54" embosscolor="#FFFFFF" o:title=""/>
            <o:lock v:ext="edit" grouping="f" rotation="f" text="f" aspectratio="t"/>
            <w10:wrap type="none"/>
            <w10:anchorlock/>
          </v:shape>
          <o:OLEObject Type="Embed" ProgID="Equation.KSEE3" ShapeID="_x0000_i1036" DrawAspect="Content" ObjectID="_1468075736" r:id="rId53">
            <o:LockedField>false</o:LockedField>
          </o:OLEObject>
        </w:object>
      </w:r>
    </w:p>
    <w:p w14:paraId="1258EA6F">
      <w:pPr>
        <w:keepNext w:val="0"/>
        <w:keepLines w:val="0"/>
        <w:pageBreakBefore w:val="0"/>
        <w:wordWrap w:val="0"/>
        <w:overflowPunct/>
        <w:topLinePunct w:val="0"/>
        <w:bidi w:val="0"/>
        <w:spacing w:before="79" w:line="324" w:lineRule="auto"/>
        <w:ind w:left="11" w:right="65" w:firstLine="50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以上公式中，F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1 </w:t>
      </w:r>
      <w:r>
        <w:rPr>
          <w:rFonts w:hint="eastAsia" w:ascii="宋体" w:hAnsi="宋体" w:eastAsia="宋体" w:cs="宋体"/>
          <w:color w:val="000000" w:themeColor="text1"/>
          <w:spacing w:val="0"/>
          <w:sz w:val="24"/>
          <w:szCs w:val="24"/>
          <w:highlight w:val="none"/>
          <w14:textFill>
            <w14:solidFill>
              <w14:schemeClr w14:val="tx1"/>
            </w14:solidFill>
          </w14:textFill>
        </w:rPr>
        <w:t>为中标单价；F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0</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为基准单价；F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2 </w:t>
      </w:r>
      <w:r>
        <w:rPr>
          <w:rFonts w:hint="eastAsia" w:ascii="宋体" w:hAnsi="宋体" w:eastAsia="宋体" w:cs="宋体"/>
          <w:color w:val="000000" w:themeColor="text1"/>
          <w:spacing w:val="0"/>
          <w:sz w:val="24"/>
          <w:szCs w:val="24"/>
          <w:highlight w:val="none"/>
          <w14:textFill>
            <w14:solidFill>
              <w14:schemeClr w14:val="tx1"/>
            </w14:solidFill>
          </w14:textFill>
        </w:rPr>
        <w:t>为施工当月项目所在地工程造价管理机构发布的施工机具台班单价；B 为合同约定的施工机具台班单价涨跌风险幅度值。</w:t>
      </w:r>
    </w:p>
    <w:p w14:paraId="08F7A996">
      <w:pPr>
        <w:keepNext w:val="0"/>
        <w:keepLines w:val="0"/>
        <w:pageBreakBefore w:val="0"/>
        <w:wordWrap w:val="0"/>
        <w:overflowPunct/>
        <w:topLinePunct w:val="0"/>
        <w:bidi w:val="0"/>
        <w:spacing w:before="39" w:line="219" w:lineRule="auto"/>
        <w:ind w:left="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2.3.7  </w:t>
      </w:r>
      <w:r>
        <w:rPr>
          <w:rFonts w:hint="eastAsia" w:ascii="宋体" w:hAnsi="宋体" w:eastAsia="宋体" w:cs="宋体"/>
          <w:color w:val="000000" w:themeColor="text1"/>
          <w:spacing w:val="0"/>
          <w:sz w:val="24"/>
          <w:szCs w:val="24"/>
          <w:highlight w:val="none"/>
          <w14:textFill>
            <w14:solidFill>
              <w14:schemeClr w14:val="tx1"/>
            </w14:solidFill>
          </w14:textFill>
        </w:rPr>
        <w:t>暂估价和暂列金额</w:t>
      </w:r>
    </w:p>
    <w:p w14:paraId="55F5A879">
      <w:pPr>
        <w:keepNext w:val="0"/>
        <w:keepLines w:val="0"/>
        <w:pageBreakBefore w:val="0"/>
        <w:wordWrap w:val="0"/>
        <w:overflowPunct/>
        <w:topLinePunct w:val="0"/>
        <w:bidi w:val="0"/>
        <w:spacing w:before="154" w:line="299" w:lineRule="auto"/>
        <w:ind w:left="7" w:right="57" w:firstLine="477"/>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"2.3.7.1"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2.3.7.1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 xml:space="preserve">暂估价项目按第一章第三节“投标人须知正文 ”第 </w:t>
      </w:r>
      <w:r>
        <w:rPr>
          <w:rFonts w:hint="eastAsia" w:ascii="宋体" w:hAnsi="宋体" w:eastAsia="宋体" w:cs="宋体"/>
          <w:b/>
          <w:bCs/>
          <w:snapToGrid w:val="0"/>
          <w:color w:val="000000" w:themeColor="text1"/>
          <w:spacing w:val="0"/>
          <w:kern w:val="0"/>
          <w:sz w:val="24"/>
          <w:szCs w:val="24"/>
          <w:highlight w:val="none"/>
          <w:lang w:eastAsia="zh-CN"/>
          <w14:textFill>
            <w14:solidFill>
              <w14:schemeClr w14:val="tx1"/>
            </w14:solidFill>
          </w14:textFill>
        </w:rPr>
        <w:t>8.5</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 xml:space="preserve"> 条的规定确定专业工程承包人（或材料供应商、工程设备供应商）后，将专业工程合同价款（或材料单价、工程设备单价）取代相应暂估价，并调整合同价款。</w:t>
      </w:r>
    </w:p>
    <w:p w14:paraId="75732179">
      <w:pPr>
        <w:keepNext w:val="0"/>
        <w:keepLines w:val="0"/>
        <w:pageBreakBefore w:val="0"/>
        <w:wordWrap w:val="0"/>
        <w:overflowPunct/>
        <w:topLinePunct w:val="0"/>
        <w:bidi w:val="0"/>
        <w:spacing w:before="153" w:line="315" w:lineRule="auto"/>
        <w:ind w:left="8" w:right="2"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"2.3.7.2"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2.3.7.2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暂列金额由发包人掌握和使用。暂列金额项目若有发生，按第一章第三节“投标人须知正文 ”第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8.6 </w:t>
      </w:r>
      <w:r>
        <w:rPr>
          <w:rFonts w:hint="eastAsia" w:ascii="宋体" w:hAnsi="宋体" w:eastAsia="宋体" w:cs="宋体"/>
          <w:color w:val="000000" w:themeColor="text1"/>
          <w:spacing w:val="0"/>
          <w:sz w:val="24"/>
          <w:szCs w:val="24"/>
          <w:highlight w:val="none"/>
          <w14:textFill>
            <w14:solidFill>
              <w14:schemeClr w14:val="tx1"/>
            </w14:solidFill>
          </w14:textFill>
        </w:rPr>
        <w:t>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余额（若有）归发包人所有。</w:t>
      </w:r>
    </w:p>
    <w:p w14:paraId="1FFEB093">
      <w:pPr>
        <w:keepNext w:val="0"/>
        <w:keepLines w:val="0"/>
        <w:pageBreakBefore w:val="0"/>
        <w:wordWrap w:val="0"/>
        <w:overflowPunct/>
        <w:topLinePunct w:val="0"/>
        <w:bidi w:val="0"/>
        <w:spacing w:before="153" w:line="315" w:lineRule="auto"/>
        <w:ind w:left="8" w:right="2"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2.3.8</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预算包干费预算</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审核时</w:t>
      </w:r>
      <w:r>
        <w:rPr>
          <w:rFonts w:hint="eastAsia" w:ascii="宋体" w:hAnsi="宋体" w:eastAsia="宋体" w:cs="宋体"/>
          <w:color w:val="000000" w:themeColor="text1"/>
          <w:spacing w:val="0"/>
          <w:sz w:val="24"/>
          <w:szCs w:val="24"/>
          <w:highlight w:val="none"/>
          <w14:textFill>
            <w14:solidFill>
              <w14:schemeClr w14:val="tx1"/>
            </w14:solidFill>
          </w14:textFill>
        </w:rPr>
        <w:t>，不计取该项费用</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结算审核时，按实结算。</w:t>
      </w:r>
    </w:p>
    <w:p w14:paraId="00D8F120">
      <w:pPr>
        <w:keepNext w:val="0"/>
        <w:keepLines w:val="0"/>
        <w:pageBreakBefore w:val="0"/>
        <w:wordWrap w:val="0"/>
        <w:overflowPunct/>
        <w:topLinePunct w:val="0"/>
        <w:bidi w:val="0"/>
        <w:spacing w:before="153" w:line="315" w:lineRule="auto"/>
        <w:ind w:left="8" w:right="2"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2.3.</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9</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其余事项（如不可抗力、索赔、现场签证等）的调整原则按照《</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）有关规定执行。</w:t>
      </w:r>
    </w:p>
    <w:p w14:paraId="0C5E03A8">
      <w:pPr>
        <w:keepNext w:val="0"/>
        <w:keepLines w:val="0"/>
        <w:pageBreakBefore w:val="0"/>
        <w:wordWrap w:val="0"/>
        <w:overflowPunct/>
        <w:topLinePunct w:val="0"/>
        <w:bidi w:val="0"/>
        <w:spacing w:before="156" w:line="299" w:lineRule="auto"/>
        <w:ind w:left="12" w:right="65"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凡将引起合同价款调增的事项，承包人必须于拟实施 14 天前，将详细的报价书（含拟实施项目名称、变更部位、理由、预计造价等）报监理单位审核和发包人批准后方可实施。</w:t>
      </w:r>
    </w:p>
    <w:p w14:paraId="7E55A3E2">
      <w:pPr>
        <w:keepNext w:val="0"/>
        <w:keepLines w:val="0"/>
        <w:pageBreakBefore w:val="0"/>
        <w:wordWrap w:val="0"/>
        <w:overflowPunct/>
        <w:topLinePunct w:val="0"/>
        <w:bidi w:val="0"/>
        <w:spacing w:before="153" w:line="279" w:lineRule="auto"/>
        <w:ind w:left="9" w:right="102"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2.5 </w:t>
      </w:r>
      <w:r>
        <w:rPr>
          <w:rFonts w:hint="eastAsia" w:ascii="宋体" w:hAnsi="宋体" w:eastAsia="宋体" w:cs="宋体"/>
          <w:color w:val="000000" w:themeColor="text1"/>
          <w:spacing w:val="0"/>
          <w:sz w:val="24"/>
          <w:szCs w:val="24"/>
          <w:highlight w:val="none"/>
          <w14:textFill>
            <w14:solidFill>
              <w14:schemeClr w14:val="tx1"/>
            </w14:solidFill>
          </w14:textFill>
        </w:rPr>
        <w:t>承包人不得以不完全了解现场情况为理由，提出额外付款或延长工期等要求。 对此类要求，发包人不作任何考虑及答复。</w:t>
      </w:r>
    </w:p>
    <w:p w14:paraId="50E281B0">
      <w:pPr>
        <w:keepNext w:val="0"/>
        <w:keepLines w:val="0"/>
        <w:pageBreakBefore w:val="0"/>
        <w:wordWrap w:val="0"/>
        <w:overflowPunct/>
        <w:topLinePunct w:val="0"/>
        <w:bidi w:val="0"/>
        <w:spacing w:before="154" w:line="279" w:lineRule="auto"/>
        <w:ind w:left="10" w:right="63"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2.6 </w:t>
      </w:r>
      <w:r>
        <w:rPr>
          <w:rFonts w:hint="eastAsia" w:ascii="宋体" w:hAnsi="宋体" w:eastAsia="宋体" w:cs="宋体"/>
          <w:color w:val="000000" w:themeColor="text1"/>
          <w:spacing w:val="0"/>
          <w:sz w:val="24"/>
          <w:szCs w:val="24"/>
          <w:highlight w:val="none"/>
          <w14:textFill>
            <w14:solidFill>
              <w14:schemeClr w14:val="tx1"/>
            </w14:solidFill>
          </w14:textFill>
        </w:rPr>
        <w:t>承包人已标价工程量清单中漏报、错报或少报的清单项目，其价格均视为已经包含在其它清单项目中，竣工结算时不得重新组价和调整。</w:t>
      </w:r>
    </w:p>
    <w:p w14:paraId="75BC7B06">
      <w:pPr>
        <w:keepNext w:val="0"/>
        <w:keepLines w:val="0"/>
        <w:pageBreakBefore w:val="0"/>
        <w:wordWrap w:val="0"/>
        <w:overflowPunct/>
        <w:topLinePunct w:val="0"/>
        <w:bidi w:val="0"/>
        <w:spacing w:before="155" w:line="299" w:lineRule="auto"/>
        <w:ind w:left="12" w:right="65"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2.7  </w:t>
      </w:r>
      <w:r>
        <w:rPr>
          <w:rFonts w:hint="eastAsia" w:ascii="宋体" w:hAnsi="宋体" w:eastAsia="宋体" w:cs="宋体"/>
          <w:color w:val="000000" w:themeColor="text1"/>
          <w:spacing w:val="0"/>
          <w:sz w:val="24"/>
          <w:szCs w:val="24"/>
          <w:highlight w:val="none"/>
          <w14:textFill>
            <w14:solidFill>
              <w14:schemeClr w14:val="tx1"/>
            </w14:solidFill>
          </w14:textFill>
        </w:rPr>
        <w:t>项目完工后，发、承包双方和受其委托的工程造价咨询单位必须按照《</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）和国家、省、市的有关规定办理竣工结算。</w:t>
      </w:r>
    </w:p>
    <w:p w14:paraId="18501ACB">
      <w:pPr>
        <w:keepNext w:val="0"/>
        <w:keepLines w:val="0"/>
        <w:pageBreakBefore w:val="0"/>
        <w:wordWrap w:val="0"/>
        <w:overflowPunct/>
        <w:topLinePunct w:val="0"/>
        <w:bidi w:val="0"/>
        <w:spacing w:before="152" w:line="319" w:lineRule="auto"/>
        <w:ind w:left="8" w:right="38" w:firstLine="55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2.8  </w:t>
      </w:r>
      <w:r>
        <w:rPr>
          <w:rFonts w:hint="eastAsia" w:ascii="宋体" w:hAnsi="宋体" w:eastAsia="宋体" w:cs="宋体"/>
          <w:color w:val="000000" w:themeColor="text1"/>
          <w:spacing w:val="0"/>
          <w:sz w:val="24"/>
          <w:szCs w:val="24"/>
          <w:highlight w:val="none"/>
          <w14:textFill>
            <w14:solidFill>
              <w14:schemeClr w14:val="tx1"/>
            </w14:solidFill>
          </w14:textFill>
        </w:rPr>
        <w:t>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14:paraId="32105AE6">
      <w:pPr>
        <w:keepNext w:val="0"/>
        <w:keepLines w:val="0"/>
        <w:pageBreakBefore w:val="0"/>
        <w:wordWrap w:val="0"/>
        <w:overflowPunct/>
        <w:topLinePunct w:val="0"/>
        <w:bidi w:val="0"/>
        <w:spacing w:before="152" w:line="319" w:lineRule="auto"/>
        <w:ind w:left="8" w:right="38" w:firstLine="55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2.9 </w:t>
      </w:r>
      <w:r>
        <w:rPr>
          <w:rFonts w:hint="eastAsia" w:ascii="宋体" w:hAnsi="宋体" w:eastAsia="宋体" w:cs="宋体"/>
          <w:color w:val="000000" w:themeColor="text1"/>
          <w:spacing w:val="0"/>
          <w:sz w:val="24"/>
          <w:szCs w:val="24"/>
          <w:highlight w:val="none"/>
          <w14:textFill>
            <w14:solidFill>
              <w14:schemeClr w14:val="tx1"/>
            </w14:solidFill>
          </w14:textFill>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电商平台价格（优先从京东、国美、苏宁等大型电商平台查询取其平均价）；若以上方式均无法确定材料价格 的，则采用厂商报价或市场询价等方式取得有合法依据的市场价格，报发包人确认。</w:t>
      </w:r>
    </w:p>
    <w:p w14:paraId="1C684DEC">
      <w:pPr>
        <w:pStyle w:val="35"/>
        <w:keepNext w:val="0"/>
        <w:keepLines w:val="0"/>
        <w:pageBreakBefore w:val="0"/>
        <w:wordWrap w:val="0"/>
        <w:overflowPunct/>
        <w:topLinePunct w:val="0"/>
        <w:bidi w:val="0"/>
        <w:snapToGrid w:val="0"/>
        <w:spacing w:line="440" w:lineRule="exact"/>
        <w:ind w:firstLine="480"/>
        <w:jc w:val="both"/>
        <w:outlineLvl w:val="2"/>
        <w:rPr>
          <w:rStyle w:val="26"/>
          <w:rFonts w:hint="eastAsia" w:ascii="宋体" w:hAnsi="宋体" w:eastAsia="宋体" w:cs="宋体"/>
          <w:b/>
          <w:bCs/>
          <w:color w:val="000000" w:themeColor="text1"/>
          <w:spacing w:val="0"/>
          <w:sz w:val="24"/>
          <w:szCs w:val="24"/>
          <w:highlight w:val="none"/>
          <w14:textFill>
            <w14:solidFill>
              <w14:schemeClr w14:val="tx1"/>
            </w14:solidFill>
          </w14:textFill>
        </w:rPr>
      </w:pPr>
      <w:bookmarkStart w:id="182" w:name="_Toc1816"/>
      <w:bookmarkStart w:id="183" w:name="_Toc22696"/>
      <w:r>
        <w:rPr>
          <w:rStyle w:val="26"/>
          <w:rFonts w:hint="eastAsia" w:ascii="宋体" w:hAnsi="宋体" w:eastAsia="宋体" w:cs="宋体"/>
          <w:b/>
          <w:bCs/>
          <w:color w:val="000000" w:themeColor="text1"/>
          <w:spacing w:val="0"/>
          <w:sz w:val="24"/>
          <w:szCs w:val="24"/>
          <w:highlight w:val="none"/>
          <w14:textFill>
            <w14:solidFill>
              <w14:schemeClr w14:val="tx1"/>
            </w14:solidFill>
          </w14:textFill>
        </w:rPr>
        <w:t>3. 工程付款办法</w:t>
      </w:r>
      <w:bookmarkEnd w:id="182"/>
      <w:bookmarkEnd w:id="183"/>
    </w:p>
    <w:p w14:paraId="1DE34436">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3.1</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本工程</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支付 </w:t>
      </w:r>
      <w:r>
        <w:rPr>
          <w:rFonts w:hint="eastAsia" w:ascii="宋体" w:hAnsi="宋体" w:eastAsia="宋体" w:cs="宋体"/>
          <w:snapToGrid w:val="0"/>
          <w:color w:val="000000" w:themeColor="text1"/>
          <w:kern w:val="0"/>
          <w:sz w:val="24"/>
          <w:szCs w:val="24"/>
          <w:highlight w:val="none"/>
          <w14:textFill>
            <w14:solidFill>
              <w14:schemeClr w14:val="tx1"/>
            </w14:solidFill>
          </w14:textFill>
        </w:rPr>
        <w:t>施工预付款。</w:t>
      </w:r>
    </w:p>
    <w:p w14:paraId="241C9822">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3.2</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施工预付款必须专用于合同工程，并按以下原则支付和抵扣：</w:t>
      </w:r>
    </w:p>
    <w:p w14:paraId="446B4EBF">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3.2.1</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施工预付款支付比例为：按施工合同价</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暂列金额、计日工价款及专业工程暂估价</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除外）</w:t>
      </w:r>
      <w:r>
        <w:rPr>
          <w:rFonts w:hint="eastAsia" w:ascii="宋体" w:hAnsi="宋体" w:eastAsia="宋体" w:cs="宋体"/>
          <w:snapToGrid w:val="0"/>
          <w:color w:val="000000" w:themeColor="text1"/>
          <w:kern w:val="0"/>
          <w:sz w:val="24"/>
          <w:szCs w:val="24"/>
          <w:highlight w:val="none"/>
          <w14:textFill>
            <w14:solidFill>
              <w14:schemeClr w14:val="tx1"/>
            </w14:solidFill>
          </w14:textFill>
        </w:rPr>
        <w:t>的</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30% </w:t>
      </w:r>
      <w:r>
        <w:rPr>
          <w:rFonts w:hint="eastAsia" w:ascii="宋体" w:hAnsi="宋体" w:eastAsia="宋体" w:cs="宋体"/>
          <w:snapToGrid w:val="0"/>
          <w:color w:val="000000" w:themeColor="text1"/>
          <w:kern w:val="0"/>
          <w:sz w:val="24"/>
          <w:szCs w:val="24"/>
          <w:highlight w:val="none"/>
          <w14:textFill>
            <w14:solidFill>
              <w14:schemeClr w14:val="tx1"/>
            </w14:solidFill>
          </w14:textFill>
        </w:rPr>
        <w:t>支付。</w:t>
      </w:r>
    </w:p>
    <w:p w14:paraId="571C8EB5">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3.2.2</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本招标项目</w:t>
      </w:r>
      <w:r>
        <w:rPr>
          <w:rFonts w:hint="eastAsia" w:ascii="宋体" w:hAnsi="宋体" w:eastAsia="宋体" w:cs="宋体"/>
          <w:b/>
          <w:bCs/>
          <w:snapToGrid w:val="0"/>
          <w:color w:val="000000" w:themeColor="text1"/>
          <w:kern w:val="0"/>
          <w:sz w:val="24"/>
          <w:szCs w:val="24"/>
          <w:highlight w:val="none"/>
          <w:u w:val="single"/>
          <w14:textFill>
            <w14:solidFill>
              <w14:schemeClr w14:val="tx1"/>
            </w14:solidFill>
          </w14:textFill>
        </w:rPr>
        <w:t>要求</w:t>
      </w:r>
      <w:r>
        <w:rPr>
          <w:rFonts w:hint="eastAsia" w:ascii="宋体" w:hAnsi="宋体" w:eastAsia="宋体" w:cs="宋体"/>
          <w:snapToGrid w:val="0"/>
          <w:color w:val="000000" w:themeColor="text1"/>
          <w:kern w:val="0"/>
          <w:sz w:val="24"/>
          <w:szCs w:val="24"/>
          <w:highlight w:val="none"/>
          <w14:textFill>
            <w14:solidFill>
              <w14:schemeClr w14:val="tx1"/>
            </w14:solidFill>
          </w14:textFill>
        </w:rPr>
        <w:t>承包人提供与预付款等额的预付款保函。</w:t>
      </w:r>
    </w:p>
    <w:p w14:paraId="4A4F23D6">
      <w:pPr>
        <w:wordWrap w:val="0"/>
        <w:adjustRightInd w:val="0"/>
        <w:snapToGrid w:val="0"/>
        <w:spacing w:line="360" w:lineRule="auto"/>
        <w:ind w:firstLine="482"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3.2.3</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承包人应在签订合同后，</w:t>
      </w: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在提供符合要求的预付款保函或预付款保险</w:t>
      </w:r>
      <w:r>
        <w:rPr>
          <w:rFonts w:hint="eastAsia" w:ascii="宋体" w:hAnsi="宋体" w:eastAsia="宋体" w:cs="宋体"/>
          <w:snapToGrid w:val="0"/>
          <w:color w:val="000000" w:themeColor="text1"/>
          <w:kern w:val="0"/>
          <w:sz w:val="24"/>
          <w:szCs w:val="24"/>
          <w:highlight w:val="none"/>
          <w14:textFill>
            <w14:solidFill>
              <w14:schemeClr w14:val="tx1"/>
            </w14:solidFill>
          </w14:textFill>
        </w:rPr>
        <w:t>及在具备施工条件的前提下，向发包人提交预付款支付申请。发包人应对在收到支付申请的7天内进行核实后向承包人发出预付款支付证书，并在签发支付证书后的7天内向承包人支付预付款。凡未签订合同或不具备施工条件的工程，发包人不得预付工程款。</w:t>
      </w:r>
    </w:p>
    <w:p w14:paraId="4C8F6CA9">
      <w:pPr>
        <w:wordWrap w:val="0"/>
        <w:adjustRightInd w:val="0"/>
        <w:snapToGrid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3.2.4预付款应从每支付期应支付给承包人的工程进度款中扣回，直到扣回的金额达到合同约定的预付款金额为止。</w:t>
      </w:r>
    </w:p>
    <w:p w14:paraId="6BF55ED4">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 xml:space="preserve">3.3 </w:t>
      </w:r>
      <w:r>
        <w:rPr>
          <w:rFonts w:hint="eastAsia" w:ascii="宋体" w:hAnsi="宋体" w:eastAsia="宋体" w:cs="宋体"/>
          <w:snapToGrid w:val="0"/>
          <w:color w:val="000000" w:themeColor="text1"/>
          <w:kern w:val="0"/>
          <w:sz w:val="24"/>
          <w:szCs w:val="24"/>
          <w:highlight w:val="none"/>
          <w14:textFill>
            <w14:solidFill>
              <w14:schemeClr w14:val="tx1"/>
            </w14:solidFill>
          </w14:textFill>
        </w:rPr>
        <w:t>施工过程中按月申报工程进度款：承包人每月按工程实际完成工程量（含变更及增加工程）申报，承包人必须将《已完成工程量报表》和《工程付款申请书》于当月26日前报监理单位核</w:t>
      </w:r>
      <w:bookmarkStart w:id="184" w:name="_Hlt127094354"/>
      <w:bookmarkEnd w:id="184"/>
      <w:r>
        <w:rPr>
          <w:rFonts w:hint="eastAsia" w:ascii="宋体" w:hAnsi="宋体" w:eastAsia="宋体" w:cs="宋体"/>
          <w:snapToGrid w:val="0"/>
          <w:color w:val="000000" w:themeColor="text1"/>
          <w:kern w:val="0"/>
          <w:sz w:val="24"/>
          <w:szCs w:val="24"/>
          <w:highlight w:val="none"/>
          <w14:textFill>
            <w14:solidFill>
              <w14:schemeClr w14:val="tx1"/>
            </w14:solidFill>
          </w14:textFill>
        </w:rPr>
        <w:t>实。经监理单位审核、发包人审定后的工程进度款（指已经按照合同约定，扣除该支付期内因承包人违约而应扣除的管理费），申报后按财政资金拨付到位实际情况进行支付。</w:t>
      </w:r>
    </w:p>
    <w:p w14:paraId="1161B1D0">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3.4</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每月的工程进度款按工程实际完成工程量的</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8</w:t>
      </w:r>
      <w:r>
        <w:rPr>
          <w:rFonts w:hint="eastAsia" w:ascii="宋体" w:hAnsi="宋体" w:eastAsia="宋体" w:cs="宋体"/>
          <w:snapToGrid w:val="0"/>
          <w:color w:val="000000" w:themeColor="text1"/>
          <w:kern w:val="0"/>
          <w:sz w:val="24"/>
          <w:szCs w:val="24"/>
          <w:highlight w:val="none"/>
          <w:u w:val="single"/>
          <w:lang w:val="en-US" w:eastAsia="zh-CN"/>
          <w14:textFill>
            <w14:solidFill>
              <w14:schemeClr w14:val="tx1"/>
            </w14:solidFill>
          </w14:textFill>
        </w:rPr>
        <w:t>0</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申请支付，工程进度款中的作业工人工资款项由发包人单独足额拨付到承包人的工资专户。</w:t>
      </w:r>
    </w:p>
    <w:p w14:paraId="5A4324B0">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3.5</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措施项目费中的“</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安全生产措施费</w:t>
      </w:r>
      <w:r>
        <w:rPr>
          <w:rFonts w:hint="eastAsia" w:ascii="宋体" w:hAnsi="宋体" w:eastAsia="宋体" w:cs="宋体"/>
          <w:snapToGrid w:val="0"/>
          <w:color w:val="000000" w:themeColor="text1"/>
          <w:kern w:val="0"/>
          <w:sz w:val="24"/>
          <w:szCs w:val="24"/>
          <w:highlight w:val="none"/>
          <w14:textFill>
            <w14:solidFill>
              <w14:schemeClr w14:val="tx1"/>
            </w14:solidFill>
          </w14:textFill>
        </w:rPr>
        <w:t>”拨付按照《广东省建设工程计价依据（2018）》执行，按照项目所在地的建设行政主管部门有关规定支付。发生一般事故及以上等级重大安全事故的，发包人可扣除承包人金额相当于所有“</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安全生产措施费</w:t>
      </w:r>
      <w:r>
        <w:rPr>
          <w:rFonts w:hint="eastAsia" w:ascii="宋体" w:hAnsi="宋体" w:eastAsia="宋体" w:cs="宋体"/>
          <w:snapToGrid w:val="0"/>
          <w:color w:val="000000" w:themeColor="text1"/>
          <w:kern w:val="0"/>
          <w:sz w:val="24"/>
          <w:szCs w:val="24"/>
          <w:highlight w:val="none"/>
          <w14:textFill>
            <w14:solidFill>
              <w14:schemeClr w14:val="tx1"/>
            </w14:solidFill>
          </w14:textFill>
        </w:rPr>
        <w:t>”的工程管理费。</w:t>
      </w:r>
    </w:p>
    <w:p w14:paraId="58038E18">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3.6</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变更工程造价必须经监理单位核实，并经发包人核定后方可支付。</w:t>
      </w:r>
    </w:p>
    <w:p w14:paraId="63B44E6E">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3.7</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结算审核完成后，于次月支付至合同价格的97%，剩余3%转为质量保证金；承包人提交了等额质量保证</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金金额至仁化县财政局周田财政所</w:t>
      </w:r>
      <w:r>
        <w:rPr>
          <w:rFonts w:hint="eastAsia" w:ascii="宋体" w:hAnsi="宋体" w:eastAsia="宋体" w:cs="宋体"/>
          <w:snapToGrid w:val="0"/>
          <w:color w:val="000000" w:themeColor="text1"/>
          <w:kern w:val="0"/>
          <w:sz w:val="24"/>
          <w:szCs w:val="24"/>
          <w:highlight w:val="none"/>
          <w14:textFill>
            <w14:solidFill>
              <w14:schemeClr w14:val="tx1"/>
            </w14:solidFill>
          </w14:textFill>
        </w:rPr>
        <w:t>，于次月一次性结清合同价格。</w:t>
      </w:r>
    </w:p>
    <w:p w14:paraId="058D0CEB">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jc w:val="both"/>
        <w:textAlignment w:val="auto"/>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3.8</w:t>
      </w:r>
      <w:r>
        <w:rPr>
          <w:rFonts w:hint="eastAsia" w:ascii="宋体" w:hAnsi="宋体" w:eastAsia="宋体" w:cs="宋体"/>
          <w:color w:val="000000" w:themeColor="text1"/>
          <w:sz w:val="24"/>
          <w:szCs w:val="24"/>
          <w:highlight w:val="none"/>
          <w14:textFill>
            <w14:solidFill>
              <w14:schemeClr w14:val="tx1"/>
            </w14:solidFill>
          </w14:textFill>
        </w:rPr>
        <w:t>本招标项目缺陷责任期为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年（自通过竣工验收之日起计）。缺陷责任期到期后，承包人向发包人申请退还质量保证。发包人收到退还申请后，于14天内会同承包人进行核实。经双方核实且均无异议后，发包人在核实之日起 14 天内将应返保证金（或银行保函）退还承包人。</w:t>
      </w:r>
    </w:p>
    <w:p w14:paraId="5F97EA0E">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3.9</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w:t>
      </w: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发包人每次支付工程款前，承包人均应提供有效的增值税专用发票。如果承包人无法提供符合要求的发票，由此造成的相应损失由承包人承担。</w:t>
      </w:r>
    </w:p>
    <w:p w14:paraId="5FDBA552">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w:t>
      </w:r>
      <w:r>
        <w:rPr>
          <w:rFonts w:hint="eastAsia" w:ascii="宋体" w:hAnsi="宋体" w:eastAsia="宋体" w:cs="宋体"/>
          <w:b/>
          <w:bCs/>
          <w:snapToGrid w:val="0"/>
          <w:color w:val="000000" w:themeColor="text1"/>
          <w:spacing w:val="0"/>
          <w:kern w:val="0"/>
          <w:sz w:val="24"/>
          <w:szCs w:val="20"/>
          <w:highlight w:val="none"/>
          <w:lang w:val="en-US" w:eastAsia="zh-CN"/>
          <w14:textFill>
            <w14:solidFill>
              <w14:schemeClr w14:val="tx1"/>
            </w14:solidFill>
          </w14:textFill>
        </w:rPr>
        <w:t>10</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暂列金额支付方式：</w:t>
      </w:r>
      <w:r>
        <w:rPr>
          <w:rFonts w:hint="eastAsia" w:ascii="宋体" w:hAnsi="宋体" w:eastAsia="宋体" w:cs="宋体"/>
          <w:snapToGrid w:val="0"/>
          <w:color w:val="000000" w:themeColor="text1"/>
          <w:spacing w:val="0"/>
          <w:kern w:val="0"/>
          <w:sz w:val="24"/>
          <w:szCs w:val="20"/>
          <w:highlight w:val="none"/>
          <w:u w:val="single"/>
          <w:lang w:val="en-US" w:eastAsia="zh-CN"/>
          <w14:textFill>
            <w14:solidFill>
              <w14:schemeClr w14:val="tx1"/>
            </w14:solidFill>
          </w14:textFill>
        </w:rPr>
        <w:t>承包人需根据发布的《工程变更管理办法》和《工程签证管理办法》完善工程变更签证相关程序后，与每个月的工程进度款一并报送；若承包人原因未按上述办法在规定时间内完善工程变更签证相关程序的，当月工程进度款中的变更签证部分暂停拨付。在暂列金额的范围内，最终经发包人确认后支付至该部分实际完成工程量的（80％），其余部分待结算完成审核后支付至 97%，剩余 3%为工程质量保修金。</w:t>
      </w:r>
    </w:p>
    <w:p w14:paraId="4273771D">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3.11</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材料暂估价、专业工程暂估价支付方式：</w:t>
      </w:r>
      <w:r>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t>材料暂估价、专业工程暂估价与每个月的工程进度款一并报送，但需要列明详细项目内容，该部分材料暂估价、专业工程暂估价按该部分实际完成工程量的50%支付，工程竣工验收合格后</w:t>
      </w:r>
      <w:r>
        <w:rPr>
          <w:rFonts w:hint="eastAsia" w:ascii="宋体" w:hAnsi="宋体" w:eastAsia="宋体" w:cs="宋体"/>
          <w:snapToGrid w:val="0"/>
          <w:color w:val="000000" w:themeColor="text1"/>
          <w:spacing w:val="0"/>
          <w:kern w:val="0"/>
          <w:sz w:val="24"/>
          <w:szCs w:val="20"/>
          <w:highlight w:val="none"/>
          <w:u w:val="single"/>
          <w:lang w:val="en-US" w:eastAsia="zh-CN"/>
          <w14:textFill>
            <w14:solidFill>
              <w14:schemeClr w14:val="tx1"/>
            </w14:solidFill>
          </w14:textFill>
        </w:rPr>
        <w:t>14天内</w:t>
      </w:r>
      <w:r>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t>支付至8</w:t>
      </w:r>
      <w:r>
        <w:rPr>
          <w:rFonts w:hint="eastAsia" w:ascii="宋体" w:hAnsi="宋体" w:eastAsia="宋体" w:cs="宋体"/>
          <w:snapToGrid w:val="0"/>
          <w:color w:val="000000" w:themeColor="text1"/>
          <w:spacing w:val="0"/>
          <w:kern w:val="0"/>
          <w:sz w:val="24"/>
          <w:szCs w:val="20"/>
          <w:highlight w:val="none"/>
          <w:u w:val="single"/>
          <w:lang w:val="en-US" w:eastAsia="zh-CN"/>
          <w14:textFill>
            <w14:solidFill>
              <w14:schemeClr w14:val="tx1"/>
            </w14:solidFill>
          </w14:textFill>
        </w:rPr>
        <w:t>0</w:t>
      </w:r>
      <w:r>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t>%，剩余部分结算完成后支付至审定造价的97%，剩余3%为工程质量保修金。</w:t>
      </w:r>
    </w:p>
    <w:p w14:paraId="1B4A6494">
      <w:pPr>
        <w:keepNext w:val="0"/>
        <w:keepLines w:val="0"/>
        <w:pageBreakBefore w:val="0"/>
        <w:wordWrap w:val="0"/>
        <w:overflowPunct/>
        <w:topLinePunct w:val="0"/>
        <w:bidi w:val="0"/>
        <w:spacing w:before="154" w:line="212" w:lineRule="auto"/>
        <w:ind w:left="486"/>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185" w:name="_Toc9813"/>
      <w:r>
        <w:rPr>
          <w:rFonts w:hint="eastAsia" w:ascii="宋体" w:hAnsi="宋体" w:eastAsia="宋体" w:cs="宋体"/>
          <w:b/>
          <w:bCs/>
          <w:color w:val="000000" w:themeColor="text1"/>
          <w:spacing w:val="0"/>
          <w:sz w:val="24"/>
          <w:szCs w:val="24"/>
          <w:highlight w:val="none"/>
          <w14:textFill>
            <w14:solidFill>
              <w14:schemeClr w14:val="tx1"/>
            </w14:solidFill>
          </w14:textFill>
        </w:rPr>
        <w:t>4 ．其他专用合同条款</w:t>
      </w:r>
      <w:bookmarkEnd w:id="185"/>
    </w:p>
    <w:p w14:paraId="51069F9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4.1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专业工程分包 </w:t>
      </w:r>
    </w:p>
    <w:p w14:paraId="71E5A23E">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 </w:t>
      </w:r>
    </w:p>
    <w:p w14:paraId="0D298AF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工人工资支付专用账户 </w:t>
      </w:r>
    </w:p>
    <w:p w14:paraId="2454931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发、承包双方订立合同时，应就承包人设立工人工资支付专用账户（以下简称“工资专户”）、工程进度款中工人工资款的比例为30%、工资款拨付的期限等事项作出明确约定。发包人按照合同约定，按月将工程款中的工资款项单独足额拨付到承包人的工资专户，并对承包人工人工资支付情况进行监督，及时协调解决工人工资发放中存在的问题。  </w:t>
      </w:r>
    </w:p>
    <w:p w14:paraId="3733DDD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依据人力资源社会保障部等十部门印发的《工程建设领域农民工工资专用账户管理暂行办法》（人社部发〔2021〕53 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 </w:t>
      </w:r>
    </w:p>
    <w:p w14:paraId="64D1C6EB">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按韶关市人力资源和社会保障局 韶关市住房和城乡建设管理局 韶关市交通运输局韶关市水务局 韶关市金融工作局 国家金融监督管理总局韶关监管分局关于印发《韶关市工程建设领域农民工工资保证金管理实施细则》的通知(韶人社规〔2023〕2 号) 及《韶关市工程建设领域农民工工资保证金管理实施细则》（韶法审〔2023〕19 号）规定执行。承包人在签订工程施工承包合同后一个月内必须办妥该事项，并将办妥回执交发包人。 </w:t>
      </w:r>
    </w:p>
    <w:p w14:paraId="6F4D018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所垫付的民工工资 2 倍向发包人支付违约金。 </w:t>
      </w:r>
    </w:p>
    <w:p w14:paraId="4564E29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承包人应在工资专户开立后 2 个工作日内，将开户银行及其账号、开户协议等资料提交给发包人。 </w:t>
      </w:r>
    </w:p>
    <w:p w14:paraId="0F3EA377">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（1）用人单位应当在建设项目动工前，在建设项目所在地商业银行设立工人工资支付专用账户。 </w:t>
      </w:r>
    </w:p>
    <w:p w14:paraId="776A9988">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（2）用人单位应当在用工之日起 15 日内为每一位工人办理个人银行账户。</w:t>
      </w:r>
    </w:p>
    <w:p w14:paraId="327E5743">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（3）用人单位应当指定专人负责建设项目施工现场台账管理，真实、准确记录工人名册、劳务合同、劳动合同、工程进度、工时台账、劳务承包款和工人工资支付等信息，并保存两年以上备查。</w:t>
      </w:r>
    </w:p>
    <w:p w14:paraId="493CA8AC">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（4）用人单位应当按照“及时支付，按实结算”的原则，在规定日期前通过银行工人工资支付专用账户将工人工资直接支付到工人的个人银行账户，并按月将工人工资支付 明细表报施工总承包单位和建设单位备案。</w:t>
      </w:r>
    </w:p>
    <w:p w14:paraId="2E48CB0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用人单位未建立、保存用工管理台账，或者伪造相关台账的，按照《广东省劳动保障监察条例》第四十九条的规定，由人力资源社会保障部门责令改正，并可处以二千元以上二万元以下的人民币罚款。</w:t>
      </w:r>
    </w:p>
    <w:p w14:paraId="35366B3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 </w:t>
      </w:r>
    </w:p>
    <w:p w14:paraId="34B5D41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诚信登记 </w:t>
      </w:r>
    </w:p>
    <w:p w14:paraId="6076B96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根据资质管理规定，许可机关应当建立、健全建筑业企业信用档案管理制度，包括企业基本信息、资质、业绩、工程质量和安全、合同履约、社会投诉和违法行为等情况。 </w:t>
      </w:r>
    </w:p>
    <w:p w14:paraId="1254AFF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工期进度 </w:t>
      </w:r>
    </w:p>
    <w:p w14:paraId="50B1FB1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本招标项目施工标准工期为</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180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个日历天，招标工期为</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180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个日历天，承包人必须在招标工期内完成招标范围内的全部内容。 </w:t>
      </w:r>
    </w:p>
    <w:p w14:paraId="3937827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施工工期从承包人收到监理单位签发的开工令之日起计，至竣工验收合格之日止。</w:t>
      </w:r>
    </w:p>
    <w:p w14:paraId="48D28B1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工期奖罚 </w:t>
      </w:r>
    </w:p>
    <w:p w14:paraId="046DC92A">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□竣工验收合格交付使用每提前</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天竣工；奖</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元，奖励金额不超过合同价款的</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%（一般为 2%～5%）且不超过</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元。 </w:t>
      </w:r>
    </w:p>
    <w:p w14:paraId="65E4E594">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□按施工合同期约定,因承包人原因每延误</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天竣工,罚</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元。 </w:t>
      </w:r>
    </w:p>
    <w:p w14:paraId="74F80B1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□按施工合同期约定,因承包人原因延误工期</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天内不处罚， 自第壹天起每延误</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天竣工,罚元。处罚金额不超过合同价款的</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%（一般为 2%～5%）且不超过万元，累计延误工期达到</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天，报请建设行政主管部门作不良行为记录，非承包方原因或不可抗力造成延误的除外。 </w:t>
      </w:r>
    </w:p>
    <w:p w14:paraId="7091C39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☑其它说明：（1）因承包人原因，工程没有按期竣工时，承包人须在逾期第壹天起每天按合同价的 1‰ 向发包人返纳逾期竣工违约金。逾期竣工违约金的最高限额为合同价款的3%。</w:t>
      </w:r>
    </w:p>
    <w:p w14:paraId="3965E8AD">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2）承包人需提供各子项目的年度、季度、月、周施工计划报监理单位及发包人确认，在计划实施过程中，发包人及监理单位对承包人实际工期按周、月、季度进行检查、分析、评价，如与实际施工进度发生偏离的，由监理单位书面提醒承包人采取措施，如提醒后承包人未采取有效措施按施工计划按时完成的，每次按2000元缴纳违约金给发包人，在结算中一并扣除。</w:t>
      </w:r>
    </w:p>
    <w:p w14:paraId="2B12986D">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（3）承包人在进场后7天内提交施工进度计划，并注明主要施工节点时间，送监理单位及发包人审核后，作为工期考核的阶段性指标。</w:t>
      </w:r>
    </w:p>
    <w:p w14:paraId="28565A0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4.5</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项目管理机构 </w:t>
      </w:r>
    </w:p>
    <w:p w14:paraId="27CA87A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4.5.1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承包人派驻的项目管理班子成员必须为其投标文件确定的人员，否则发包人有权终止合同。 </w:t>
      </w:r>
    </w:p>
    <w:p w14:paraId="155CBDD6">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4.5.2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项目管理班子成员不得擅自变更。其中，项目经理若有《广东省住房和城乡建设厅关于建设工程项目招标中标后监督检查的办法》（粤建市〔2009〕8 号，以下简称“《办法》”）第九条所述除外情形之一确需变更的，承包人应填写《建设工程项目管理班子变更情况报告表》（《办法》附件 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 </w:t>
      </w:r>
    </w:p>
    <w:p w14:paraId="0AE1D1C1">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现场管理 </w:t>
      </w:r>
    </w:p>
    <w:p w14:paraId="75752DF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 </w:t>
      </w:r>
    </w:p>
    <w:p w14:paraId="63E3D6B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承包人应按安全施工有关规定，采取严格、科学的安全防护措施，确保施工和人员（包括第三者）的安全，承担由于自身安全防护措施不力所造成的安全事故责任和发生的费用。</w:t>
      </w:r>
    </w:p>
    <w:p w14:paraId="36093A8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为保证施工现场的环境卫生，承包人在本招标项目施工过程中，所有的车辆必须按发包人规定的行车路线行驶。 </w:t>
      </w:r>
    </w:p>
    <w:p w14:paraId="18513EF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4.7</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监督实施 </w:t>
      </w:r>
    </w:p>
    <w:p w14:paraId="11B9958F">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承包人须服从发包人对工程质量、进度、成本的全方位监督，施工中的年度计划、季度计划、月度计划、施工方案等应报送监理单位审批和发包人备案。施工中的质量保措施等资料均应及时报送监理单位和发包人备案。 </w:t>
      </w:r>
    </w:p>
    <w:p w14:paraId="1E497966">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4.8</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主材的采购和使用 </w:t>
      </w:r>
    </w:p>
    <w:p w14:paraId="45CFC6FF">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 </w:t>
      </w:r>
    </w:p>
    <w:p w14:paraId="637CD19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4.9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竣工资料移交 </w:t>
      </w:r>
    </w:p>
    <w:p w14:paraId="5E7CD976">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项目竣工验收时，承包人应向监理单位和发包人提供符合国家档案部门备案要求的，编制成册的竣工图及有关的技术档案资料（含声像档案）一式四份。 </w:t>
      </w:r>
    </w:p>
    <w:p w14:paraId="4941230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质量保证</w:t>
      </w:r>
    </w:p>
    <w:p w14:paraId="7C977E2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本招标项目缺陷责任期为</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年（自通过竣工验收之日起计），在此期间预留金额为结算价</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的质量保证。</w:t>
      </w:r>
    </w:p>
    <w:p w14:paraId="0CE411C4">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承包人提交了等额质量保证金金额至仁化县财政局周田财政所，于次月一次性结清合同价格。 </w:t>
      </w:r>
    </w:p>
    <w:p w14:paraId="00FA11C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 </w:t>
      </w:r>
    </w:p>
    <w:p w14:paraId="215343EA">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由他人原因造成的缺陷，发包人负责组织维修，承包人不承担费用，且发包人不得从质量保证中扣除费用。 </w:t>
      </w:r>
    </w:p>
    <w:p w14:paraId="7C6CD6D1">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缺陷责任期内，承包人应认真履行合同约定的责任。缺陷责任期到期后，承包人向发包人申请退还质量保证，发包人应按照《建设工程质量保证金管理办法》有关规定将质量保证退还给承包人。  </w:t>
      </w:r>
    </w:p>
    <w:p w14:paraId="2102D96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不良行为处理 </w:t>
      </w:r>
    </w:p>
    <w:p w14:paraId="043D6EC9">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承包人及其有关人员有下列行为之一的，发包人应及时向建设行政主管部门报告。除按照有关法律、法规进行处罚外，不良行为将计入企业及有关个人诚信档案，并在韶关市住房和城乡建设管理局网站公示。 </w:t>
      </w:r>
    </w:p>
    <w:p w14:paraId="67A4E90D">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（1）转包、违法分包或违反投标承诺分包工程的； </w:t>
      </w:r>
    </w:p>
    <w:p w14:paraId="01E2E653">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（2）非原参加投标中标的项目经理负责组织施工或在实施过程中擅自更换项目经理的、项目的其他主要管理人员与中标文件确定的人员不相符的；</w:t>
      </w:r>
    </w:p>
    <w:p w14:paraId="4FF9DCC5">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（3）投标文件确定的大型机械设备没有进入施工现场的； </w:t>
      </w:r>
    </w:p>
    <w:p w14:paraId="2C56F21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（4）与建设单位、监理单位串通，签认虚假工程量或工程造价的； </w:t>
      </w:r>
    </w:p>
    <w:p w14:paraId="32D0DD6E">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（5）项目经理施工现场管理不到位的； </w:t>
      </w:r>
    </w:p>
    <w:p w14:paraId="01C481BC">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（6）项目经理在非本人资格证书注册单位从事工程项目施工管理的； </w:t>
      </w:r>
    </w:p>
    <w:p w14:paraId="6E3D80EF">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（7）项目经理同时承担超过一项工程项目的； </w:t>
      </w:r>
    </w:p>
    <w:p w14:paraId="7A86FACA">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（8）违反有关法律、法规、规章规定的其它行为。 </w:t>
      </w:r>
    </w:p>
    <w:p w14:paraId="2E40166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4.12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信用评价条款内容 </w:t>
      </w:r>
    </w:p>
    <w:p w14:paraId="00CEB1A4">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由发包人决定是否对施工单位的履约情况进行信用评价。若进行信用评价，评价条款由发包人自拟，条款内容可参考人员到位情况、服务配合程度、服务成果质量、项目后期服务及信用评价结果的运用等。 </w:t>
      </w:r>
    </w:p>
    <w:p w14:paraId="7742348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危险性较大的分部分项工程安全管理约定 。对危险性较大的工程必须按《危险性较大的分部分项工程安全管理规定》（中华人民共和国住房和城乡建设部令第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 </w:t>
      </w:r>
    </w:p>
    <w:p w14:paraId="29E4D296">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承包人应根据《危险性较大的分部分项工程安全管理规定》（住房城乡建设部令第 37 号）、《住房城乡建设部办公厅关于实施&lt;危险性较大的分部分项工程安全管理规定&gt;有关问题的通知》（建办质〔2018〕31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 </w:t>
      </w:r>
    </w:p>
    <w:p w14:paraId="54C50EB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承包人在工程实施过程中，按照国家、省、市的相关规定制定相关的专项安全施工方案（如高支模、基坑支护、沉井等），编制专项施工方案报监理人、发包人审批后方可开展专项工程的施工。 </w:t>
      </w:r>
    </w:p>
    <w:p w14:paraId="155F342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4.15</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承包人须按照《韶关市建筑垃圾管理条例》（2021 年 5 月 1 日起施行），将弃土运至发包人指定的场所，否则发包人有权要求承包人无条件将弃土从违约弃土点运至发包人指定的场所并扣除违约金人民币</w:t>
      </w:r>
      <w:r>
        <w:rPr>
          <w:rFonts w:hint="eastAsia" w:ascii="宋体" w:hAnsi="宋体" w:eastAsia="宋体" w:cs="宋体"/>
          <w:color w:val="000000" w:themeColor="text1"/>
          <w:spacing w:val="0"/>
          <w:kern w:val="2"/>
          <w:sz w:val="24"/>
          <w:szCs w:val="24"/>
          <w:highlight w:val="none"/>
          <w:u w:val="single"/>
          <w:shd w:val="clear" w:color="auto" w:fill="FFFFFF"/>
          <w:lang w:val="en-US" w:eastAsia="zh-CN" w:bidi="ar-SA"/>
          <w14:textFill>
            <w14:solidFill>
              <w14:schemeClr w14:val="tx1"/>
            </w14:solidFill>
          </w14:textFill>
        </w:rPr>
        <w:t xml:space="preserve"> 壹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万元/次。承包人对建筑垃圾须按《韶关市建筑垃圾管理条例》（2021 年 5 月 1 日起施行）的相关规定进行排放和运输，投标人在投标报价时综合考虑在报价内。承包人应在施工现场建立洗车槽和临时排水系统等确保外运车辆（土方运输车辆应符合韶关市相关规定）不带泥上路，投标人在投标报价时综合考虑在报价内，发包人不另行支付该部分费用）。建设单位、施工单位应当在施工工地出入口显著位置公示建筑垃圾处理方案主要信息，包括建设工程垃圾种类、产生量、外运处置去向等信息及各相关单位名称、联系人及联系电话等。 </w:t>
      </w:r>
    </w:p>
    <w:p w14:paraId="30E88A4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4.16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工程竣工验收后 15 日内，承包人应按市城建档案馆的要求（质量、数量），将编制成册的施工档案资料（含声像档案和电子档案）提供给发包人、市城建档案馆、市住建管理局、管养单位及监理单位，并承担档案涉及的所有费用（制作标准和相关要求按市城建档案馆的有关规定执行）。承包人提交符合城建档案馆要求的竣工资料经发包人确认签收后，即可办理工程结算手续。 </w:t>
      </w:r>
    </w:p>
    <w:p w14:paraId="234A348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4.17</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 </w:t>
      </w:r>
    </w:p>
    <w:p w14:paraId="3EA232A4">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4.18</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承包人中标后必须按规定及时缴交工人工资保证金、环保噪声排污费等。 </w:t>
      </w:r>
    </w:p>
    <w:p w14:paraId="232F19C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4.19</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工程质量保修期按《中华人民共和国建筑法》、《建设工程质量管理条例》等相关规定实施。 </w:t>
      </w:r>
    </w:p>
    <w:p w14:paraId="794DBDF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如项目实施过程中发生了工程变更及工程签证，承包人需根据发布的《工程变更管理办法》和《工程签证管理办法》完善工程变更签证相关程序。 </w:t>
      </w:r>
    </w:p>
    <w:p w14:paraId="0657C355">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承包人需按相关规定要求，设置本工程符合相关要求的永久性标牌及规划公示牌，投标人在投标报价时综合考虑在报价内，发包人不另行支付该部分费用。 </w:t>
      </w:r>
    </w:p>
    <w:p w14:paraId="1605F613">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承包人应在项目所在地住建管理部门办理诚信登记，发包人将严格按住建管理部门诚信登记管理办法对承包人履约情况进行考核。 </w:t>
      </w:r>
    </w:p>
    <w:p w14:paraId="7F42F4A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承包人应按韶关市住房和城乡建设管理局、韶关市人力资源和社会保障局等职能部门对用工实名制的相关规定,落实工人及相关软硬件设施要求。</w:t>
      </w:r>
    </w:p>
    <w:p w14:paraId="6E4D075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质量违约</w:t>
      </w:r>
    </w:p>
    <w:p w14:paraId="3501D77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材料违约处理：若发现材料不符合国家标准或发包人在技术规范中规定的标准， </w:t>
      </w:r>
    </w:p>
    <w:p w14:paraId="3A33DEBF">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视为承包人违约，按现行《建设工程质量管理条例》处理。 </w:t>
      </w:r>
    </w:p>
    <w:p w14:paraId="172C2EA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4.24.1.1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成品采购项目在采购前，承包人必须先行书面征求监理人、发包人的同意并 </w:t>
      </w:r>
    </w:p>
    <w:p w14:paraId="0FE498C6">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一起看样定版后方能实施。未经监理人、发包人同意擅自先行采购和实施的，否则因不符 </w:t>
      </w:r>
    </w:p>
    <w:p w14:paraId="78BCD3A2">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合设计要求返工造成的费用由承包人承担。</w:t>
      </w:r>
    </w:p>
    <w:p w14:paraId="77B7961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4.24.2</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工程质量违约： </w:t>
      </w:r>
    </w:p>
    <w:p w14:paraId="433283B4">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4.24.2.1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在施工过程中经监理单位日常巡查或抽检发现未达到合格标准，责令承包人进 </w:t>
      </w:r>
    </w:p>
    <w:p w14:paraId="12C6716D">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行整改，如未按规定时间进行整改或整改不到位的，每次按 5000 元缴纳违约金给发包人，在进度款或结算款中一并扣除。 </w:t>
      </w:r>
    </w:p>
    <w:p w14:paraId="5755758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4.24.2.2</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工程质量标准须达到国家验收合格标准。如未达到合格标准，除无偿返工至合 </w:t>
      </w:r>
    </w:p>
    <w:p w14:paraId="2A82A30B">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格外，还要按合同价款的 1%向招标人支付质量违约金，工期不予顺延。 </w:t>
      </w:r>
    </w:p>
    <w:p w14:paraId="44A72C4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4.25</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重大责任事故违约 </w:t>
      </w:r>
    </w:p>
    <w:p w14:paraId="7EC71D9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4.25.1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承包人因违反国家安全质量法规及合同有关条款约定,出现火灾、坍塌、人员重 </w:t>
      </w:r>
    </w:p>
    <w:p w14:paraId="3E6F36F7">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伤、死亡等重大责任事故,则承包人应承担全部损失,并按相关法规接受行政处罚；如造成发 </w:t>
      </w:r>
    </w:p>
    <w:p w14:paraId="105736B3">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包人及对第三人利益的损害,该等损害赔偿责任均由承包人承担。 </w:t>
      </w:r>
    </w:p>
    <w:p w14:paraId="5C6E18CD">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4.26</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用工违约 </w:t>
      </w:r>
    </w:p>
    <w:p w14:paraId="244A204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4.26.1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在合同履行期间，如经查实承包人拖欠或克扣农民工或劳务工工资，导致劳资纠纷或发生危及公共安全或正常社会秩序的事件的，按承包人违约处理，承包人应按拖欠或克 </w:t>
      </w:r>
    </w:p>
    <w:p w14:paraId="6B19D6EE">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扣农民工工资总金额 2 倍的标准向发包人缴纳惩罚性违约金。 </w:t>
      </w:r>
    </w:p>
    <w:p w14:paraId="7980D17E">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4.27</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安全文明施工违约 </w:t>
      </w:r>
    </w:p>
    <w:p w14:paraId="58B0684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4.27.1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如承包人违反国家、广东省、发包人及合同关于安全文明施工的规定，但尚未造 </w:t>
      </w:r>
    </w:p>
    <w:p w14:paraId="0E250BDA">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成安全责任事故，承包人应及时改正行为并赔偿相关方的损失，如未及时整改,针对每一违约 </w:t>
      </w:r>
    </w:p>
    <w:p w14:paraId="4F637481">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行为每持续一天应缴纳违约金 1000.00 元。</w:t>
      </w:r>
    </w:p>
    <w:p w14:paraId="48A3EC33">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4.27.2</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承包人必须接受发包人及监理单位组织的安全、文明施工的检查，检查中的不合格项目、安全隐患必须在规定的时间内整改完成，否则每拖延一天处以 2000.00 元人民币违约金，直至整改合格。 </w:t>
      </w:r>
    </w:p>
    <w:p w14:paraId="1D39E82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4.28</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其他违约 </w:t>
      </w:r>
    </w:p>
    <w:p w14:paraId="3987CEF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4.28.1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安排在施工场地的主要管理人员（主要指项目经理、项目技术负责人和专职安全生产管理人员）应与承包人投标文件承诺的名单一致，并保持相对稳定。未经总监理工程师批准，上述人员不应无故不到位或被替换。若确实无法到位或需替换，需经总监理工</w:t>
      </w:r>
    </w:p>
    <w:p w14:paraId="7093E00C">
      <w:pPr>
        <w:keepNext w:val="0"/>
        <w:keepLines w:val="0"/>
        <w:pageBreakBefore w:val="0"/>
        <w:wordWrap w:val="0"/>
        <w:overflowPunct/>
        <w:topLinePunct w:val="0"/>
        <w:bidi w:val="0"/>
        <w:adjustRightInd w:val="0"/>
        <w:snapToGrid w:val="0"/>
        <w:spacing w:line="440" w:lineRule="exact"/>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程师审核并报发包人批准后，承包人可安排同等资历的人员替换。 </w:t>
      </w:r>
    </w:p>
    <w:p w14:paraId="06E8294D">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4.28.2</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中标人施工资料必须与形象进度同步。</w:t>
      </w:r>
    </w:p>
    <w:p w14:paraId="7B1DB3D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bidi="ar-SA"/>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4.28.3</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承包人没有正当合理的理由中途退场，可扣除承包人已递交的所有履约风险保证金。承包人因上述违约行为而须缴纳的违约金在工程进度款中或结算时一并扣除。</w:t>
      </w:r>
    </w:p>
    <w:p w14:paraId="22A28A7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5.其他合同条款由招标人与中标人自行协商约定</w:t>
      </w:r>
    </w:p>
    <w:p w14:paraId="76E3D22A">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592C9070">
      <w:pPr>
        <w:keepNext w:val="0"/>
        <w:keepLines w:val="0"/>
        <w:pageBreakBefore w:val="0"/>
        <w:wordWrap w:val="0"/>
        <w:overflowPunct/>
        <w:topLinePunct w:val="0"/>
        <w:bidi w:val="0"/>
        <w:spacing w:before="78" w:line="219" w:lineRule="auto"/>
        <w:ind w:left="3273"/>
        <w:outlineLvl w:val="0"/>
        <w:rPr>
          <w:rFonts w:hint="eastAsia" w:ascii="宋体" w:hAnsi="宋体" w:eastAsia="宋体" w:cs="宋体"/>
          <w:color w:val="000000" w:themeColor="text1"/>
          <w:spacing w:val="0"/>
          <w:highlight w:val="none"/>
          <w14:textFill>
            <w14:solidFill>
              <w14:schemeClr w14:val="tx1"/>
            </w14:solidFill>
          </w14:textFill>
        </w:rPr>
      </w:pPr>
      <w:bookmarkStart w:id="186" w:name="_Toc30336"/>
      <w:r>
        <w:rPr>
          <w:rFonts w:hint="eastAsia" w:ascii="宋体" w:hAnsi="宋体" w:eastAsia="宋体" w:cs="宋体"/>
          <w:b/>
          <w:bCs/>
          <w:color w:val="000000" w:themeColor="text1"/>
          <w:spacing w:val="0"/>
          <w:sz w:val="24"/>
          <w:szCs w:val="24"/>
          <w:highlight w:val="none"/>
          <w14:textFill>
            <w14:solidFill>
              <w14:schemeClr w14:val="tx1"/>
            </w14:solidFill>
          </w14:textFill>
        </w:rPr>
        <w:t>第四章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技术要求</w:t>
      </w:r>
      <w:bookmarkEnd w:id="186"/>
    </w:p>
    <w:p w14:paraId="3E6A87FB">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39F1228B">
      <w:pPr>
        <w:keepNext w:val="0"/>
        <w:keepLines w:val="0"/>
        <w:pageBreakBefore w:val="0"/>
        <w:wordWrap w:val="0"/>
        <w:overflowPunct/>
        <w:topLinePunct w:val="0"/>
        <w:bidi w:val="0"/>
        <w:spacing w:before="78" w:line="221" w:lineRule="auto"/>
        <w:ind w:left="12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87" w:name="_Toc10155"/>
      <w:bookmarkStart w:id="188" w:name="_Toc20347"/>
      <w:r>
        <w:rPr>
          <w:rFonts w:hint="eastAsia" w:ascii="宋体" w:hAnsi="宋体" w:eastAsia="宋体" w:cs="宋体"/>
          <w:b/>
          <w:bCs/>
          <w:color w:val="000000" w:themeColor="text1"/>
          <w:spacing w:val="0"/>
          <w:sz w:val="24"/>
          <w:szCs w:val="24"/>
          <w:highlight w:val="none"/>
          <w14:textFill>
            <w14:solidFill>
              <w14:schemeClr w14:val="tx1"/>
            </w14:solidFill>
          </w14:textFill>
        </w:rPr>
        <w:t>1 ．房屋建筑工程建设项目</w:t>
      </w:r>
      <w:bookmarkEnd w:id="187"/>
      <w:bookmarkEnd w:id="188"/>
    </w:p>
    <w:p w14:paraId="0CE4FE26">
      <w:pPr>
        <w:keepNext w:val="0"/>
        <w:keepLines w:val="0"/>
        <w:pageBreakBefore w:val="0"/>
        <w:wordWrap w:val="0"/>
        <w:overflowPunct/>
        <w:topLinePunct w:val="0"/>
        <w:bidi w:val="0"/>
        <w:spacing w:before="152" w:line="220"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房屋建筑工程建设项目必须执行的现行技术规范，包括且不限于：</w:t>
      </w:r>
    </w:p>
    <w:p w14:paraId="2E913A2A">
      <w:pPr>
        <w:keepNext w:val="0"/>
        <w:keepLines w:val="0"/>
        <w:pageBreakBefore w:val="0"/>
        <w:wordWrap w:val="0"/>
        <w:overflowPunct/>
        <w:topLinePunct w:val="0"/>
        <w:bidi w:val="0"/>
        <w:spacing w:before="155"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（1）《建筑工程施工质量验收统一标准》；</w:t>
      </w:r>
    </w:p>
    <w:p w14:paraId="21289F3F">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（2）《建筑地基基础工程施工质量验收规范》；</w:t>
      </w:r>
    </w:p>
    <w:p w14:paraId="21379855">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（3）《砌体工程施工质量验收规范》；</w:t>
      </w:r>
    </w:p>
    <w:p w14:paraId="191C91D8">
      <w:pPr>
        <w:keepNext w:val="0"/>
        <w:keepLines w:val="0"/>
        <w:pageBreakBefore w:val="0"/>
        <w:wordWrap w:val="0"/>
        <w:overflowPunct/>
        <w:topLinePunct w:val="0"/>
        <w:bidi w:val="0"/>
        <w:spacing w:before="155"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（4）《混凝土结构工程施工质量验收规范》；</w:t>
      </w:r>
    </w:p>
    <w:p w14:paraId="3087379D">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（5）《屋面工程质量验收规范》；</w:t>
      </w:r>
    </w:p>
    <w:p w14:paraId="3B431104">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（6）《地下防水工程质量验收规范》；</w:t>
      </w:r>
    </w:p>
    <w:p w14:paraId="47AE272D">
      <w:pPr>
        <w:keepNext w:val="0"/>
        <w:keepLines w:val="0"/>
        <w:pageBreakBefore w:val="0"/>
        <w:wordWrap w:val="0"/>
        <w:overflowPunct/>
        <w:topLinePunct w:val="0"/>
        <w:bidi w:val="0"/>
        <w:spacing w:before="156"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（7）《建筑地面工程施工质量验收规范》；</w:t>
      </w:r>
    </w:p>
    <w:p w14:paraId="76A79CB0">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（8）《建筑装饰装修工程施工质量验收规范》；</w:t>
      </w:r>
    </w:p>
    <w:p w14:paraId="7E836C74">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（9）《建筑给排水及采暖工程施工质量验收规范》；</w:t>
      </w:r>
    </w:p>
    <w:p w14:paraId="27101421">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（10）《建筑电气工程施工质量验收规范》；</w:t>
      </w:r>
    </w:p>
    <w:p w14:paraId="64136A99">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（11）《住建部绿色建筑评价标准》；</w:t>
      </w:r>
    </w:p>
    <w:p w14:paraId="394AE18E">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（12）《建筑节能与可再生能源利用通用规范》（GB55015-2021）；</w:t>
      </w:r>
    </w:p>
    <w:p w14:paraId="5F96829D">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（13）《建筑环境通用规范》；</w:t>
      </w:r>
    </w:p>
    <w:p w14:paraId="0198E858">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bookmarkStart w:id="189" w:name="_Toc12084"/>
      <w:bookmarkStart w:id="190" w:name="_Toc16294"/>
      <w:r>
        <w:rPr>
          <w:rFonts w:hint="eastAsia" w:ascii="宋体" w:hAnsi="宋体" w:eastAsia="宋体" w:cs="宋体"/>
          <w:color w:val="000000" w:themeColor="text1"/>
          <w:spacing w:val="0"/>
          <w:sz w:val="24"/>
          <w:szCs w:val="24"/>
          <w:highlight w:val="none"/>
          <w14:textFill>
            <w14:solidFill>
              <w14:schemeClr w14:val="tx1"/>
            </w14:solidFill>
          </w14:textFill>
        </w:rPr>
        <w:t>（14）《建筑与市政工程无障碍通用规范》 GB 55019-2021；</w:t>
      </w:r>
      <w:bookmarkEnd w:id="189"/>
      <w:bookmarkEnd w:id="190"/>
    </w:p>
    <w:p w14:paraId="208415E7">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191" w:name="_Toc1177"/>
      <w:bookmarkStart w:id="192" w:name="_Toc15158"/>
      <w:r>
        <w:rPr>
          <w:rFonts w:hint="eastAsia" w:ascii="宋体" w:hAnsi="宋体" w:eastAsia="宋体" w:cs="宋体"/>
          <w:color w:val="000000" w:themeColor="text1"/>
          <w:spacing w:val="0"/>
          <w:sz w:val="24"/>
          <w:szCs w:val="24"/>
          <w:highlight w:val="none"/>
          <w14:textFill>
            <w14:solidFill>
              <w14:schemeClr w14:val="tx1"/>
            </w14:solidFill>
          </w14:textFill>
        </w:rPr>
        <w:t>（15）《建筑防火通用规范》GB 55037-2022</w:t>
      </w:r>
      <w:bookmarkEnd w:id="191"/>
      <w:bookmarkEnd w:id="192"/>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3CAEBDB1">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193" w:name="_Toc24233"/>
      <w:bookmarkStart w:id="194" w:name="_Toc2461"/>
      <w:r>
        <w:rPr>
          <w:rFonts w:hint="eastAsia" w:ascii="宋体" w:hAnsi="宋体" w:eastAsia="宋体" w:cs="宋体"/>
          <w:color w:val="000000" w:themeColor="text1"/>
          <w:spacing w:val="0"/>
          <w:sz w:val="24"/>
          <w:szCs w:val="24"/>
          <w:highlight w:val="none"/>
          <w14:textFill>
            <w14:solidFill>
              <w14:schemeClr w14:val="tx1"/>
            </w14:solidFill>
          </w14:textFill>
        </w:rPr>
        <w:t>（16）《建筑与市政工程抗震通用规范》GB55002-2001</w:t>
      </w:r>
      <w:bookmarkEnd w:id="193"/>
      <w:bookmarkEnd w:id="194"/>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685DD796">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195" w:name="_Toc5777"/>
      <w:bookmarkStart w:id="196" w:name="_Toc8109"/>
      <w:r>
        <w:rPr>
          <w:rFonts w:hint="eastAsia" w:ascii="宋体" w:hAnsi="宋体" w:eastAsia="宋体" w:cs="宋体"/>
          <w:color w:val="000000" w:themeColor="text1"/>
          <w:spacing w:val="0"/>
          <w:sz w:val="24"/>
          <w:szCs w:val="24"/>
          <w:highlight w:val="none"/>
          <w14:textFill>
            <w14:solidFill>
              <w14:schemeClr w14:val="tx1"/>
            </w14:solidFill>
          </w14:textFill>
        </w:rPr>
        <w:t>（17）《建筑与市政地基基础通用规范》GB55003-20</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14:textFill>
            <w14:solidFill>
              <w14:schemeClr w14:val="tx1"/>
            </w14:solidFill>
          </w14:textFill>
        </w:rPr>
        <w:t>1</w:t>
      </w:r>
      <w:bookmarkEnd w:id="195"/>
      <w:bookmarkEnd w:id="196"/>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00DBFC09">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（18）《广东省住房和城乡建设厅绿色施工导则》；</w:t>
      </w:r>
    </w:p>
    <w:p w14:paraId="5D7737AC">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（19）《广东省建筑工程绿色施工评价标准》；</w:t>
      </w:r>
    </w:p>
    <w:p w14:paraId="5CD8C62F">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（20）《广东省建筑节能与绿色建筑工程施工质量验收规范》</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067E85AF">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（21）其他现行国家、广东省关于房建工程的施工及验收规范、定额、规程、标准。</w:t>
      </w:r>
    </w:p>
    <w:p w14:paraId="36B34C1F">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75E00F81">
      <w:pPr>
        <w:keepNext w:val="0"/>
        <w:keepLines w:val="0"/>
        <w:pageBreakBefore w:val="0"/>
        <w:wordWrap w:val="0"/>
        <w:overflowPunct/>
        <w:topLinePunct w:val="0"/>
        <w:bidi w:val="0"/>
        <w:spacing w:before="78" w:line="220" w:lineRule="auto"/>
        <w:ind w:left="11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97" w:name="_Toc31268"/>
      <w:bookmarkStart w:id="198" w:name="_Toc15652"/>
      <w:r>
        <w:rPr>
          <w:rFonts w:hint="eastAsia" w:ascii="宋体" w:hAnsi="宋体" w:eastAsia="宋体" w:cs="宋体"/>
          <w:b/>
          <w:bCs/>
          <w:color w:val="000000" w:themeColor="text1"/>
          <w:spacing w:val="0"/>
          <w:sz w:val="24"/>
          <w:szCs w:val="24"/>
          <w:highlight w:val="none"/>
          <w14:textFill>
            <w14:solidFill>
              <w14:schemeClr w14:val="tx1"/>
            </w14:solidFill>
          </w14:textFill>
        </w:rPr>
        <w:t>2 ．市政基础设施工程建设项目</w:t>
      </w:r>
      <w:bookmarkEnd w:id="197"/>
      <w:bookmarkEnd w:id="198"/>
    </w:p>
    <w:p w14:paraId="1DE67B68">
      <w:pPr>
        <w:keepNext w:val="0"/>
        <w:keepLines w:val="0"/>
        <w:pageBreakBefore w:val="0"/>
        <w:wordWrap w:val="0"/>
        <w:overflowPunct/>
        <w:topLinePunct w:val="0"/>
        <w:bidi w:val="0"/>
        <w:spacing w:before="154" w:line="220" w:lineRule="auto"/>
        <w:ind w:left="1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市政基础设施工程建设项目必须执行的现行技术规范，包括且不限于：</w:t>
      </w:r>
    </w:p>
    <w:p w14:paraId="7EF67537">
      <w:pPr>
        <w:keepNext w:val="0"/>
        <w:keepLines w:val="0"/>
        <w:pageBreakBefore w:val="0"/>
        <w:wordWrap w:val="0"/>
        <w:overflowPunct/>
        <w:topLinePunct w:val="0"/>
        <w:bidi w:val="0"/>
        <w:spacing w:before="155"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（1）《公路路基施工技术规范》；</w:t>
      </w:r>
    </w:p>
    <w:p w14:paraId="0FD09BDA">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（2）《市政道路工程质量检验评定标准》；</w:t>
      </w:r>
    </w:p>
    <w:p w14:paraId="5E4C6C0A">
      <w:pPr>
        <w:keepNext w:val="0"/>
        <w:keepLines w:val="0"/>
        <w:pageBreakBefore w:val="0"/>
        <w:wordWrap w:val="0"/>
        <w:overflowPunct/>
        <w:topLinePunct w:val="0"/>
        <w:bidi w:val="0"/>
        <w:spacing w:before="154"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（3）《市政排水管渠工程质量检验评定标准》；</w:t>
      </w:r>
    </w:p>
    <w:p w14:paraId="5FFAA5AA">
      <w:pPr>
        <w:keepNext w:val="0"/>
        <w:keepLines w:val="0"/>
        <w:pageBreakBefore w:val="0"/>
        <w:widowControl w:val="0"/>
        <w:kinsoku w:val="0"/>
        <w:wordWrap w:val="0"/>
        <w:overflowPunct/>
        <w:topLinePunct w:val="0"/>
        <w:autoSpaceDE w:val="0"/>
        <w:autoSpaceDN w:val="0"/>
        <w:bidi w:val="0"/>
        <w:adjustRightInd w:val="0"/>
        <w:snapToGrid w:val="0"/>
        <w:spacing w:before="155" w:line="220" w:lineRule="auto"/>
        <w:ind w:left="13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（4）《给水排水管道工程施工及验收规范》；</w:t>
      </w:r>
    </w:p>
    <w:p w14:paraId="5C80DC30">
      <w:pPr>
        <w:keepNext w:val="0"/>
        <w:keepLines w:val="0"/>
        <w:pageBreakBefore w:val="0"/>
        <w:widowControl w:val="0"/>
        <w:kinsoku w:val="0"/>
        <w:wordWrap w:val="0"/>
        <w:overflowPunct/>
        <w:topLinePunct w:val="0"/>
        <w:autoSpaceDE w:val="0"/>
        <w:autoSpaceDN w:val="0"/>
        <w:bidi w:val="0"/>
        <w:adjustRightInd w:val="0"/>
        <w:snapToGrid w:val="0"/>
        <w:spacing w:before="78"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（5）《城市道路路基工程施工及验收规范》；</w:t>
      </w:r>
    </w:p>
    <w:p w14:paraId="3DE05869">
      <w:pPr>
        <w:keepNext w:val="0"/>
        <w:keepLines w:val="0"/>
        <w:pageBreakBefore w:val="0"/>
        <w:widowControl w:val="0"/>
        <w:kinsoku w:val="0"/>
        <w:wordWrap w:val="0"/>
        <w:overflowPunct/>
        <w:topLinePunct w:val="0"/>
        <w:autoSpaceDE w:val="0"/>
        <w:autoSpaceDN w:val="0"/>
        <w:bidi w:val="0"/>
        <w:adjustRightInd w:val="0"/>
        <w:snapToGrid w:val="0"/>
        <w:spacing w:before="155"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（6）《水泥砼路面施工及验收规范》；</w:t>
      </w:r>
    </w:p>
    <w:p w14:paraId="2D0FA851">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（7）《公路水泥砼路面施工技术规范》；</w:t>
      </w:r>
    </w:p>
    <w:p w14:paraId="3DDEEDA6">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（8）《埋地硬聚氯乙烯排水管道工程技术规程》；</w:t>
      </w:r>
    </w:p>
    <w:p w14:paraId="0C40551B">
      <w:pPr>
        <w:keepNext w:val="0"/>
        <w:keepLines w:val="0"/>
        <w:pageBreakBefore w:val="0"/>
        <w:widowControl w:val="0"/>
        <w:kinsoku w:val="0"/>
        <w:wordWrap w:val="0"/>
        <w:overflowPunct/>
        <w:topLinePunct w:val="0"/>
        <w:autoSpaceDE w:val="0"/>
        <w:autoSpaceDN w:val="0"/>
        <w:bidi w:val="0"/>
        <w:adjustRightInd w:val="0"/>
        <w:snapToGrid w:val="0"/>
        <w:spacing w:before="122" w:line="219"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（9）《沥青路面施工及验收规范》；</w:t>
      </w:r>
    </w:p>
    <w:p w14:paraId="051F222E">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（10）《广东省市政工程施工质量技术资料统一用表》。</w:t>
      </w:r>
    </w:p>
    <w:p w14:paraId="71A0E2DE">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199" w:name="_Toc8494"/>
      <w:bookmarkStart w:id="200" w:name="_Toc30781"/>
      <w:r>
        <w:rPr>
          <w:rFonts w:hint="eastAsia" w:ascii="宋体" w:hAnsi="宋体" w:eastAsia="宋体" w:cs="宋体"/>
          <w:color w:val="000000" w:themeColor="text1"/>
          <w:spacing w:val="0"/>
          <w:sz w:val="24"/>
          <w:szCs w:val="24"/>
          <w:highlight w:val="none"/>
          <w14:textFill>
            <w14:solidFill>
              <w14:schemeClr w14:val="tx1"/>
            </w14:solidFill>
          </w14:textFill>
        </w:rPr>
        <w:t>（11）《建筑与市政工程无障碍通用规范》 GB 55019-2021；</w:t>
      </w:r>
      <w:bookmarkEnd w:id="199"/>
      <w:bookmarkEnd w:id="200"/>
    </w:p>
    <w:p w14:paraId="0BB30486">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201" w:name="_Toc17383"/>
      <w:bookmarkStart w:id="202" w:name="_Toc31143"/>
      <w:r>
        <w:rPr>
          <w:rFonts w:hint="eastAsia" w:ascii="宋体" w:hAnsi="宋体" w:eastAsia="宋体" w:cs="宋体"/>
          <w:color w:val="000000" w:themeColor="text1"/>
          <w:spacing w:val="0"/>
          <w:sz w:val="24"/>
          <w:szCs w:val="24"/>
          <w:highlight w:val="none"/>
          <w14:textFill>
            <w14:solidFill>
              <w14:schemeClr w14:val="tx1"/>
            </w14:solidFill>
          </w14:textFill>
        </w:rPr>
        <w:t>（12）《建筑防火通用规范》GB 55037-2022</w:t>
      </w:r>
      <w:bookmarkEnd w:id="201"/>
      <w:bookmarkEnd w:id="202"/>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3167F8CD">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203" w:name="_Toc32476"/>
      <w:bookmarkStart w:id="204" w:name="_Toc954"/>
      <w:r>
        <w:rPr>
          <w:rFonts w:hint="eastAsia" w:ascii="宋体" w:hAnsi="宋体" w:eastAsia="宋体" w:cs="宋体"/>
          <w:color w:val="000000" w:themeColor="text1"/>
          <w:spacing w:val="0"/>
          <w:sz w:val="24"/>
          <w:szCs w:val="24"/>
          <w:highlight w:val="none"/>
          <w14:textFill>
            <w14:solidFill>
              <w14:schemeClr w14:val="tx1"/>
            </w14:solidFill>
          </w14:textFill>
        </w:rPr>
        <w:t>（13）《建筑与市政工程抗震通用规范》GB55002-2001</w:t>
      </w:r>
      <w:bookmarkEnd w:id="203"/>
      <w:bookmarkEnd w:id="204"/>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7E7E1132">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205" w:name="_Toc27898"/>
      <w:bookmarkStart w:id="206" w:name="_Toc7185"/>
      <w:r>
        <w:rPr>
          <w:rFonts w:hint="eastAsia" w:ascii="宋体" w:hAnsi="宋体" w:eastAsia="宋体" w:cs="宋体"/>
          <w:color w:val="000000" w:themeColor="text1"/>
          <w:spacing w:val="0"/>
          <w:sz w:val="24"/>
          <w:szCs w:val="24"/>
          <w:highlight w:val="none"/>
          <w14:textFill>
            <w14:solidFill>
              <w14:schemeClr w14:val="tx1"/>
            </w14:solidFill>
          </w14:textFill>
        </w:rPr>
        <w:t>（14）《建筑与市政地基基础通用规范》GB55003-20</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14:textFill>
            <w14:solidFill>
              <w14:schemeClr w14:val="tx1"/>
            </w14:solidFill>
          </w14:textFill>
        </w:rPr>
        <w:t>1</w:t>
      </w:r>
      <w:bookmarkEnd w:id="205"/>
      <w:bookmarkEnd w:id="206"/>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598E0BAE">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07" w:name="_Toc17281"/>
      <w:bookmarkStart w:id="208" w:name="_Toc29669"/>
      <w:r>
        <w:rPr>
          <w:rFonts w:hint="eastAsia" w:ascii="宋体" w:hAnsi="宋体" w:eastAsia="宋体" w:cs="宋体"/>
          <w:color w:val="000000" w:themeColor="text1"/>
          <w:spacing w:val="0"/>
          <w:sz w:val="24"/>
          <w:szCs w:val="24"/>
          <w:highlight w:val="none"/>
          <w14:textFill>
            <w14:solidFill>
              <w14:schemeClr w14:val="tx1"/>
            </w14:solidFill>
          </w14:textFill>
        </w:rPr>
        <w:t>（15）《城市道路照明设计标准》（CJJ45-2015）；</w:t>
      </w:r>
      <w:bookmarkEnd w:id="207"/>
      <w:bookmarkEnd w:id="208"/>
    </w:p>
    <w:p w14:paraId="17AD9E79">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09" w:name="_Toc31812"/>
      <w:bookmarkStart w:id="210" w:name="_Toc9161"/>
      <w:r>
        <w:rPr>
          <w:rFonts w:hint="eastAsia" w:ascii="宋体" w:hAnsi="宋体" w:eastAsia="宋体" w:cs="宋体"/>
          <w:color w:val="000000" w:themeColor="text1"/>
          <w:spacing w:val="0"/>
          <w:sz w:val="24"/>
          <w:szCs w:val="24"/>
          <w:highlight w:val="none"/>
          <w14:textFill>
            <w14:solidFill>
              <w14:schemeClr w14:val="tx1"/>
            </w14:solidFill>
          </w14:textFill>
        </w:rPr>
        <w:t>（16）《低压配电设计规范》（GB50054-2011）；</w:t>
      </w:r>
      <w:bookmarkEnd w:id="209"/>
      <w:bookmarkEnd w:id="210"/>
    </w:p>
    <w:p w14:paraId="39AD9BAB">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11" w:name="_Toc18255"/>
      <w:bookmarkStart w:id="212" w:name="_Toc6405"/>
      <w:r>
        <w:rPr>
          <w:rFonts w:hint="eastAsia" w:ascii="宋体" w:hAnsi="宋体" w:eastAsia="宋体" w:cs="宋体"/>
          <w:color w:val="000000" w:themeColor="text1"/>
          <w:spacing w:val="0"/>
          <w:sz w:val="24"/>
          <w:szCs w:val="24"/>
          <w:highlight w:val="none"/>
          <w14:textFill>
            <w14:solidFill>
              <w14:schemeClr w14:val="tx1"/>
            </w14:solidFill>
          </w14:textFill>
        </w:rPr>
        <w:t>（17）《城市道路照明工程施工及验收规程》（CJJ89-2012）；</w:t>
      </w:r>
      <w:bookmarkEnd w:id="211"/>
      <w:bookmarkEnd w:id="212"/>
    </w:p>
    <w:p w14:paraId="5C08A858">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（18）《LED 道路照明工程技术规范》（DB44/T 1898-2016）；</w:t>
      </w:r>
    </w:p>
    <w:p w14:paraId="2E0247A6">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（19）《灯具第 1 部分：一般要求与试验》（GB7000.1-2015）；</w:t>
      </w:r>
    </w:p>
    <w:p w14:paraId="304A14BA">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（20）《电缆工程电缆设计标准》（GB50217-2018）；</w:t>
      </w:r>
    </w:p>
    <w:p w14:paraId="2781CAEA">
      <w:pPr>
        <w:keepNext w:val="0"/>
        <w:keepLines w:val="0"/>
        <w:pageBreakBefore w:val="0"/>
        <w:widowControl w:val="0"/>
        <w:kinsoku w:val="0"/>
        <w:wordWrap w:val="0"/>
        <w:overflowPunct/>
        <w:topLinePunct w:val="0"/>
        <w:autoSpaceDE w:val="0"/>
        <w:autoSpaceDN w:val="0"/>
        <w:bidi w:val="0"/>
        <w:adjustRightInd w:val="0"/>
        <w:snapToGrid w:val="0"/>
        <w:spacing w:before="146" w:line="220" w:lineRule="auto"/>
        <w:ind w:left="216" w:leftChars="103" w:firstLine="0" w:firstLineChars="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（21）其他现行国家、广东省关于市政工程的技术及验收规范、定额、规程、标准。</w:t>
      </w:r>
    </w:p>
    <w:p w14:paraId="4A2CCAE5">
      <w:pPr>
        <w:pStyle w:val="5"/>
        <w:keepNext w:val="0"/>
        <w:keepLines w:val="0"/>
        <w:pageBreakBefore w:val="0"/>
        <w:widowControl w:val="0"/>
        <w:kinsoku w:val="0"/>
        <w:wordWrap w:val="0"/>
        <w:overflowPunct/>
        <w:topLinePunct w:val="0"/>
        <w:autoSpaceDE w:val="0"/>
        <w:autoSpaceDN w:val="0"/>
        <w:bidi w:val="0"/>
        <w:adjustRightInd w:val="0"/>
        <w:snapToGrid w:val="0"/>
        <w:spacing w:line="255"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4C853389">
      <w:pPr>
        <w:pStyle w:val="5"/>
        <w:keepNext w:val="0"/>
        <w:keepLines w:val="0"/>
        <w:pageBreakBefore w:val="0"/>
        <w:widowControl w:val="0"/>
        <w:kinsoku w:val="0"/>
        <w:wordWrap w:val="0"/>
        <w:overflowPunct/>
        <w:topLinePunct w:val="0"/>
        <w:autoSpaceDE w:val="0"/>
        <w:autoSpaceDN w:val="0"/>
        <w:bidi w:val="0"/>
        <w:adjustRightInd w:val="0"/>
        <w:snapToGrid w:val="0"/>
        <w:spacing w:line="255"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75A42B65">
      <w:pPr>
        <w:keepNext w:val="0"/>
        <w:keepLines w:val="0"/>
        <w:pageBreakBefore w:val="0"/>
        <w:widowControl w:val="0"/>
        <w:kinsoku w:val="0"/>
        <w:wordWrap w:val="0"/>
        <w:overflowPunct/>
        <w:topLinePunct w:val="0"/>
        <w:autoSpaceDE w:val="0"/>
        <w:autoSpaceDN w:val="0"/>
        <w:bidi w:val="0"/>
        <w:adjustRightInd w:val="0"/>
        <w:snapToGrid w:val="0"/>
        <w:spacing w:before="78" w:line="222" w:lineRule="auto"/>
        <w:ind w:left="556"/>
        <w:textAlignment w:val="baseline"/>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13" w:name="_Toc9200"/>
      <w:bookmarkStart w:id="214" w:name="_Toc14731"/>
      <w:r>
        <w:rPr>
          <w:rFonts w:hint="eastAsia" w:ascii="宋体" w:hAnsi="宋体" w:eastAsia="宋体" w:cs="宋体"/>
          <w:b/>
          <w:bCs/>
          <w:color w:val="000000" w:themeColor="text1"/>
          <w:spacing w:val="0"/>
          <w:sz w:val="24"/>
          <w:szCs w:val="24"/>
          <w:highlight w:val="none"/>
          <w14:textFill>
            <w14:solidFill>
              <w14:schemeClr w14:val="tx1"/>
            </w14:solidFill>
          </w14:textFill>
        </w:rPr>
        <w:t>3 ．备查要求</w:t>
      </w:r>
      <w:bookmarkEnd w:id="213"/>
      <w:bookmarkEnd w:id="214"/>
    </w:p>
    <w:p w14:paraId="0334C0EA">
      <w:pPr>
        <w:keepNext w:val="0"/>
        <w:keepLines w:val="0"/>
        <w:pageBreakBefore w:val="0"/>
        <w:widowControl w:val="0"/>
        <w:kinsoku w:val="0"/>
        <w:wordWrap w:val="0"/>
        <w:overflowPunct/>
        <w:topLinePunct w:val="0"/>
        <w:autoSpaceDE w:val="0"/>
        <w:autoSpaceDN w:val="0"/>
        <w:bidi w:val="0"/>
        <w:adjustRightInd w:val="0"/>
        <w:snapToGrid w:val="0"/>
        <w:spacing w:before="155" w:line="324" w:lineRule="auto"/>
        <w:ind w:right="81" w:firstLine="561"/>
        <w:jc w:val="both"/>
        <w:textAlignment w:val="baseline"/>
        <w:rPr>
          <w:rFonts w:hint="eastAsia" w:ascii="宋体" w:hAnsi="宋体" w:eastAsia="宋体" w:cs="宋体"/>
          <w:color w:val="000000" w:themeColor="text1"/>
          <w:spacing w:val="0"/>
          <w:highlight w:val="none"/>
          <w14:textFill>
            <w14:solidFill>
              <w14:schemeClr w14:val="tx1"/>
            </w14:solidFill>
          </w14:textFill>
        </w:rPr>
        <w:sectPr>
          <w:footerReference r:id="rId1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color w:val="000000" w:themeColor="text1"/>
          <w:spacing w:val="0"/>
          <w:sz w:val="24"/>
          <w:szCs w:val="24"/>
          <w:highlight w:val="none"/>
          <w14:textFill>
            <w14:solidFill>
              <w14:schemeClr w14:val="tx1"/>
            </w14:solidFill>
          </w14:textFill>
        </w:rPr>
        <w:t>承包人必须在施工现场准备至少一套上述规范，发包人和监理单位可随时检查承 包人的上述规范，并监督承包人按规范要求执行。</w:t>
      </w:r>
    </w:p>
    <w:p w14:paraId="4E917614">
      <w:pPr>
        <w:keepNext w:val="0"/>
        <w:keepLines w:val="0"/>
        <w:pageBreakBefore w:val="0"/>
        <w:wordWrap w:val="0"/>
        <w:overflowPunct/>
        <w:topLinePunct w:val="0"/>
        <w:bidi w:val="0"/>
        <w:spacing w:before="78" w:line="219" w:lineRule="auto"/>
        <w:jc w:val="center"/>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215" w:name="bookmark100"/>
      <w:bookmarkEnd w:id="215"/>
      <w:bookmarkStart w:id="216" w:name="bookmark146"/>
      <w:bookmarkEnd w:id="216"/>
      <w:bookmarkStart w:id="217" w:name="_Toc23715"/>
      <w:r>
        <w:rPr>
          <w:rFonts w:hint="eastAsia" w:ascii="宋体" w:hAnsi="宋体" w:eastAsia="宋体" w:cs="宋体"/>
          <w:b/>
          <w:bCs/>
          <w:color w:val="000000" w:themeColor="text1"/>
          <w:spacing w:val="0"/>
          <w:sz w:val="24"/>
          <w:szCs w:val="24"/>
          <w:highlight w:val="none"/>
          <w14:textFill>
            <w14:solidFill>
              <w14:schemeClr w14:val="tx1"/>
            </w14:solidFill>
          </w14:textFill>
        </w:rPr>
        <w:t>第五章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图纸和招标工程量清单</w:t>
      </w:r>
      <w:bookmarkEnd w:id="217"/>
    </w:p>
    <w:p w14:paraId="5FC74284">
      <w:pPr>
        <w:pStyle w:val="5"/>
        <w:keepNext w:val="0"/>
        <w:keepLines w:val="0"/>
        <w:pageBreakBefore w:val="0"/>
        <w:wordWrap w:val="0"/>
        <w:overflowPunct/>
        <w:topLinePunct w:val="0"/>
        <w:bidi w:val="0"/>
        <w:spacing w:line="283" w:lineRule="auto"/>
        <w:rPr>
          <w:rFonts w:hint="eastAsia" w:ascii="宋体" w:hAnsi="宋体" w:eastAsia="宋体" w:cs="宋体"/>
          <w:color w:val="000000" w:themeColor="text1"/>
          <w:spacing w:val="0"/>
          <w:highlight w:val="none"/>
          <w14:textFill>
            <w14:solidFill>
              <w14:schemeClr w14:val="tx1"/>
            </w14:solidFill>
          </w14:textFill>
        </w:rPr>
      </w:pPr>
    </w:p>
    <w:p w14:paraId="4531523B">
      <w:pPr>
        <w:pStyle w:val="5"/>
        <w:keepNext w:val="0"/>
        <w:keepLines w:val="0"/>
        <w:pageBreakBefore w:val="0"/>
        <w:wordWrap w:val="0"/>
        <w:overflowPunct/>
        <w:topLinePunct w:val="0"/>
        <w:bidi w:val="0"/>
        <w:spacing w:line="284" w:lineRule="auto"/>
        <w:rPr>
          <w:rFonts w:hint="eastAsia" w:ascii="宋体" w:hAnsi="宋体" w:eastAsia="宋体" w:cs="宋体"/>
          <w:color w:val="000000" w:themeColor="text1"/>
          <w:spacing w:val="0"/>
          <w:highlight w:val="none"/>
          <w14:textFill>
            <w14:solidFill>
              <w14:schemeClr w14:val="tx1"/>
            </w14:solidFill>
          </w14:textFill>
        </w:rPr>
      </w:pPr>
    </w:p>
    <w:p w14:paraId="57E54AE6">
      <w:pPr>
        <w:keepNext w:val="0"/>
        <w:keepLines w:val="0"/>
        <w:pageBreakBefore w:val="0"/>
        <w:wordWrap w:val="0"/>
        <w:overflowPunct/>
        <w:topLinePunct w:val="0"/>
        <w:bidi w:val="0"/>
        <w:spacing w:before="78" w:line="219" w:lineRule="auto"/>
        <w:ind w:left="106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□有，另附复印件         </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有，自行网上下载(浏览)           □无</w:t>
      </w:r>
    </w:p>
    <w:p w14:paraId="78499731">
      <w:pPr>
        <w:pStyle w:val="5"/>
        <w:keepNext w:val="0"/>
        <w:keepLines w:val="0"/>
        <w:pageBreakBefore w:val="0"/>
        <w:wordWrap w:val="0"/>
        <w:overflowPunct/>
        <w:topLinePunct w:val="0"/>
        <w:bidi w:val="0"/>
        <w:spacing w:line="265" w:lineRule="auto"/>
        <w:rPr>
          <w:rFonts w:hint="eastAsia" w:ascii="宋体" w:hAnsi="宋体" w:eastAsia="宋体" w:cs="宋体"/>
          <w:color w:val="000000" w:themeColor="text1"/>
          <w:spacing w:val="0"/>
          <w:highlight w:val="none"/>
          <w14:textFill>
            <w14:solidFill>
              <w14:schemeClr w14:val="tx1"/>
            </w14:solidFill>
          </w14:textFill>
        </w:rPr>
      </w:pPr>
    </w:p>
    <w:p w14:paraId="660835A9">
      <w:pPr>
        <w:keepNext w:val="0"/>
        <w:keepLines w:val="0"/>
        <w:pageBreakBefore w:val="0"/>
        <w:wordWrap w:val="0"/>
        <w:overflowPunct/>
        <w:topLinePunct w:val="0"/>
        <w:bidi w:val="0"/>
        <w:spacing w:before="151" w:line="222" w:lineRule="auto"/>
        <w:ind w:left="71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18" w:name="_Toc24446"/>
      <w:bookmarkStart w:id="219" w:name="_Toc12580"/>
      <w:r>
        <w:rPr>
          <w:rFonts w:hint="eastAsia" w:ascii="宋体" w:hAnsi="宋体" w:eastAsia="宋体" w:cs="宋体"/>
          <w:b/>
          <w:bCs/>
          <w:color w:val="000000" w:themeColor="text1"/>
          <w:spacing w:val="0"/>
          <w:sz w:val="24"/>
          <w:szCs w:val="24"/>
          <w:highlight w:val="none"/>
          <w14:textFill>
            <w14:solidFill>
              <w14:schemeClr w14:val="tx1"/>
            </w14:solidFill>
          </w14:textFill>
        </w:rPr>
        <w:t>1 ．图纸</w:t>
      </w:r>
      <w:bookmarkEnd w:id="218"/>
      <w:bookmarkEnd w:id="219"/>
    </w:p>
    <w:p w14:paraId="00652F97">
      <w:pPr>
        <w:keepNext w:val="0"/>
        <w:keepLines w:val="0"/>
        <w:pageBreakBefore w:val="0"/>
        <w:wordWrap w:val="0"/>
        <w:overflowPunct/>
        <w:topLinePunct w:val="0"/>
        <w:bidi w:val="0"/>
        <w:spacing w:before="150" w:line="330" w:lineRule="auto"/>
        <w:ind w:left="230"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本招标文件随文另附施工图（电子文件）一套。</w:t>
      </w:r>
    </w:p>
    <w:p w14:paraId="48EB0DBD">
      <w:pPr>
        <w:pStyle w:val="5"/>
        <w:keepNext w:val="0"/>
        <w:keepLines w:val="0"/>
        <w:pageBreakBefore w:val="0"/>
        <w:wordWrap w:val="0"/>
        <w:overflowPunct/>
        <w:topLinePunct w:val="0"/>
        <w:bidi w:val="0"/>
        <w:spacing w:line="253" w:lineRule="auto"/>
        <w:rPr>
          <w:rFonts w:hint="eastAsia" w:ascii="宋体" w:hAnsi="宋体" w:eastAsia="宋体" w:cs="宋体"/>
          <w:color w:val="000000" w:themeColor="text1"/>
          <w:spacing w:val="0"/>
          <w:highlight w:val="none"/>
          <w14:textFill>
            <w14:solidFill>
              <w14:schemeClr w14:val="tx1"/>
            </w14:solidFill>
          </w14:textFill>
        </w:rPr>
      </w:pPr>
    </w:p>
    <w:p w14:paraId="7191C978">
      <w:pPr>
        <w:keepNext w:val="0"/>
        <w:keepLines w:val="0"/>
        <w:pageBreakBefore w:val="0"/>
        <w:wordWrap w:val="0"/>
        <w:overflowPunct/>
        <w:topLinePunct w:val="0"/>
        <w:bidi w:val="0"/>
        <w:spacing w:before="79" w:line="221" w:lineRule="auto"/>
        <w:ind w:left="70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20" w:name="_Toc9064"/>
      <w:bookmarkStart w:id="221" w:name="_Toc5429"/>
      <w:r>
        <w:rPr>
          <w:rFonts w:hint="eastAsia" w:ascii="宋体" w:hAnsi="宋体" w:eastAsia="宋体" w:cs="宋体"/>
          <w:b/>
          <w:bCs/>
          <w:color w:val="000000" w:themeColor="text1"/>
          <w:spacing w:val="0"/>
          <w:sz w:val="24"/>
          <w:szCs w:val="24"/>
          <w:highlight w:val="none"/>
          <w14:textFill>
            <w14:solidFill>
              <w14:schemeClr w14:val="tx1"/>
            </w14:solidFill>
          </w14:textFill>
        </w:rPr>
        <w:t>2 ．招标工程量清单</w:t>
      </w:r>
      <w:bookmarkEnd w:id="220"/>
      <w:bookmarkEnd w:id="221"/>
    </w:p>
    <w:p w14:paraId="6A47FAFD">
      <w:pPr>
        <w:keepNext w:val="0"/>
        <w:keepLines w:val="0"/>
        <w:pageBreakBefore w:val="0"/>
        <w:wordWrap w:val="0"/>
        <w:overflowPunct/>
        <w:topLinePunct w:val="0"/>
        <w:bidi w:val="0"/>
        <w:spacing w:before="117" w:line="312" w:lineRule="auto"/>
        <w:ind w:left="231"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2.1  </w:t>
      </w:r>
      <w:r>
        <w:rPr>
          <w:rFonts w:hint="eastAsia" w:ascii="宋体" w:hAnsi="宋体" w:eastAsia="宋体" w:cs="宋体"/>
          <w:color w:val="000000" w:themeColor="text1"/>
          <w:spacing w:val="0"/>
          <w:sz w:val="24"/>
          <w:szCs w:val="24"/>
          <w:highlight w:val="none"/>
          <w14:textFill>
            <w14:solidFill>
              <w14:schemeClr w14:val="tx1"/>
            </w14:solidFill>
          </w14:textFill>
        </w:rPr>
        <w:t>本招标文件随文另附</w:t>
      </w:r>
      <w:bookmarkStart w:id="222" w:name="OLE_LINK33"/>
      <w:r>
        <w:rPr>
          <w:rFonts w:hint="eastAsia" w:ascii="宋体" w:hAnsi="宋体" w:eastAsia="宋体" w:cs="宋体"/>
          <w:color w:val="000000" w:themeColor="text1"/>
          <w:spacing w:val="0"/>
          <w:sz w:val="24"/>
          <w:szCs w:val="24"/>
          <w:highlight w:val="none"/>
          <w:u w:val="single"/>
          <w14:textFill>
            <w14:solidFill>
              <w14:schemeClr w14:val="tx1"/>
            </w14:solidFill>
          </w14:textFill>
        </w:rPr>
        <w:t>招标工程量清单  EXCEL 版</w:t>
      </w:r>
      <w:bookmarkEnd w:id="222"/>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电子文件一套。</w:t>
      </w:r>
    </w:p>
    <w:p w14:paraId="076FE901">
      <w:pPr>
        <w:keepNext w:val="0"/>
        <w:keepLines w:val="0"/>
        <w:pageBreakBefore w:val="0"/>
        <w:wordWrap w:val="0"/>
        <w:overflowPunct/>
        <w:topLinePunct w:val="0"/>
        <w:bidi w:val="0"/>
        <w:spacing w:before="78" w:line="219" w:lineRule="auto"/>
        <w:ind w:left="478" w:firstLine="241" w:firstLineChars="100"/>
        <w:rPr>
          <w:rFonts w:hint="eastAsia" w:ascii="宋体" w:hAnsi="宋体" w:eastAsia="宋体" w:cs="宋体"/>
          <w:color w:val="000000" w:themeColor="text1"/>
          <w:spacing w:val="0"/>
          <w:sz w:val="24"/>
          <w:szCs w:val="24"/>
          <w:highlight w:val="none"/>
          <w14:textFill>
            <w14:solidFill>
              <w14:schemeClr w14:val="tx1"/>
            </w14:solidFill>
          </w14:textFill>
        </w:rPr>
      </w:pPr>
      <w:bookmarkStart w:id="223" w:name="bookmark147"/>
      <w:bookmarkEnd w:id="223"/>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2.2  </w:t>
      </w:r>
      <w:r>
        <w:rPr>
          <w:rFonts w:hint="eastAsia" w:ascii="宋体" w:hAnsi="宋体" w:eastAsia="宋体" w:cs="宋体"/>
          <w:color w:val="000000" w:themeColor="text1"/>
          <w:spacing w:val="0"/>
          <w:sz w:val="24"/>
          <w:szCs w:val="24"/>
          <w:highlight w:val="none"/>
          <w14:textFill>
            <w14:solidFill>
              <w14:schemeClr w14:val="tx1"/>
            </w14:solidFill>
          </w14:textFill>
        </w:rPr>
        <w:t>本工程按照以下依据编制</w:t>
      </w:r>
      <w:r>
        <w:rPr>
          <w:rFonts w:hint="eastAsia" w:ascii="宋体" w:hAnsi="宋体" w:eastAsia="宋体" w:cs="宋体"/>
          <w:color w:val="000000" w:themeColor="text1"/>
          <w:spacing w:val="0"/>
          <w:sz w:val="24"/>
          <w:szCs w:val="24"/>
          <w:highlight w:val="none"/>
          <w:u w:val="single"/>
          <w14:textFill>
            <w14:solidFill>
              <w14:schemeClr w14:val="tx1"/>
            </w14:solidFill>
          </w14:textFill>
        </w:rPr>
        <w:t>招标工程量清单</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678730BC">
      <w:pPr>
        <w:keepNext w:val="0"/>
        <w:keepLines w:val="0"/>
        <w:pageBreakBefore w:val="0"/>
        <w:wordWrap w:val="0"/>
        <w:overflowPunct/>
        <w:topLinePunct w:val="0"/>
        <w:bidi w:val="0"/>
        <w:spacing w:before="123" w:line="219"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53E00F35">
      <w:pPr>
        <w:keepNext w:val="0"/>
        <w:keepLines w:val="0"/>
        <w:pageBreakBefore w:val="0"/>
        <w:wordWrap w:val="0"/>
        <w:overflowPunct/>
        <w:topLinePunct w:val="0"/>
        <w:bidi w:val="0"/>
        <w:spacing w:before="115" w:line="299" w:lineRule="auto"/>
        <w:ind w:firstLine="49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须知 ”规定提交的要求招标人澄清的其他问题一起提交给招标人，招标人将根据实际情况决定是否颁发</w:t>
      </w:r>
      <w:r>
        <w:rPr>
          <w:rFonts w:hint="eastAsia" w:ascii="宋体" w:hAnsi="宋体" w:eastAsia="宋体" w:cs="宋体"/>
          <w:color w:val="000000" w:themeColor="text1"/>
          <w:spacing w:val="0"/>
          <w:sz w:val="24"/>
          <w:szCs w:val="24"/>
          <w:highlight w:val="none"/>
          <w:u w:val="single"/>
          <w14:textFill>
            <w14:solidFill>
              <w14:schemeClr w14:val="tx1"/>
            </w14:solidFill>
          </w14:textFill>
        </w:rPr>
        <w:t>工程量清单</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的补充和(或)修改文件。</w:t>
      </w:r>
    </w:p>
    <w:p w14:paraId="3E496F3B">
      <w:pPr>
        <w:keepNext w:val="0"/>
        <w:keepLines w:val="0"/>
        <w:pageBreakBefore w:val="0"/>
        <w:wordWrap w:val="0"/>
        <w:overflowPunct/>
        <w:topLinePunct w:val="0"/>
        <w:bidi w:val="0"/>
        <w:spacing w:before="79" w:line="263" w:lineRule="auto"/>
        <w:ind w:left="2" w:right="2" w:firstLine="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（3）本招标工程量清单措施项目中的</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r>
        <w:rPr>
          <w:rFonts w:hint="eastAsia" w:ascii="宋体" w:hAnsi="宋体" w:eastAsia="宋体" w:cs="宋体"/>
          <w:color w:val="000000" w:themeColor="text1"/>
          <w:spacing w:val="0"/>
          <w:sz w:val="24"/>
          <w:szCs w:val="24"/>
          <w:highlight w:val="none"/>
          <w14:textFill>
            <w14:solidFill>
              <w14:schemeClr w14:val="tx1"/>
            </w14:solidFill>
          </w14:textFill>
        </w:rPr>
        <w:t>不得作为竞争性费用，投标报价必须按本招标工程量清单规定的金额填报。</w:t>
      </w:r>
    </w:p>
    <w:p w14:paraId="24C45CC5">
      <w:pPr>
        <w:keepNext w:val="0"/>
        <w:keepLines w:val="0"/>
        <w:pageBreakBefore w:val="0"/>
        <w:wordWrap w:val="0"/>
        <w:overflowPunct/>
        <w:topLinePunct w:val="0"/>
        <w:bidi w:val="0"/>
        <w:spacing w:before="118" w:line="265" w:lineRule="auto"/>
        <w:ind w:left="7" w:right="4" w:firstLine="48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（4）投标报价使用的表格格式须按照《</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5D89ED6B">
      <w:pPr>
        <w:keepNext w:val="0"/>
        <w:keepLines w:val="0"/>
        <w:pageBreakBefore w:val="0"/>
        <w:wordWrap w:val="0"/>
        <w:overflowPunct/>
        <w:topLinePunct w:val="0"/>
        <w:bidi w:val="0"/>
        <w:spacing w:before="107" w:line="286" w:lineRule="auto"/>
        <w:ind w:right="4"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4B3D583F">
      <w:pPr>
        <w:keepNext w:val="0"/>
        <w:keepLines w:val="0"/>
        <w:pageBreakBefore w:val="0"/>
        <w:wordWrap w:val="0"/>
        <w:overflowPunct/>
        <w:topLinePunct w:val="0"/>
        <w:bidi w:val="0"/>
        <w:spacing w:before="146" w:line="221"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（6）施工图及相关资料；</w:t>
      </w:r>
    </w:p>
    <w:p w14:paraId="2C855D25">
      <w:pPr>
        <w:keepNext w:val="0"/>
        <w:keepLines w:val="0"/>
        <w:pageBreakBefore w:val="0"/>
        <w:wordWrap w:val="0"/>
        <w:overflowPunct/>
        <w:topLinePunct w:val="0"/>
        <w:bidi w:val="0"/>
        <w:spacing w:before="153" w:line="220"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（7）招标文件；</w:t>
      </w:r>
    </w:p>
    <w:p w14:paraId="7D4A78D6">
      <w:pPr>
        <w:keepNext w:val="0"/>
        <w:keepLines w:val="0"/>
        <w:pageBreakBefore w:val="0"/>
        <w:wordWrap w:val="0"/>
        <w:overflowPunct/>
        <w:topLinePunct w:val="0"/>
        <w:bidi w:val="0"/>
        <w:spacing w:before="155" w:line="220"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（8）施工现场情况、地勘水文资料、工程特点及常规施工方案；</w:t>
      </w:r>
    </w:p>
    <w:p w14:paraId="617E9DDC">
      <w:pPr>
        <w:keepNext w:val="0"/>
        <w:keepLines w:val="0"/>
        <w:pageBreakBefore w:val="0"/>
        <w:wordWrap w:val="0"/>
        <w:overflowPunct/>
        <w:topLinePunct w:val="0"/>
        <w:bidi w:val="0"/>
        <w:spacing w:before="153" w:line="219"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（9）与建设工程有关的标准、规范、技术资料、材料设备信息价或市场价格等。</w:t>
      </w:r>
    </w:p>
    <w:p w14:paraId="12618F59">
      <w:pPr>
        <w:pStyle w:val="24"/>
        <w:rPr>
          <w:rFonts w:hint="eastAsia" w:ascii="宋体" w:hAnsi="宋体" w:eastAsia="宋体" w:cs="宋体"/>
          <w:color w:val="000000" w:themeColor="text1"/>
          <w:highlight w:val="none"/>
          <w14:textFill>
            <w14:solidFill>
              <w14:schemeClr w14:val="tx1"/>
            </w14:solidFill>
          </w14:textFill>
        </w:rPr>
      </w:pPr>
    </w:p>
    <w:p w14:paraId="499D0013">
      <w:pPr>
        <w:keepNext w:val="0"/>
        <w:keepLines w:val="0"/>
        <w:pageBreakBefore w:val="0"/>
        <w:wordWrap w:val="0"/>
        <w:overflowPunct/>
        <w:topLinePunct w:val="0"/>
        <w:bidi w:val="0"/>
        <w:spacing w:line="219"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6C94DD83">
      <w:pPr>
        <w:pStyle w:val="5"/>
        <w:keepNext w:val="0"/>
        <w:keepLines w:val="0"/>
        <w:pageBreakBefore w:val="0"/>
        <w:wordWrap w:val="0"/>
        <w:overflowPunct/>
        <w:topLinePunct w:val="0"/>
        <w:bidi w:val="0"/>
        <w:spacing w:line="304" w:lineRule="auto"/>
        <w:rPr>
          <w:rFonts w:hint="eastAsia" w:ascii="宋体" w:hAnsi="宋体" w:eastAsia="宋体" w:cs="宋体"/>
          <w:color w:val="000000" w:themeColor="text1"/>
          <w:spacing w:val="0"/>
          <w:highlight w:val="none"/>
          <w14:textFill>
            <w14:solidFill>
              <w14:schemeClr w14:val="tx1"/>
            </w14:solidFill>
          </w14:textFill>
        </w:rPr>
      </w:pPr>
    </w:p>
    <w:p w14:paraId="0C8B4CB9">
      <w:pPr>
        <w:keepNext w:val="0"/>
        <w:keepLines w:val="0"/>
        <w:pageBreakBefore w:val="0"/>
        <w:wordWrap w:val="0"/>
        <w:overflowPunct/>
        <w:topLinePunct w:val="0"/>
        <w:bidi w:val="0"/>
        <w:spacing w:before="78" w:line="219" w:lineRule="auto"/>
        <w:ind w:left="3357"/>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224" w:name="_Toc13179"/>
      <w:r>
        <w:rPr>
          <w:rFonts w:hint="eastAsia" w:ascii="宋体" w:hAnsi="宋体" w:eastAsia="宋体" w:cs="宋体"/>
          <w:b/>
          <w:bCs/>
          <w:color w:val="000000" w:themeColor="text1"/>
          <w:spacing w:val="0"/>
          <w:sz w:val="24"/>
          <w:szCs w:val="24"/>
          <w:highlight w:val="none"/>
          <w14:textFill>
            <w14:solidFill>
              <w14:schemeClr w14:val="tx1"/>
            </w14:solidFill>
          </w14:textFill>
        </w:rPr>
        <w:t>第六章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投标文件格式</w:t>
      </w:r>
      <w:bookmarkEnd w:id="224"/>
    </w:p>
    <w:p w14:paraId="5B1AE375">
      <w:pPr>
        <w:pStyle w:val="5"/>
        <w:keepNext w:val="0"/>
        <w:keepLines w:val="0"/>
        <w:pageBreakBefore w:val="0"/>
        <w:wordWrap w:val="0"/>
        <w:overflowPunct/>
        <w:topLinePunct w:val="0"/>
        <w:bidi w:val="0"/>
        <w:spacing w:line="302" w:lineRule="auto"/>
        <w:jc w:val="right"/>
        <w:rPr>
          <w:rFonts w:hint="eastAsia" w:ascii="宋体" w:hAnsi="宋体" w:eastAsia="宋体" w:cs="宋体"/>
          <w:color w:val="000000" w:themeColor="text1"/>
          <w:spacing w:val="0"/>
          <w:highlight w:val="none"/>
          <w14:textFill>
            <w14:solidFill>
              <w14:schemeClr w14:val="tx1"/>
            </w14:solidFill>
          </w14:textFill>
        </w:rPr>
      </w:pPr>
    </w:p>
    <w:p w14:paraId="732FF561">
      <w:pPr>
        <w:keepNext w:val="0"/>
        <w:keepLines w:val="0"/>
        <w:pageBreakBefore w:val="0"/>
        <w:wordWrap w:val="0"/>
        <w:overflowPunct/>
        <w:topLinePunct w:val="0"/>
        <w:bidi w:val="0"/>
        <w:spacing w:before="78" w:line="220" w:lineRule="auto"/>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25" w:name="_Toc27563"/>
      <w:r>
        <w:rPr>
          <w:rFonts w:hint="eastAsia" w:ascii="宋体" w:hAnsi="宋体" w:eastAsia="宋体" w:cs="宋体"/>
          <w:b/>
          <w:bCs/>
          <w:color w:val="000000" w:themeColor="text1"/>
          <w:spacing w:val="0"/>
          <w:sz w:val="24"/>
          <w:szCs w:val="24"/>
          <w:highlight w:val="none"/>
          <w14:textFill>
            <w14:solidFill>
              <w14:schemeClr w14:val="tx1"/>
            </w14:solidFill>
          </w14:textFill>
        </w:rPr>
        <w:t>格式一</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封面</w:t>
      </w:r>
      <w:bookmarkEnd w:id="225"/>
    </w:p>
    <w:p w14:paraId="3D936F71">
      <w:pPr>
        <w:pStyle w:val="5"/>
        <w:keepNext w:val="0"/>
        <w:keepLines w:val="0"/>
        <w:pageBreakBefore w:val="0"/>
        <w:wordWrap w:val="0"/>
        <w:overflowPunct/>
        <w:topLinePunct w:val="0"/>
        <w:bidi w:val="0"/>
        <w:spacing w:line="258" w:lineRule="auto"/>
        <w:rPr>
          <w:rFonts w:hint="eastAsia" w:ascii="宋体" w:hAnsi="宋体" w:eastAsia="宋体" w:cs="宋体"/>
          <w:color w:val="000000" w:themeColor="text1"/>
          <w:spacing w:val="0"/>
          <w:highlight w:val="none"/>
          <w14:textFill>
            <w14:solidFill>
              <w14:schemeClr w14:val="tx1"/>
            </w14:solidFill>
          </w14:textFill>
        </w:rPr>
      </w:pPr>
    </w:p>
    <w:p w14:paraId="068AB70E">
      <w:pPr>
        <w:pStyle w:val="5"/>
        <w:keepNext w:val="0"/>
        <w:keepLines w:val="0"/>
        <w:pageBreakBefore w:val="0"/>
        <w:wordWrap w:val="0"/>
        <w:overflowPunct/>
        <w:topLinePunct w:val="0"/>
        <w:bidi w:val="0"/>
        <w:spacing w:line="259" w:lineRule="auto"/>
        <w:rPr>
          <w:rFonts w:hint="eastAsia" w:ascii="宋体" w:hAnsi="宋体" w:eastAsia="宋体" w:cs="宋体"/>
          <w:color w:val="000000" w:themeColor="text1"/>
          <w:spacing w:val="0"/>
          <w:highlight w:val="none"/>
          <w14:textFill>
            <w14:solidFill>
              <w14:schemeClr w14:val="tx1"/>
            </w14:solidFill>
          </w14:textFill>
        </w:rPr>
      </w:pPr>
    </w:p>
    <w:p w14:paraId="0DE0F809">
      <w:pPr>
        <w:pStyle w:val="5"/>
        <w:keepNext w:val="0"/>
        <w:keepLines w:val="0"/>
        <w:pageBreakBefore w:val="0"/>
        <w:wordWrap w:val="0"/>
        <w:overflowPunct/>
        <w:topLinePunct w:val="0"/>
        <w:bidi w:val="0"/>
        <w:spacing w:line="259" w:lineRule="auto"/>
        <w:rPr>
          <w:rFonts w:hint="eastAsia" w:ascii="宋体" w:hAnsi="宋体" w:eastAsia="宋体" w:cs="宋体"/>
          <w:color w:val="000000" w:themeColor="text1"/>
          <w:spacing w:val="0"/>
          <w:highlight w:val="none"/>
          <w14:textFill>
            <w14:solidFill>
              <w14:schemeClr w14:val="tx1"/>
            </w14:solidFill>
          </w14:textFill>
        </w:rPr>
      </w:pPr>
    </w:p>
    <w:p w14:paraId="5ED9FBF6">
      <w:pPr>
        <w:keepNext w:val="0"/>
        <w:keepLines w:val="0"/>
        <w:pageBreakBefore w:val="0"/>
        <w:wordWrap w:val="0"/>
        <w:overflowPunct/>
        <w:topLinePunct w:val="0"/>
        <w:bidi w:val="0"/>
        <w:spacing w:before="153" w:line="225" w:lineRule="auto"/>
        <w:ind w:left="-1" w:leftChars="0" w:firstLine="0" w:firstLineChars="0"/>
        <w:jc w:val="center"/>
        <w:rPr>
          <w:rFonts w:hint="eastAsia" w:ascii="宋体" w:hAnsi="宋体" w:eastAsia="宋体" w:cs="宋体"/>
          <w:color w:val="000000" w:themeColor="text1"/>
          <w:spacing w:val="0"/>
          <w:sz w:val="47"/>
          <w:szCs w:val="47"/>
          <w:highlight w:val="none"/>
          <w14:textFill>
            <w14:solidFill>
              <w14:schemeClr w14:val="tx1"/>
            </w14:solidFill>
          </w14:textFill>
        </w:rPr>
      </w:pPr>
      <w:r>
        <w:rPr>
          <w:rFonts w:hint="eastAsia" w:ascii="宋体" w:hAnsi="宋体" w:eastAsia="宋体" w:cs="宋体"/>
          <w:b/>
          <w:bCs/>
          <w:color w:val="000000" w:themeColor="text1"/>
          <w:spacing w:val="0"/>
          <w:sz w:val="47"/>
          <w:szCs w:val="47"/>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47"/>
          <w:szCs w:val="47"/>
          <w:highlight w:val="none"/>
          <w:u w:val="single"/>
          <w14:textFill>
            <w14:solidFill>
              <w14:schemeClr w14:val="tx1"/>
            </w14:solidFill>
          </w14:textFill>
        </w:rPr>
        <w:t>（项目名称）</w:t>
      </w:r>
      <w:r>
        <w:rPr>
          <w:rFonts w:hint="eastAsia" w:ascii="宋体" w:hAnsi="宋体" w:eastAsia="宋体" w:cs="宋体"/>
          <w:b/>
          <w:bCs/>
          <w:color w:val="000000" w:themeColor="text1"/>
          <w:spacing w:val="0"/>
          <w:sz w:val="47"/>
          <w:szCs w:val="47"/>
          <w:highlight w:val="none"/>
          <w14:textFill>
            <w14:solidFill>
              <w14:schemeClr w14:val="tx1"/>
            </w14:solidFill>
          </w14:textFill>
        </w:rPr>
        <w:t>招标</w:t>
      </w:r>
    </w:p>
    <w:p w14:paraId="6DEABEF4">
      <w:pPr>
        <w:pStyle w:val="5"/>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5EF5EDE9">
      <w:pPr>
        <w:pStyle w:val="5"/>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34AB878A">
      <w:pPr>
        <w:pStyle w:val="5"/>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15E641E6">
      <w:pPr>
        <w:pStyle w:val="5"/>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3098056B">
      <w:pPr>
        <w:pStyle w:val="5"/>
        <w:keepNext w:val="0"/>
        <w:keepLines w:val="0"/>
        <w:pageBreakBefore w:val="0"/>
        <w:wordWrap w:val="0"/>
        <w:overflowPunct/>
        <w:topLinePunct w:val="0"/>
        <w:bidi w:val="0"/>
        <w:spacing w:line="248" w:lineRule="auto"/>
        <w:rPr>
          <w:rFonts w:hint="eastAsia" w:ascii="宋体" w:hAnsi="宋体" w:eastAsia="宋体" w:cs="宋体"/>
          <w:color w:val="000000" w:themeColor="text1"/>
          <w:spacing w:val="0"/>
          <w:highlight w:val="none"/>
          <w14:textFill>
            <w14:solidFill>
              <w14:schemeClr w14:val="tx1"/>
            </w14:solidFill>
          </w14:textFill>
        </w:rPr>
      </w:pPr>
    </w:p>
    <w:p w14:paraId="4ECB4A2E">
      <w:pPr>
        <w:keepNext w:val="0"/>
        <w:keepLines w:val="0"/>
        <w:pageBreakBefore w:val="0"/>
        <w:wordWrap w:val="0"/>
        <w:overflowPunct/>
        <w:topLinePunct w:val="0"/>
        <w:bidi w:val="0"/>
        <w:spacing w:before="231" w:line="223" w:lineRule="auto"/>
        <w:jc w:val="center"/>
        <w:rPr>
          <w:rFonts w:hint="eastAsia" w:ascii="宋体" w:hAnsi="宋体" w:eastAsia="宋体" w:cs="宋体"/>
          <w:color w:val="000000" w:themeColor="text1"/>
          <w:spacing w:val="0"/>
          <w:sz w:val="71"/>
          <w:szCs w:val="71"/>
          <w:highlight w:val="none"/>
          <w14:textFill>
            <w14:solidFill>
              <w14:schemeClr w14:val="tx1"/>
            </w14:solidFill>
          </w14:textFill>
        </w:rPr>
      </w:pPr>
      <w:r>
        <w:rPr>
          <w:rFonts w:hint="eastAsia" w:ascii="宋体" w:hAnsi="宋体" w:eastAsia="宋体" w:cs="宋体"/>
          <w:b/>
          <w:bCs/>
          <w:color w:val="000000" w:themeColor="text1"/>
          <w:spacing w:val="0"/>
          <w:sz w:val="71"/>
          <w:szCs w:val="71"/>
          <w:highlight w:val="none"/>
          <w14:textFill>
            <w14:solidFill>
              <w14:schemeClr w14:val="tx1"/>
            </w14:solidFill>
          </w14:textFill>
        </w:rPr>
        <w:t>投</w:t>
      </w:r>
      <w:r>
        <w:rPr>
          <w:rFonts w:hint="eastAsia" w:ascii="宋体" w:hAnsi="宋体" w:eastAsia="宋体" w:cs="宋体"/>
          <w:color w:val="000000" w:themeColor="text1"/>
          <w:spacing w:val="0"/>
          <w:sz w:val="71"/>
          <w:szCs w:val="71"/>
          <w:highlight w:val="none"/>
          <w14:textFill>
            <w14:solidFill>
              <w14:schemeClr w14:val="tx1"/>
            </w14:solidFill>
          </w14:textFill>
        </w:rPr>
        <w:t xml:space="preserve">  </w:t>
      </w:r>
      <w:r>
        <w:rPr>
          <w:rFonts w:hint="eastAsia" w:ascii="宋体" w:hAnsi="宋体" w:eastAsia="宋体" w:cs="宋体"/>
          <w:b/>
          <w:bCs/>
          <w:color w:val="000000" w:themeColor="text1"/>
          <w:spacing w:val="0"/>
          <w:sz w:val="71"/>
          <w:szCs w:val="71"/>
          <w:highlight w:val="none"/>
          <w14:textFill>
            <w14:solidFill>
              <w14:schemeClr w14:val="tx1"/>
            </w14:solidFill>
          </w14:textFill>
        </w:rPr>
        <w:t>标</w:t>
      </w:r>
      <w:r>
        <w:rPr>
          <w:rFonts w:hint="eastAsia" w:ascii="宋体" w:hAnsi="宋体" w:eastAsia="宋体" w:cs="宋体"/>
          <w:color w:val="000000" w:themeColor="text1"/>
          <w:spacing w:val="0"/>
          <w:sz w:val="71"/>
          <w:szCs w:val="71"/>
          <w:highlight w:val="none"/>
          <w14:textFill>
            <w14:solidFill>
              <w14:schemeClr w14:val="tx1"/>
            </w14:solidFill>
          </w14:textFill>
        </w:rPr>
        <w:t xml:space="preserve">  </w:t>
      </w:r>
      <w:r>
        <w:rPr>
          <w:rFonts w:hint="eastAsia" w:ascii="宋体" w:hAnsi="宋体" w:eastAsia="宋体" w:cs="宋体"/>
          <w:b/>
          <w:bCs/>
          <w:color w:val="000000" w:themeColor="text1"/>
          <w:spacing w:val="0"/>
          <w:sz w:val="71"/>
          <w:szCs w:val="71"/>
          <w:highlight w:val="none"/>
          <w14:textFill>
            <w14:solidFill>
              <w14:schemeClr w14:val="tx1"/>
            </w14:solidFill>
          </w14:textFill>
        </w:rPr>
        <w:t>文</w:t>
      </w:r>
      <w:r>
        <w:rPr>
          <w:rFonts w:hint="eastAsia" w:ascii="宋体" w:hAnsi="宋体" w:eastAsia="宋体" w:cs="宋体"/>
          <w:color w:val="000000" w:themeColor="text1"/>
          <w:spacing w:val="0"/>
          <w:sz w:val="71"/>
          <w:szCs w:val="71"/>
          <w:highlight w:val="none"/>
          <w14:textFill>
            <w14:solidFill>
              <w14:schemeClr w14:val="tx1"/>
            </w14:solidFill>
          </w14:textFill>
        </w:rPr>
        <w:t xml:space="preserve">  </w:t>
      </w:r>
      <w:r>
        <w:rPr>
          <w:rFonts w:hint="eastAsia" w:ascii="宋体" w:hAnsi="宋体" w:eastAsia="宋体" w:cs="宋体"/>
          <w:b/>
          <w:bCs/>
          <w:color w:val="000000" w:themeColor="text1"/>
          <w:spacing w:val="0"/>
          <w:sz w:val="71"/>
          <w:szCs w:val="71"/>
          <w:highlight w:val="none"/>
          <w14:textFill>
            <w14:solidFill>
              <w14:schemeClr w14:val="tx1"/>
            </w14:solidFill>
          </w14:textFill>
        </w:rPr>
        <w:t>件</w:t>
      </w:r>
    </w:p>
    <w:p w14:paraId="23F78714">
      <w:pPr>
        <w:pStyle w:val="5"/>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highlight w:val="none"/>
          <w14:textFill>
            <w14:solidFill>
              <w14:schemeClr w14:val="tx1"/>
            </w14:solidFill>
          </w14:textFill>
        </w:rPr>
      </w:pPr>
    </w:p>
    <w:p w14:paraId="0CD43441">
      <w:pPr>
        <w:pStyle w:val="5"/>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highlight w:val="none"/>
          <w14:textFill>
            <w14:solidFill>
              <w14:schemeClr w14:val="tx1"/>
            </w14:solidFill>
          </w14:textFill>
        </w:rPr>
      </w:pPr>
    </w:p>
    <w:p w14:paraId="48210BB7">
      <w:pPr>
        <w:keepNext w:val="0"/>
        <w:keepLines w:val="0"/>
        <w:pageBreakBefore w:val="0"/>
        <w:wordWrap w:val="0"/>
        <w:overflowPunct/>
        <w:topLinePunct w:val="0"/>
        <w:bidi w:val="0"/>
        <w:spacing w:before="152" w:line="223" w:lineRule="auto"/>
        <w:jc w:val="center"/>
        <w:rPr>
          <w:rFonts w:hint="eastAsia" w:ascii="宋体" w:hAnsi="宋体" w:eastAsia="宋体" w:cs="宋体"/>
          <w:b/>
          <w:bCs/>
          <w:color w:val="000000" w:themeColor="text1"/>
          <w:spacing w:val="0"/>
          <w:sz w:val="47"/>
          <w:szCs w:val="47"/>
          <w:highlight w:val="none"/>
          <w14:textFill>
            <w14:solidFill>
              <w14:schemeClr w14:val="tx1"/>
            </w14:solidFill>
          </w14:textFill>
        </w:rPr>
      </w:pPr>
      <w:bookmarkStart w:id="226" w:name="bookmark105"/>
      <w:bookmarkEnd w:id="226"/>
      <w:r>
        <w:rPr>
          <w:rFonts w:hint="eastAsia" w:ascii="宋体" w:hAnsi="宋体" w:eastAsia="宋体" w:cs="宋体"/>
          <w:b/>
          <w:bCs/>
          <w:color w:val="000000" w:themeColor="text1"/>
          <w:spacing w:val="0"/>
          <w:sz w:val="47"/>
          <w:szCs w:val="47"/>
          <w:highlight w:val="none"/>
          <w14:textFill>
            <w14:solidFill>
              <w14:schemeClr w14:val="tx1"/>
            </w14:solidFill>
          </w14:textFill>
        </w:rPr>
        <w:t>（商务标书／经济标书／施工组织设计</w:t>
      </w:r>
      <w:r>
        <w:rPr>
          <w:rFonts w:hint="eastAsia" w:ascii="宋体" w:hAnsi="宋体" w:eastAsia="宋体" w:cs="宋体"/>
          <w:b/>
          <w:bCs/>
          <w:color w:val="000000" w:themeColor="text1"/>
          <w:spacing w:val="0"/>
          <w:sz w:val="47"/>
          <w:szCs w:val="47"/>
          <w:highlight w:val="none"/>
          <w:lang w:eastAsia="zh-CN"/>
          <w14:textFill>
            <w14:solidFill>
              <w14:schemeClr w14:val="tx1"/>
            </w14:solidFill>
          </w14:textFill>
        </w:rPr>
        <w:t>／定标文件</w:t>
      </w:r>
      <w:r>
        <w:rPr>
          <w:rFonts w:hint="eastAsia" w:ascii="宋体" w:hAnsi="宋体" w:eastAsia="宋体" w:cs="宋体"/>
          <w:b/>
          <w:bCs/>
          <w:color w:val="000000" w:themeColor="text1"/>
          <w:spacing w:val="0"/>
          <w:sz w:val="47"/>
          <w:szCs w:val="47"/>
          <w:highlight w:val="none"/>
          <w14:textFill>
            <w14:solidFill>
              <w14:schemeClr w14:val="tx1"/>
            </w14:solidFill>
          </w14:textFill>
        </w:rPr>
        <w:t>）</w:t>
      </w:r>
    </w:p>
    <w:p w14:paraId="33EFFA4B">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71694CDA">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7C6BCB43">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10E86CD1">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7AB4BF47">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306BB099">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17C1C6BE">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313F4F70">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2D1F340C">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r>
        <w:rPr>
          <w:rFonts w:hint="eastAsia" w:ascii="宋体" w:hAnsi="宋体" w:eastAsia="宋体" w:cs="宋体"/>
          <w:bCs/>
          <w:snapToGrid w:val="0"/>
          <w:color w:val="000000" w:themeColor="text1"/>
          <w:spacing w:val="0"/>
          <w:sz w:val="32"/>
          <w:highlight w:val="none"/>
          <w14:textFill>
            <w14:solidFill>
              <w14:schemeClr w14:val="tx1"/>
            </w14:solidFill>
          </w14:textFill>
        </w:rPr>
        <w:t>投标人：</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（盖单位章）</w:t>
      </w:r>
    </w:p>
    <w:p w14:paraId="711C8DA7">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p>
    <w:p w14:paraId="3752A510">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p>
    <w:p w14:paraId="7191B422">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r>
        <w:rPr>
          <w:rFonts w:hint="eastAsia" w:ascii="宋体" w:hAnsi="宋体" w:eastAsia="宋体" w:cs="宋体"/>
          <w:bCs/>
          <w:snapToGrid w:val="0"/>
          <w:color w:val="000000" w:themeColor="text1"/>
          <w:spacing w:val="0"/>
          <w:sz w:val="32"/>
          <w:highlight w:val="none"/>
          <w14:textFill>
            <w14:solidFill>
              <w14:schemeClr w14:val="tx1"/>
            </w14:solidFill>
          </w14:textFill>
        </w:rPr>
        <w:t>法定代表人或其委托代理人：</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（签字或盖章）</w:t>
      </w:r>
    </w:p>
    <w:p w14:paraId="76469CE6">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p>
    <w:p w14:paraId="06FBE36F">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u w:val="single"/>
          <w14:textFill>
            <w14:solidFill>
              <w14:schemeClr w14:val="tx1"/>
            </w14:solidFill>
          </w14:textFill>
        </w:rPr>
      </w:pPr>
    </w:p>
    <w:p w14:paraId="6C1EC974">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
          <w:snapToGrid w:val="0"/>
          <w:color w:val="000000" w:themeColor="text1"/>
          <w:spacing w:val="0"/>
          <w:highlight w:val="none"/>
          <w14:textFill>
            <w14:solidFill>
              <w14:schemeClr w14:val="tx1"/>
            </w14:solidFill>
          </w14:textFill>
        </w:rPr>
      </w:pP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年</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月</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日</w:t>
      </w:r>
    </w:p>
    <w:p w14:paraId="22D60B74">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39C38B38">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27" w:name="_Toc29380"/>
      <w:r>
        <w:rPr>
          <w:rFonts w:hint="eastAsia" w:ascii="宋体" w:hAnsi="宋体" w:eastAsia="宋体" w:cs="宋体"/>
          <w:b/>
          <w:bCs/>
          <w:color w:val="000000" w:themeColor="text1"/>
          <w:spacing w:val="0"/>
          <w:sz w:val="24"/>
          <w:szCs w:val="24"/>
          <w:highlight w:val="none"/>
          <w14:textFill>
            <w14:solidFill>
              <w14:schemeClr w14:val="tx1"/>
            </w14:solidFill>
          </w14:textFill>
        </w:rPr>
        <w:t>格式二 投标函</w:t>
      </w:r>
      <w:bookmarkEnd w:id="227"/>
    </w:p>
    <w:p w14:paraId="392E4C63">
      <w:pPr>
        <w:pStyle w:val="5"/>
        <w:keepNext w:val="0"/>
        <w:keepLines w:val="0"/>
        <w:pageBreakBefore w:val="0"/>
        <w:wordWrap w:val="0"/>
        <w:overflowPunct/>
        <w:topLinePunct w:val="0"/>
        <w:bidi w:val="0"/>
        <w:spacing w:line="261" w:lineRule="auto"/>
        <w:rPr>
          <w:rFonts w:hint="eastAsia" w:ascii="宋体" w:hAnsi="宋体" w:eastAsia="宋体" w:cs="宋体"/>
          <w:color w:val="000000" w:themeColor="text1"/>
          <w:spacing w:val="0"/>
          <w:highlight w:val="none"/>
          <w14:textFill>
            <w14:solidFill>
              <w14:schemeClr w14:val="tx1"/>
            </w14:solidFill>
          </w14:textFill>
        </w:rPr>
      </w:pPr>
    </w:p>
    <w:p w14:paraId="2E98BF1A">
      <w:pPr>
        <w:keepNext w:val="0"/>
        <w:keepLines w:val="0"/>
        <w:pageBreakBefore w:val="0"/>
        <w:wordWrap w:val="0"/>
        <w:overflowPunct/>
        <w:topLinePunct w:val="0"/>
        <w:bidi w:val="0"/>
        <w:spacing w:before="97" w:line="221" w:lineRule="auto"/>
        <w:ind w:left="3799"/>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28" w:name="bookmark148"/>
      <w:bookmarkEnd w:id="228"/>
      <w:bookmarkStart w:id="229" w:name="_Toc317"/>
      <w:bookmarkStart w:id="230" w:name="_Toc297"/>
      <w:bookmarkStart w:id="231" w:name="_Toc27397"/>
      <w:r>
        <w:rPr>
          <w:rFonts w:hint="eastAsia" w:ascii="宋体" w:hAnsi="宋体" w:eastAsia="宋体" w:cs="宋体"/>
          <w:b/>
          <w:bCs/>
          <w:color w:val="000000" w:themeColor="text1"/>
          <w:spacing w:val="0"/>
          <w:sz w:val="30"/>
          <w:szCs w:val="30"/>
          <w:highlight w:val="none"/>
          <w14:textFill>
            <w14:solidFill>
              <w14:schemeClr w14:val="tx1"/>
            </w14:solidFill>
          </w14:textFill>
        </w:rPr>
        <w:t>投</w:t>
      </w:r>
      <w:r>
        <w:rPr>
          <w:rFonts w:hint="eastAsia" w:ascii="宋体" w:hAnsi="宋体" w:eastAsia="宋体" w:cs="宋体"/>
          <w:color w:val="000000" w:themeColor="text1"/>
          <w:spacing w:val="0"/>
          <w:sz w:val="30"/>
          <w:szCs w:val="30"/>
          <w:highlight w:val="none"/>
          <w14:textFill>
            <w14:solidFill>
              <w14:schemeClr w14:val="tx1"/>
            </w14:solidFill>
          </w14:textFill>
        </w:rPr>
        <w:t xml:space="preserve">  </w:t>
      </w:r>
      <w:r>
        <w:rPr>
          <w:rFonts w:hint="eastAsia" w:ascii="宋体" w:hAnsi="宋体" w:eastAsia="宋体" w:cs="宋体"/>
          <w:b/>
          <w:bCs/>
          <w:color w:val="000000" w:themeColor="text1"/>
          <w:spacing w:val="0"/>
          <w:sz w:val="30"/>
          <w:szCs w:val="30"/>
          <w:highlight w:val="none"/>
          <w14:textFill>
            <w14:solidFill>
              <w14:schemeClr w14:val="tx1"/>
            </w14:solidFill>
          </w14:textFill>
        </w:rPr>
        <w:t>标</w:t>
      </w:r>
      <w:r>
        <w:rPr>
          <w:rFonts w:hint="eastAsia" w:ascii="宋体" w:hAnsi="宋体" w:eastAsia="宋体" w:cs="宋体"/>
          <w:color w:val="000000" w:themeColor="text1"/>
          <w:spacing w:val="0"/>
          <w:sz w:val="30"/>
          <w:szCs w:val="30"/>
          <w:highlight w:val="none"/>
          <w14:textFill>
            <w14:solidFill>
              <w14:schemeClr w14:val="tx1"/>
            </w14:solidFill>
          </w14:textFill>
        </w:rPr>
        <w:t xml:space="preserve">  </w:t>
      </w:r>
      <w:r>
        <w:rPr>
          <w:rFonts w:hint="eastAsia" w:ascii="宋体" w:hAnsi="宋体" w:eastAsia="宋体" w:cs="宋体"/>
          <w:b/>
          <w:bCs/>
          <w:color w:val="000000" w:themeColor="text1"/>
          <w:spacing w:val="0"/>
          <w:sz w:val="30"/>
          <w:szCs w:val="30"/>
          <w:highlight w:val="none"/>
          <w14:textFill>
            <w14:solidFill>
              <w14:schemeClr w14:val="tx1"/>
            </w14:solidFill>
          </w14:textFill>
        </w:rPr>
        <w:t>函</w:t>
      </w:r>
      <w:bookmarkEnd w:id="229"/>
      <w:bookmarkEnd w:id="230"/>
      <w:bookmarkEnd w:id="231"/>
    </w:p>
    <w:p w14:paraId="58F05F57">
      <w:pPr>
        <w:pStyle w:val="5"/>
        <w:keepNext w:val="0"/>
        <w:keepLines w:val="0"/>
        <w:pageBreakBefore w:val="0"/>
        <w:wordWrap w:val="0"/>
        <w:overflowPunct/>
        <w:topLinePunct w:val="0"/>
        <w:bidi w:val="0"/>
        <w:spacing w:line="249" w:lineRule="auto"/>
        <w:rPr>
          <w:rFonts w:hint="eastAsia" w:ascii="宋体" w:hAnsi="宋体" w:eastAsia="宋体" w:cs="宋体"/>
          <w:color w:val="000000" w:themeColor="text1"/>
          <w:spacing w:val="0"/>
          <w:highlight w:val="none"/>
          <w14:textFill>
            <w14:solidFill>
              <w14:schemeClr w14:val="tx1"/>
            </w14:solidFill>
          </w14:textFill>
        </w:rPr>
      </w:pPr>
    </w:p>
    <w:p w14:paraId="08B6DA1F">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1E3DA538">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448E62A4">
      <w:pPr>
        <w:keepNext w:val="0"/>
        <w:keepLines w:val="0"/>
        <w:pageBreakBefore w:val="0"/>
        <w:wordWrap w:val="0"/>
        <w:overflowPunct/>
        <w:topLinePunct w:val="0"/>
        <w:bidi w:val="0"/>
        <w:spacing w:before="78" w:line="221" w:lineRule="auto"/>
        <w:ind w:left="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致：</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（招标人名称）</w:t>
      </w:r>
    </w:p>
    <w:p w14:paraId="342E60C5">
      <w:pPr>
        <w:pStyle w:val="5"/>
        <w:keepNext w:val="0"/>
        <w:keepLines w:val="0"/>
        <w:pageBreakBefore w:val="0"/>
        <w:wordWrap w:val="0"/>
        <w:overflowPunct/>
        <w:topLinePunct w:val="0"/>
        <w:bidi w:val="0"/>
        <w:spacing w:before="156" w:line="328" w:lineRule="auto"/>
        <w:ind w:left="9" w:right="142" w:firstLine="589"/>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我方考察现场并充分研究</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（项目名称）（以下简称“本项目 ”）招标文件所有内容后，结合自身资质、能力和特点，愿意接受招标文件的全部内容和条件，兹以人民币（大写）：</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 的投标总价竞投本项目施工。</w:t>
      </w:r>
    </w:p>
    <w:p w14:paraId="19F6B28C">
      <w:pPr>
        <w:keepNext w:val="0"/>
        <w:keepLines w:val="0"/>
        <w:pageBreakBefore w:val="0"/>
        <w:wordWrap w:val="0"/>
        <w:overflowPunct/>
        <w:topLinePunct w:val="0"/>
        <w:bidi w:val="0"/>
        <w:spacing w:before="39" w:line="323" w:lineRule="auto"/>
        <w:ind w:right="142" w:firstLine="57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在我方的上述投标总价中，包括：</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none"/>
          <w:lang w:eastAsia="zh-CN"/>
          <w14:textFill>
            <w14:solidFill>
              <w14:schemeClr w14:val="tx1"/>
            </w14:solidFill>
          </w14:textFill>
        </w:rPr>
        <w:t>；暂列金额</w:t>
      </w:r>
      <w:r>
        <w:rPr>
          <w:rFonts w:hint="eastAsia" w:ascii="宋体" w:hAnsi="宋体" w:eastAsia="宋体" w:cs="宋体"/>
          <w:color w:val="000000" w:themeColor="text1"/>
          <w:spacing w:val="0"/>
          <w:sz w:val="24"/>
          <w:szCs w:val="24"/>
          <w:highlight w:val="none"/>
          <w:u w:val="none"/>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none"/>
          <w:lang w:eastAsia="zh-CN"/>
          <w14:textFill>
            <w14:solidFill>
              <w14:schemeClr w14:val="tx1"/>
            </w14:solidFill>
          </w14:textFill>
        </w:rPr>
        <w:t>；暂估价</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725455D2">
      <w:pPr>
        <w:keepNext w:val="0"/>
        <w:keepLines w:val="0"/>
        <w:pageBreakBefore w:val="0"/>
        <w:wordWrap w:val="0"/>
        <w:overflowPunct/>
        <w:topLinePunct w:val="0"/>
        <w:bidi w:val="0"/>
        <w:spacing w:before="38" w:line="280" w:lineRule="auto"/>
        <w:ind w:left="13" w:right="142" w:firstLine="56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如果我方中标，我方保证按照合同约定的开工日期开始本项目的施工，</w:t>
      </w:r>
      <w:bookmarkStart w:id="232" w:name="OLE_LINK34"/>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bookmarkEnd w:id="232"/>
      <w:r>
        <w:rPr>
          <w:rFonts w:hint="eastAsia" w:ascii="宋体" w:hAnsi="宋体" w:eastAsia="宋体" w:cs="宋体"/>
          <w:color w:val="000000" w:themeColor="text1"/>
          <w:spacing w:val="0"/>
          <w:sz w:val="24"/>
          <w:szCs w:val="24"/>
          <w:highlight w:val="none"/>
          <w14:textFill>
            <w14:solidFill>
              <w14:schemeClr w14:val="tx1"/>
            </w14:solidFill>
          </w14:textFill>
        </w:rPr>
        <w:t>个日历天内竣工，并确保工程质量达到</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标准和维修其中的任何缺陷。</w:t>
      </w:r>
    </w:p>
    <w:p w14:paraId="10E8DA76">
      <w:pPr>
        <w:keepNext w:val="0"/>
        <w:keepLines w:val="0"/>
        <w:pageBreakBefore w:val="0"/>
        <w:wordWrap w:val="0"/>
        <w:overflowPunct/>
        <w:topLinePunct w:val="0"/>
        <w:bidi w:val="0"/>
        <w:spacing w:before="152" w:line="279" w:lineRule="auto"/>
        <w:ind w:left="11" w:right="142"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  本投标函在你方接收我方递交的投标文件之日起、到招标文件规定的投标有效期期满前对我方具有约束力。我方随时准备接受你方发出的中标通知书。</w:t>
      </w:r>
    </w:p>
    <w:p w14:paraId="36F81C92">
      <w:pPr>
        <w:keepNext w:val="0"/>
        <w:keepLines w:val="0"/>
        <w:pageBreakBefore w:val="0"/>
        <w:wordWrap w:val="0"/>
        <w:overflowPunct/>
        <w:topLinePunct w:val="0"/>
        <w:bidi w:val="0"/>
        <w:spacing w:before="156" w:line="279" w:lineRule="auto"/>
        <w:ind w:left="11" w:right="61" w:firstLine="56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4 ．我方在此声明，我方不存在本项目招标文件第一章第三节第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2.4</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条“禁止投标条款 ”所列出的任何一种情形，并愿意承担因我方就此弄虚作假所引起的一切法律后果。</w:t>
      </w:r>
    </w:p>
    <w:p w14:paraId="0E71490A">
      <w:pPr>
        <w:keepNext w:val="0"/>
        <w:keepLines w:val="0"/>
        <w:pageBreakBefore w:val="0"/>
        <w:wordWrap w:val="0"/>
        <w:overflowPunct/>
        <w:topLinePunct w:val="0"/>
        <w:bidi w:val="0"/>
        <w:spacing w:before="153" w:line="280" w:lineRule="auto"/>
        <w:ind w:left="9" w:right="142" w:firstLine="5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 ．我方在此承诺，所递交投标文件的全部内容均为真实、有效、准确的，并愿意承担因我方就此弄虚作假所引起的一切法律后果，同时理解和同意有可能被要求提供更多的资料。</w:t>
      </w:r>
    </w:p>
    <w:p w14:paraId="0954415E">
      <w:pPr>
        <w:keepNext w:val="0"/>
        <w:keepLines w:val="0"/>
        <w:pageBreakBefore w:val="0"/>
        <w:wordWrap w:val="0"/>
        <w:overflowPunct/>
        <w:topLinePunct w:val="0"/>
        <w:bidi w:val="0"/>
        <w:spacing w:before="153" w:line="326" w:lineRule="auto"/>
        <w:ind w:left="13" w:firstLine="5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  我方理解你方不一定要接纳收到的最低投标总价或任何投标总价的投标人中标， 也不要求你方解释我方是否中标的原因。</w:t>
      </w:r>
    </w:p>
    <w:p w14:paraId="665C13C8">
      <w:pPr>
        <w:pStyle w:val="5"/>
        <w:keepNext w:val="0"/>
        <w:keepLines w:val="0"/>
        <w:pageBreakBefore w:val="0"/>
        <w:wordWrap w:val="0"/>
        <w:overflowPunct/>
        <w:topLinePunct w:val="0"/>
        <w:bidi w:val="0"/>
        <w:spacing w:line="276" w:lineRule="auto"/>
        <w:rPr>
          <w:rFonts w:hint="eastAsia" w:ascii="宋体" w:hAnsi="宋体" w:eastAsia="宋体" w:cs="宋体"/>
          <w:color w:val="000000" w:themeColor="text1"/>
          <w:spacing w:val="0"/>
          <w:highlight w:val="none"/>
          <w14:textFill>
            <w14:solidFill>
              <w14:schemeClr w14:val="tx1"/>
            </w14:solidFill>
          </w14:textFill>
        </w:rPr>
      </w:pPr>
    </w:p>
    <w:p w14:paraId="6A293A0C">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1338C97A">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6D644921">
      <w:pPr>
        <w:keepNext w:val="0"/>
        <w:keepLines w:val="0"/>
        <w:pageBreakBefore w:val="0"/>
        <w:wordWrap w:val="0"/>
        <w:overflowPunct/>
        <w:topLinePunct w:val="0"/>
        <w:bidi w:val="0"/>
        <w:spacing w:before="79" w:line="219" w:lineRule="auto"/>
        <w:ind w:firstLine="5760" w:firstLineChars="24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53B9F8FC">
      <w:pPr>
        <w:pStyle w:val="5"/>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1FE5B2A2">
      <w:pPr>
        <w:pStyle w:val="5"/>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70C6C00B">
      <w:pPr>
        <w:keepNext w:val="0"/>
        <w:keepLines w:val="0"/>
        <w:pageBreakBefore w:val="0"/>
        <w:wordWrap w:val="0"/>
        <w:overflowPunct/>
        <w:topLinePunct w:val="0"/>
        <w:bidi w:val="0"/>
        <w:spacing w:before="78" w:line="219" w:lineRule="auto"/>
        <w:ind w:left="3922"/>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37331156">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3063FEBF">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27512AB8">
      <w:pPr>
        <w:keepNext w:val="0"/>
        <w:keepLines w:val="0"/>
        <w:pageBreakBefore w:val="0"/>
        <w:wordWrap w:val="0"/>
        <w:overflowPunct/>
        <w:topLinePunct w:val="0"/>
        <w:bidi w:val="0"/>
        <w:spacing w:before="79" w:line="220" w:lineRule="auto"/>
        <w:ind w:left="697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日</w:t>
      </w:r>
    </w:p>
    <w:p w14:paraId="02A06E5B">
      <w:pPr>
        <w:keepNext w:val="0"/>
        <w:keepLines w:val="0"/>
        <w:pageBreakBefore w:val="0"/>
        <w:wordWrap w:val="0"/>
        <w:overflowPunct/>
        <w:topLinePunct w:val="0"/>
        <w:bidi w:val="0"/>
        <w:spacing w:line="220"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05EF889">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33" w:name="_Toc21615"/>
      <w:r>
        <w:rPr>
          <w:rFonts w:hint="eastAsia" w:ascii="宋体" w:hAnsi="宋体" w:eastAsia="宋体" w:cs="宋体"/>
          <w:b/>
          <w:bCs/>
          <w:color w:val="000000" w:themeColor="text1"/>
          <w:spacing w:val="0"/>
          <w:sz w:val="24"/>
          <w:szCs w:val="24"/>
          <w:highlight w:val="none"/>
          <w14:textFill>
            <w14:solidFill>
              <w14:schemeClr w14:val="tx1"/>
            </w14:solidFill>
          </w14:textFill>
        </w:rPr>
        <w:t>格式三 各项承诺一览表</w:t>
      </w:r>
      <w:bookmarkEnd w:id="233"/>
    </w:p>
    <w:p w14:paraId="51E0204F">
      <w:pPr>
        <w:pStyle w:val="5"/>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34B1A1A4">
      <w:pPr>
        <w:keepNext w:val="0"/>
        <w:keepLines w:val="0"/>
        <w:pageBreakBefore w:val="0"/>
        <w:wordWrap w:val="0"/>
        <w:overflowPunct/>
        <w:topLinePunct w:val="0"/>
        <w:bidi w:val="0"/>
        <w:spacing w:before="98" w:line="220" w:lineRule="auto"/>
        <w:ind w:left="3581"/>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34" w:name="bookmark149"/>
      <w:bookmarkEnd w:id="234"/>
      <w:bookmarkStart w:id="235" w:name="_Toc2936"/>
      <w:bookmarkStart w:id="236" w:name="_Toc4767"/>
      <w:bookmarkStart w:id="237" w:name="_Toc10326"/>
      <w:r>
        <w:rPr>
          <w:rFonts w:hint="eastAsia" w:ascii="宋体" w:hAnsi="宋体" w:eastAsia="宋体" w:cs="宋体"/>
          <w:b/>
          <w:bCs/>
          <w:color w:val="000000" w:themeColor="text1"/>
          <w:spacing w:val="0"/>
          <w:sz w:val="30"/>
          <w:szCs w:val="30"/>
          <w:highlight w:val="none"/>
          <w14:textFill>
            <w14:solidFill>
              <w14:schemeClr w14:val="tx1"/>
            </w14:solidFill>
          </w14:textFill>
        </w:rPr>
        <w:t>各项承诺一览表</w:t>
      </w:r>
      <w:bookmarkEnd w:id="235"/>
      <w:bookmarkEnd w:id="236"/>
      <w:bookmarkEnd w:id="237"/>
    </w:p>
    <w:p w14:paraId="5C63A27F">
      <w:pPr>
        <w:keepNext w:val="0"/>
        <w:keepLines w:val="0"/>
        <w:pageBreakBefore w:val="0"/>
        <w:wordWrap w:val="0"/>
        <w:overflowPunct/>
        <w:topLinePunct w:val="0"/>
        <w:bidi w:val="0"/>
        <w:spacing w:before="6"/>
        <w:rPr>
          <w:rFonts w:hint="eastAsia" w:ascii="宋体" w:hAnsi="宋体" w:eastAsia="宋体" w:cs="宋体"/>
          <w:color w:val="000000" w:themeColor="text1"/>
          <w:spacing w:val="0"/>
          <w:highlight w:val="none"/>
          <w14:textFill>
            <w14:solidFill>
              <w14:schemeClr w14:val="tx1"/>
            </w14:solidFill>
          </w14:textFill>
        </w:rPr>
      </w:pPr>
    </w:p>
    <w:tbl>
      <w:tblPr>
        <w:tblStyle w:val="14"/>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675"/>
        <w:gridCol w:w="3107"/>
        <w:gridCol w:w="4272"/>
      </w:tblGrid>
      <w:tr w14:paraId="5204A2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54B582C">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126"/>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序号</w:t>
            </w:r>
          </w:p>
        </w:tc>
        <w:tc>
          <w:tcPr>
            <w:tcW w:w="1675" w:type="dxa"/>
            <w:vAlign w:val="top"/>
          </w:tcPr>
          <w:p w14:paraId="1CCE799E">
            <w:pPr>
              <w:keepNext w:val="0"/>
              <w:keepLines w:val="0"/>
              <w:pageBreakBefore w:val="0"/>
              <w:widowControl/>
              <w:kinsoku w:val="0"/>
              <w:wordWrap w:val="0"/>
              <w:overflowPunct/>
              <w:topLinePunct w:val="0"/>
              <w:autoSpaceDE w:val="0"/>
              <w:autoSpaceDN w:val="0"/>
              <w:bidi w:val="0"/>
              <w:adjustRightInd w:val="0"/>
              <w:snapToGrid w:val="0"/>
              <w:spacing w:before="208" w:line="288" w:lineRule="auto"/>
              <w:ind w:left="310"/>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承诺事项</w:t>
            </w:r>
          </w:p>
        </w:tc>
        <w:tc>
          <w:tcPr>
            <w:tcW w:w="3107" w:type="dxa"/>
            <w:vAlign w:val="top"/>
          </w:tcPr>
          <w:p w14:paraId="4EBB8A6D">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987"/>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承诺内容</w:t>
            </w:r>
          </w:p>
        </w:tc>
        <w:tc>
          <w:tcPr>
            <w:tcW w:w="4272" w:type="dxa"/>
            <w:vAlign w:val="top"/>
          </w:tcPr>
          <w:p w14:paraId="31A27193">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1537"/>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违约承诺</w:t>
            </w:r>
          </w:p>
        </w:tc>
      </w:tr>
      <w:tr w14:paraId="2A006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48261D65">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w:t>
            </w:r>
          </w:p>
        </w:tc>
        <w:tc>
          <w:tcPr>
            <w:tcW w:w="1675" w:type="dxa"/>
            <w:vAlign w:val="center"/>
          </w:tcPr>
          <w:p w14:paraId="01CAE98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自愿接受招标文件条款的承诺</w:t>
            </w:r>
          </w:p>
        </w:tc>
        <w:tc>
          <w:tcPr>
            <w:tcW w:w="3107" w:type="dxa"/>
            <w:vAlign w:val="top"/>
          </w:tcPr>
          <w:p w14:paraId="2CDC7B50">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41955F4E">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1"/>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我方自愿接受招标文件的所有条款，所递交的投标文件已经充分响应招标文件的实质性要求。</w:t>
            </w:r>
          </w:p>
        </w:tc>
        <w:tc>
          <w:tcPr>
            <w:tcW w:w="4272" w:type="dxa"/>
            <w:vAlign w:val="top"/>
          </w:tcPr>
          <w:p w14:paraId="31B3DB23">
            <w:pPr>
              <w:keepNext w:val="0"/>
              <w:keepLines w:val="0"/>
              <w:pageBreakBefore w:val="0"/>
              <w:widowControl/>
              <w:kinsoku w:val="0"/>
              <w:wordWrap w:val="0"/>
              <w:overflowPunct/>
              <w:topLinePunct w:val="0"/>
              <w:autoSpaceDE w:val="0"/>
              <w:autoSpaceDN w:val="0"/>
              <w:bidi w:val="0"/>
              <w:adjustRightInd w:val="0"/>
              <w:snapToGrid w:val="0"/>
              <w:spacing w:before="122" w:line="288" w:lineRule="auto"/>
              <w:ind w:left="14" w:right="4"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如果我方的投标文件未响应、违反、偏 离招标文件的实质性要求，我方接受招标人或其授权的招标代理机构或其组建的评标委员会依据招标文件作出的相应处理，包括否决投标。</w:t>
            </w:r>
          </w:p>
        </w:tc>
      </w:tr>
      <w:tr w14:paraId="10B0D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2F577063">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w:t>
            </w:r>
          </w:p>
        </w:tc>
        <w:tc>
          <w:tcPr>
            <w:tcW w:w="1675" w:type="dxa"/>
            <w:vAlign w:val="center"/>
          </w:tcPr>
          <w:p w14:paraId="796EA612">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无禁止投标情形的承诺</w:t>
            </w:r>
          </w:p>
        </w:tc>
        <w:tc>
          <w:tcPr>
            <w:tcW w:w="3107" w:type="dxa"/>
            <w:vAlign w:val="top"/>
          </w:tcPr>
          <w:p w14:paraId="6DBD4A30">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168E3A76">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37C38C6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 xml:space="preserve">我方不存在招标文件第一 章第三节第 </w:t>
            </w:r>
            <w:r>
              <w:rPr>
                <w:rFonts w:hint="eastAsia" w:ascii="宋体" w:hAnsi="宋体" w:eastAsia="宋体" w:cs="宋体"/>
                <w:b/>
                <w:bCs/>
                <w:color w:val="000000" w:themeColor="text1"/>
                <w:spacing w:val="0"/>
                <w:sz w:val="21"/>
                <w:szCs w:val="21"/>
                <w:highlight w:val="none"/>
                <w14:textFill>
                  <w14:solidFill>
                    <w14:schemeClr w14:val="tx1"/>
                  </w14:solidFill>
                </w14:textFill>
              </w:rPr>
              <w:t xml:space="preserve">2.4 </w:t>
            </w:r>
            <w:r>
              <w:rPr>
                <w:rFonts w:hint="eastAsia" w:ascii="宋体" w:hAnsi="宋体" w:eastAsia="宋体" w:cs="宋体"/>
                <w:color w:val="000000" w:themeColor="text1"/>
                <w:spacing w:val="0"/>
                <w:sz w:val="21"/>
                <w:szCs w:val="21"/>
                <w:highlight w:val="none"/>
                <w14:textFill>
                  <w14:solidFill>
                    <w14:schemeClr w14:val="tx1"/>
                  </w14:solidFill>
                </w14:textFill>
              </w:rPr>
              <w:t>条“禁止投标条 款 ”规定的任何一种情形。</w:t>
            </w:r>
          </w:p>
        </w:tc>
        <w:tc>
          <w:tcPr>
            <w:tcW w:w="4272" w:type="dxa"/>
            <w:vAlign w:val="top"/>
          </w:tcPr>
          <w:p w14:paraId="5C557624">
            <w:pPr>
              <w:keepNext w:val="0"/>
              <w:keepLines w:val="0"/>
              <w:pageBreakBefore w:val="0"/>
              <w:widowControl/>
              <w:kinsoku w:val="0"/>
              <w:wordWrap w:val="0"/>
              <w:overflowPunct/>
              <w:topLinePunct w:val="0"/>
              <w:autoSpaceDE w:val="0"/>
              <w:autoSpaceDN w:val="0"/>
              <w:bidi w:val="0"/>
              <w:adjustRightInd w:val="0"/>
              <w:snapToGrid w:val="0"/>
              <w:spacing w:before="122" w:line="288" w:lineRule="auto"/>
              <w:ind w:left="9" w:firstLine="421"/>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 xml:space="preserve">如果我方有招标文件第一章第三节第 </w:t>
            </w:r>
            <w:r>
              <w:rPr>
                <w:rFonts w:hint="eastAsia" w:ascii="宋体" w:hAnsi="宋体" w:eastAsia="宋体" w:cs="宋体"/>
                <w:b/>
                <w:bCs/>
                <w:color w:val="000000" w:themeColor="text1"/>
                <w:spacing w:val="0"/>
                <w:sz w:val="21"/>
                <w:szCs w:val="21"/>
                <w:highlight w:val="none"/>
                <w14:textFill>
                  <w14:solidFill>
                    <w14:schemeClr w14:val="tx1"/>
                  </w14:solidFill>
                </w14:textFill>
              </w:rPr>
              <w:t xml:space="preserve">2.  4 </w:t>
            </w:r>
            <w:r>
              <w:rPr>
                <w:rFonts w:hint="eastAsia" w:ascii="宋体" w:hAnsi="宋体" w:eastAsia="宋体" w:cs="宋体"/>
                <w:color w:val="000000" w:themeColor="text1"/>
                <w:spacing w:val="0"/>
                <w:sz w:val="21"/>
                <w:szCs w:val="21"/>
                <w:highlight w:val="none"/>
                <w14:textFill>
                  <w14:solidFill>
                    <w14:schemeClr w14:val="tx1"/>
                  </w14:solidFill>
                </w14:textFill>
              </w:rPr>
              <w:t>条“禁止投标条款 ”规定的任何一种情形，我方接受招标人或其授权的招标代理机构或 其组建的评标委员会依据招标文件作出的相应处理以及有关监督部门作出的行政处罚，并承担由此引起的一切法律后果。</w:t>
            </w:r>
          </w:p>
        </w:tc>
      </w:tr>
      <w:tr w14:paraId="6BAE3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6D41129A">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w:t>
            </w:r>
          </w:p>
        </w:tc>
        <w:tc>
          <w:tcPr>
            <w:tcW w:w="1675" w:type="dxa"/>
            <w:vAlign w:val="center"/>
          </w:tcPr>
          <w:p w14:paraId="7EDF57FD">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自觉抵制围标</w:t>
            </w:r>
          </w:p>
          <w:p w14:paraId="7350A53C">
            <w:pPr>
              <w:keepNext w:val="0"/>
              <w:keepLines w:val="0"/>
              <w:pageBreakBefore w:val="0"/>
              <w:widowControl/>
              <w:kinsoku w:val="0"/>
              <w:wordWrap w:val="0"/>
              <w:overflowPunct/>
              <w:topLinePunct w:val="0"/>
              <w:autoSpaceDE w:val="0"/>
              <w:autoSpaceDN w:val="0"/>
              <w:bidi w:val="0"/>
              <w:adjustRightInd w:val="0"/>
              <w:snapToGrid w:val="0"/>
              <w:spacing w:before="131"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串标和弄虚</w:t>
            </w:r>
          </w:p>
          <w:p w14:paraId="18E84040">
            <w:pPr>
              <w:keepNext w:val="0"/>
              <w:keepLines w:val="0"/>
              <w:pageBreakBefore w:val="0"/>
              <w:widowControl/>
              <w:kinsoku w:val="0"/>
              <w:wordWrap w:val="0"/>
              <w:overflowPunct/>
              <w:topLinePunct w:val="0"/>
              <w:autoSpaceDE w:val="0"/>
              <w:autoSpaceDN w:val="0"/>
              <w:bidi w:val="0"/>
              <w:adjustRightInd w:val="0"/>
              <w:snapToGrid w:val="0"/>
              <w:spacing w:before="133"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作假行为的承诺</w:t>
            </w:r>
          </w:p>
        </w:tc>
        <w:tc>
          <w:tcPr>
            <w:tcW w:w="3107" w:type="dxa"/>
            <w:vAlign w:val="top"/>
          </w:tcPr>
          <w:p w14:paraId="62CF0363">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3960F528">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1" w:right="2"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我方合法正当、诚实守信地参与投标，不组织、不参加围标串标违法行为，不通过弄虚作假行为骗取中标。</w:t>
            </w:r>
          </w:p>
        </w:tc>
        <w:tc>
          <w:tcPr>
            <w:tcW w:w="4272" w:type="dxa"/>
            <w:vAlign w:val="top"/>
          </w:tcPr>
          <w:p w14:paraId="0A090EF8">
            <w:pPr>
              <w:keepNext w:val="0"/>
              <w:keepLines w:val="0"/>
              <w:pageBreakBefore w:val="0"/>
              <w:widowControl/>
              <w:kinsoku w:val="0"/>
              <w:wordWrap w:val="0"/>
              <w:overflowPunct/>
              <w:topLinePunct w:val="0"/>
              <w:autoSpaceDE w:val="0"/>
              <w:autoSpaceDN w:val="0"/>
              <w:bidi w:val="0"/>
              <w:adjustRightInd w:val="0"/>
              <w:snapToGrid w:val="0"/>
              <w:spacing w:before="129" w:line="288" w:lineRule="auto"/>
              <w:ind w:left="13" w:right="4"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6CBF9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39F3D356">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4</w:t>
            </w:r>
          </w:p>
        </w:tc>
        <w:tc>
          <w:tcPr>
            <w:tcW w:w="1675" w:type="dxa"/>
            <w:vAlign w:val="center"/>
          </w:tcPr>
          <w:p w14:paraId="5F8AABE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项目经理任职承诺</w:t>
            </w:r>
          </w:p>
        </w:tc>
        <w:tc>
          <w:tcPr>
            <w:tcW w:w="3107" w:type="dxa"/>
            <w:vAlign w:val="top"/>
          </w:tcPr>
          <w:p w14:paraId="3D586645">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25D7FCEF">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1EFE29D7">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9" w:right="2"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我方拟派项目经理现阶段没有担任任何在施（包括已中标未开工、已开工未竣工）建设工程项目的项目经理。</w:t>
            </w:r>
          </w:p>
        </w:tc>
        <w:tc>
          <w:tcPr>
            <w:tcW w:w="4272" w:type="dxa"/>
            <w:vAlign w:val="top"/>
          </w:tcPr>
          <w:p w14:paraId="4A8515D9">
            <w:pPr>
              <w:keepNext w:val="0"/>
              <w:keepLines w:val="0"/>
              <w:pageBreakBefore w:val="0"/>
              <w:widowControl/>
              <w:kinsoku w:val="0"/>
              <w:wordWrap w:val="0"/>
              <w:overflowPunct/>
              <w:topLinePunct w:val="0"/>
              <w:autoSpaceDE w:val="0"/>
              <w:autoSpaceDN w:val="0"/>
              <w:bidi w:val="0"/>
              <w:adjustRightInd w:val="0"/>
              <w:snapToGrid w:val="0"/>
              <w:spacing w:before="128" w:line="288" w:lineRule="auto"/>
              <w:ind w:left="11" w:firstLine="417"/>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如果我方拟派项目经理在本项目招标投 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5F5F5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1B9DDA4A">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5</w:t>
            </w:r>
          </w:p>
        </w:tc>
        <w:tc>
          <w:tcPr>
            <w:tcW w:w="1675" w:type="dxa"/>
            <w:vAlign w:val="center"/>
          </w:tcPr>
          <w:p w14:paraId="7009D3C6">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投标文件</w:t>
            </w:r>
          </w:p>
          <w:p w14:paraId="7FA4425B">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真实性承诺</w:t>
            </w:r>
          </w:p>
        </w:tc>
        <w:tc>
          <w:tcPr>
            <w:tcW w:w="3107" w:type="dxa"/>
            <w:vAlign w:val="top"/>
          </w:tcPr>
          <w:p w14:paraId="24313CA0">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080F2869">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2" w:firstLine="409"/>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我方所递交投标文件的全部内容均为真实、有效、准确的。</w:t>
            </w:r>
          </w:p>
        </w:tc>
        <w:tc>
          <w:tcPr>
            <w:tcW w:w="4272" w:type="dxa"/>
            <w:vAlign w:val="top"/>
          </w:tcPr>
          <w:p w14:paraId="117F7D2E">
            <w:pPr>
              <w:keepNext w:val="0"/>
              <w:keepLines w:val="0"/>
              <w:pageBreakBefore w:val="0"/>
              <w:widowControl/>
              <w:kinsoku w:val="0"/>
              <w:wordWrap w:val="0"/>
              <w:overflowPunct/>
              <w:topLinePunct w:val="0"/>
              <w:autoSpaceDE w:val="0"/>
              <w:autoSpaceDN w:val="0"/>
              <w:bidi w:val="0"/>
              <w:adjustRightInd w:val="0"/>
              <w:snapToGrid w:val="0"/>
              <w:spacing w:before="127" w:line="288" w:lineRule="auto"/>
              <w:ind w:left="11" w:firstLine="417"/>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如果我方递交的投标文件任何内容不真实或无效或不准确，我方接受招标人或其授权的招标代理机构或其组建的评标委员会依据招标文件作出的相应处理，包括否决投标。</w:t>
            </w:r>
          </w:p>
        </w:tc>
      </w:tr>
      <w:tr w14:paraId="02577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764" w:type="dxa"/>
            <w:vAlign w:val="center"/>
          </w:tcPr>
          <w:p w14:paraId="6B3A9885">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6</w:t>
            </w:r>
            <w:r>
              <w:rPr>
                <w:rFonts w:hint="eastAsia" w:ascii="宋体" w:hAnsi="宋体" w:eastAsia="宋体" w:cs="宋体"/>
                <w:color w:val="000000" w:themeColor="text1"/>
                <w:spacing w:val="0"/>
                <w:sz w:val="21"/>
                <w:szCs w:val="21"/>
                <w:highlight w:val="none"/>
                <w14:textFill>
                  <w14:solidFill>
                    <w14:schemeClr w14:val="tx1"/>
                  </w14:solidFill>
                </w14:textFill>
              </w:rPr>
              <w:drawing>
                <wp:anchor distT="0" distB="0" distL="114300" distR="114300" simplePos="0" relativeHeight="251664384"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55"/>
                          <a:stretch>
                            <a:fillRect/>
                          </a:stretch>
                        </pic:blipFill>
                        <pic:spPr>
                          <a:xfrm>
                            <a:off x="0" y="0"/>
                            <a:ext cx="6350" cy="241300"/>
                          </a:xfrm>
                          <a:prstGeom prst="rect">
                            <a:avLst/>
                          </a:prstGeom>
                          <a:noFill/>
                          <a:ln>
                            <a:noFill/>
                          </a:ln>
                        </pic:spPr>
                      </pic:pic>
                    </a:graphicData>
                  </a:graphic>
                </wp:anchor>
              </w:drawing>
            </w:r>
          </w:p>
        </w:tc>
        <w:tc>
          <w:tcPr>
            <w:tcW w:w="1675" w:type="dxa"/>
            <w:vAlign w:val="center"/>
          </w:tcPr>
          <w:p w14:paraId="4D2FADD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投标文件</w:t>
            </w:r>
          </w:p>
          <w:p w14:paraId="0E95F9BE">
            <w:pPr>
              <w:keepNext w:val="0"/>
              <w:keepLines w:val="0"/>
              <w:pageBreakBefore w:val="0"/>
              <w:widowControl/>
              <w:kinsoku w:val="0"/>
              <w:wordWrap w:val="0"/>
              <w:overflowPunct/>
              <w:topLinePunct w:val="0"/>
              <w:autoSpaceDE w:val="0"/>
              <w:autoSpaceDN w:val="0"/>
              <w:bidi w:val="0"/>
              <w:adjustRightInd w:val="0"/>
              <w:snapToGrid w:val="0"/>
              <w:spacing w:before="132"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信息公开承诺</w:t>
            </w:r>
          </w:p>
        </w:tc>
        <w:tc>
          <w:tcPr>
            <w:tcW w:w="3107" w:type="dxa"/>
            <w:vAlign w:val="center"/>
          </w:tcPr>
          <w:p w14:paraId="0DF7EDDD">
            <w:pPr>
              <w:keepNext w:val="0"/>
              <w:keepLines w:val="0"/>
              <w:pageBreakBefore w:val="0"/>
              <w:widowControl/>
              <w:kinsoku w:val="0"/>
              <w:wordWrap w:val="0"/>
              <w:overflowPunct/>
              <w:topLinePunct w:val="0"/>
              <w:autoSpaceDE w:val="0"/>
              <w:autoSpaceDN w:val="0"/>
              <w:bidi w:val="0"/>
              <w:adjustRightInd w:val="0"/>
              <w:snapToGrid w:val="0"/>
              <w:spacing w:before="130" w:line="288" w:lineRule="auto"/>
              <w:ind w:left="10" w:right="2"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我方提供完整的文件。如果我方成为本项目</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定</w:t>
            </w:r>
            <w:r>
              <w:rPr>
                <w:rFonts w:hint="eastAsia" w:ascii="宋体" w:hAnsi="宋体" w:eastAsia="宋体" w:cs="宋体"/>
                <w:color w:val="000000" w:themeColor="text1"/>
                <w:spacing w:val="0"/>
                <w:sz w:val="21"/>
                <w:szCs w:val="21"/>
                <w:highlight w:val="none"/>
                <w14:textFill>
                  <w14:solidFill>
                    <w14:schemeClr w14:val="tx1"/>
                  </w14:solidFill>
                </w14:textFill>
              </w:rPr>
              <w:t>标候选人，我方同意并授权招标人在评标结果公示期内公开我方商务标书的全部内容。</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1164999A">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6D48F5C3">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695D5933">
            <w:pPr>
              <w:keepNext w:val="0"/>
              <w:keepLines w:val="0"/>
              <w:pageBreakBefore w:val="0"/>
              <w:widowControl/>
              <w:kinsoku w:val="0"/>
              <w:wordWrap w:val="0"/>
              <w:overflowPunct/>
              <w:topLinePunct w:val="0"/>
              <w:autoSpaceDE w:val="0"/>
              <w:autoSpaceDN w:val="0"/>
              <w:bidi w:val="0"/>
              <w:adjustRightInd w:val="0"/>
              <w:snapToGrid w:val="0"/>
              <w:spacing w:before="58" w:line="240" w:lineRule="auto"/>
              <w:ind w:left="1979"/>
              <w:textAlignment w:val="baseline"/>
              <mc:AlternateContent>
                <mc:Choice Requires="wpsCustomData">
                  <wpsCustomData:diagonalParaType/>
                </mc:Choice>
              </mc:AlternateContent>
              <w:rPr>
                <w:rFonts w:hint="eastAsia" w:ascii="宋体" w:hAnsi="宋体" w:eastAsia="宋体" w:cs="宋体"/>
                <w:color w:val="000000" w:themeColor="text1"/>
                <w:spacing w:val="0"/>
                <w:sz w:val="21"/>
                <w:szCs w:val="21"/>
                <w:highlight w:val="none"/>
                <w14:textFill>
                  <w14:solidFill>
                    <w14:schemeClr w14:val="tx1"/>
                  </w14:solidFill>
                </w14:textFill>
              </w:rPr>
            </w:pPr>
          </w:p>
          <w:p w14:paraId="52A22145">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1979"/>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tc>
      </w:tr>
      <w:tr w14:paraId="31DB0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764" w:type="dxa"/>
            <w:vAlign w:val="center"/>
          </w:tcPr>
          <w:p w14:paraId="320F0521">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7</w:t>
            </w:r>
          </w:p>
        </w:tc>
        <w:tc>
          <w:tcPr>
            <w:tcW w:w="1675" w:type="dxa"/>
            <w:vAlign w:val="center"/>
          </w:tcPr>
          <w:p w14:paraId="5782E3F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对不正常报价的确认承诺</w:t>
            </w:r>
          </w:p>
        </w:tc>
        <w:tc>
          <w:tcPr>
            <w:tcW w:w="3107" w:type="dxa"/>
            <w:vAlign w:val="top"/>
          </w:tcPr>
          <w:p w14:paraId="6D8BDFB8">
            <w:pPr>
              <w:keepNext w:val="0"/>
              <w:keepLines w:val="0"/>
              <w:pageBreakBefore w:val="0"/>
              <w:widowControl/>
              <w:kinsoku w:val="0"/>
              <w:wordWrap w:val="0"/>
              <w:overflowPunct/>
              <w:topLinePunct w:val="0"/>
              <w:autoSpaceDE w:val="0"/>
              <w:autoSpaceDN w:val="0"/>
              <w:bidi w:val="0"/>
              <w:adjustRightInd w:val="0"/>
              <w:snapToGrid w:val="0"/>
              <w:spacing w:before="121" w:line="288" w:lineRule="auto"/>
              <w:ind w:left="10" w:right="2" w:firstLine="423"/>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如果我方中标，我方接受招标人在合同订立期间依据招标文件有关条款约定对我方已标价工程量清单中不正常报价的修正或认定，并按要求签署《不正常报价清单》加以确认。</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55874C84">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7ACFEB24">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69C2BA43">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1303911B">
            <w:pPr>
              <w:keepNext w:val="0"/>
              <w:keepLines w:val="0"/>
              <w:pageBreakBefore w:val="0"/>
              <w:widowControl/>
              <w:kinsoku w:val="0"/>
              <w:wordWrap w:val="0"/>
              <w:overflowPunct/>
              <w:topLinePunct w:val="0"/>
              <w:autoSpaceDE w:val="0"/>
              <w:autoSpaceDN w:val="0"/>
              <w:bidi w:val="0"/>
              <w:adjustRightInd w:val="0"/>
              <w:snapToGrid w:val="0"/>
              <w:spacing w:before="57" w:line="240" w:lineRule="auto"/>
              <w:ind w:left="1979"/>
              <w:textAlignment w:val="baseline"/>
              <mc:AlternateContent>
                <mc:Choice Requires="wpsCustomData">
                  <wpsCustomData:diagonalParaType/>
                </mc:Choice>
              </mc:AlternateContent>
              <w:rPr>
                <w:rFonts w:hint="eastAsia" w:ascii="宋体" w:hAnsi="宋体" w:eastAsia="宋体" w:cs="宋体"/>
                <w:color w:val="000000" w:themeColor="text1"/>
                <w:spacing w:val="0"/>
                <w:sz w:val="21"/>
                <w:szCs w:val="21"/>
                <w:highlight w:val="none"/>
                <w14:textFill>
                  <w14:solidFill>
                    <w14:schemeClr w14:val="tx1"/>
                  </w14:solidFill>
                </w14:textFill>
              </w:rPr>
            </w:pPr>
          </w:p>
          <w:p w14:paraId="1AB87749">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1979"/>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tc>
      </w:tr>
      <w:tr w14:paraId="2D63E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7C876BD4">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8</w:t>
            </w:r>
          </w:p>
        </w:tc>
        <w:tc>
          <w:tcPr>
            <w:tcW w:w="1675" w:type="dxa"/>
            <w:vAlign w:val="center"/>
          </w:tcPr>
          <w:p w14:paraId="01E67844">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按时提交履约保证的承诺</w:t>
            </w:r>
          </w:p>
        </w:tc>
        <w:tc>
          <w:tcPr>
            <w:tcW w:w="3107" w:type="dxa"/>
            <w:vAlign w:val="top"/>
          </w:tcPr>
          <w:p w14:paraId="29A0D195">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00CA932B">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如果我方中标，我方保证在招标文件规定的时限内全额提交履约保证。</w:t>
            </w:r>
          </w:p>
        </w:tc>
        <w:tc>
          <w:tcPr>
            <w:tcW w:w="4272" w:type="dxa"/>
            <w:vAlign w:val="top"/>
          </w:tcPr>
          <w:p w14:paraId="157135E5">
            <w:pPr>
              <w:keepNext w:val="0"/>
              <w:keepLines w:val="0"/>
              <w:pageBreakBefore w:val="0"/>
              <w:widowControl/>
              <w:kinsoku w:val="0"/>
              <w:wordWrap w:val="0"/>
              <w:overflowPunct/>
              <w:topLinePunct w:val="0"/>
              <w:autoSpaceDE w:val="0"/>
              <w:autoSpaceDN w:val="0"/>
              <w:bidi w:val="0"/>
              <w:adjustRightInd w:val="0"/>
              <w:snapToGrid w:val="0"/>
              <w:spacing w:before="128" w:line="288" w:lineRule="auto"/>
              <w:ind w:left="12" w:right="23" w:firstLine="423"/>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如果我方未在招标文件规定的时限内全 额提交履约保证，我方接受招标人依据招标文件作出的相应处理以及有关监督部门作出的行政处罚，并承担由此引起的一切法律后果。</w:t>
            </w:r>
          </w:p>
        </w:tc>
      </w:tr>
      <w:tr w14:paraId="12204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2C8442E1">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9</w:t>
            </w:r>
          </w:p>
        </w:tc>
        <w:tc>
          <w:tcPr>
            <w:tcW w:w="1675" w:type="dxa"/>
            <w:vAlign w:val="center"/>
          </w:tcPr>
          <w:p w14:paraId="7AF6CE02">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按时签订合同的承诺</w:t>
            </w:r>
          </w:p>
        </w:tc>
        <w:tc>
          <w:tcPr>
            <w:tcW w:w="3107" w:type="dxa"/>
            <w:vAlign w:val="top"/>
          </w:tcPr>
          <w:p w14:paraId="59576A39">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25FCE2A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如果我方中标，我方保证在 招标文件规定的时限内与招标人签订合同，不提出违背或超出招标文件、中标文件的要求。</w:t>
            </w:r>
          </w:p>
        </w:tc>
        <w:tc>
          <w:tcPr>
            <w:tcW w:w="4272" w:type="dxa"/>
            <w:vAlign w:val="top"/>
          </w:tcPr>
          <w:p w14:paraId="3246D3A0">
            <w:pPr>
              <w:keepNext w:val="0"/>
              <w:keepLines w:val="0"/>
              <w:pageBreakBefore w:val="0"/>
              <w:widowControl/>
              <w:kinsoku w:val="0"/>
              <w:wordWrap w:val="0"/>
              <w:overflowPunct/>
              <w:topLinePunct w:val="0"/>
              <w:autoSpaceDE w:val="0"/>
              <w:autoSpaceDN w:val="0"/>
              <w:bidi w:val="0"/>
              <w:adjustRightInd w:val="0"/>
              <w:snapToGrid w:val="0"/>
              <w:spacing w:before="126" w:line="288" w:lineRule="auto"/>
              <w:ind w:left="13" w:firstLine="415"/>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5841BEAA">
      <w:pPr>
        <w:keepNext w:val="0"/>
        <w:keepLines w:val="0"/>
        <w:pageBreakBefore w:val="0"/>
        <w:wordWrap w:val="0"/>
        <w:overflowPunct/>
        <w:topLinePunct w:val="0"/>
        <w:bidi w:val="0"/>
        <w:spacing w:before="78" w:line="219" w:lineRule="auto"/>
        <w:ind w:firstLine="6720" w:firstLineChars="2800"/>
        <w:jc w:val="both"/>
        <w:rPr>
          <w:rFonts w:hint="eastAsia" w:ascii="宋体" w:hAnsi="宋体" w:eastAsia="宋体" w:cs="宋体"/>
          <w:color w:val="000000" w:themeColor="text1"/>
          <w:spacing w:val="0"/>
          <w:sz w:val="24"/>
          <w:szCs w:val="24"/>
          <w:highlight w:val="none"/>
          <w14:textFill>
            <w14:solidFill>
              <w14:schemeClr w14:val="tx1"/>
            </w14:solidFill>
          </w14:textFill>
        </w:rPr>
      </w:pPr>
    </w:p>
    <w:p w14:paraId="5A5A4090">
      <w:pPr>
        <w:keepNext w:val="0"/>
        <w:keepLines w:val="0"/>
        <w:pageBreakBefore w:val="0"/>
        <w:wordWrap w:val="0"/>
        <w:overflowPunct/>
        <w:topLinePunct w:val="0"/>
        <w:bidi w:val="0"/>
        <w:spacing w:before="78" w:line="219" w:lineRule="auto"/>
        <w:ind w:firstLine="6720" w:firstLineChars="280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11F3159F">
      <w:pPr>
        <w:pStyle w:val="5"/>
        <w:keepNext w:val="0"/>
        <w:keepLines w:val="0"/>
        <w:pageBreakBefore w:val="0"/>
        <w:wordWrap w:val="0"/>
        <w:overflowPunct/>
        <w:topLinePunct w:val="0"/>
        <w:bidi w:val="0"/>
        <w:spacing w:line="297" w:lineRule="auto"/>
        <w:jc w:val="right"/>
        <w:rPr>
          <w:rFonts w:hint="eastAsia" w:ascii="宋体" w:hAnsi="宋体" w:eastAsia="宋体" w:cs="宋体"/>
          <w:color w:val="000000" w:themeColor="text1"/>
          <w:spacing w:val="0"/>
          <w:highlight w:val="none"/>
          <w14:textFill>
            <w14:solidFill>
              <w14:schemeClr w14:val="tx1"/>
            </w14:solidFill>
          </w14:textFill>
        </w:rPr>
      </w:pPr>
    </w:p>
    <w:p w14:paraId="09C1B693">
      <w:pPr>
        <w:keepNext w:val="0"/>
        <w:keepLines w:val="0"/>
        <w:pageBreakBefore w:val="0"/>
        <w:wordWrap w:val="0"/>
        <w:overflowPunct/>
        <w:topLinePunct w:val="0"/>
        <w:bidi w:val="0"/>
        <w:spacing w:before="78" w:line="219" w:lineRule="auto"/>
        <w:ind w:left="4366"/>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5307D740">
      <w:pPr>
        <w:keepNext w:val="0"/>
        <w:keepLines w:val="0"/>
        <w:pageBreakBefore w:val="0"/>
        <w:wordWrap w:val="0"/>
        <w:overflowPunct/>
        <w:topLinePunct w:val="0"/>
        <w:bidi w:val="0"/>
        <w:outlineLvl w:val="9"/>
        <w:rPr>
          <w:rFonts w:hint="eastAsia" w:ascii="宋体" w:hAnsi="宋体" w:eastAsia="宋体" w:cs="宋体"/>
          <w:color w:val="000000" w:themeColor="text1"/>
          <w:spacing w:val="0"/>
          <w:highlight w:val="none"/>
          <w14:textFill>
            <w14:solidFill>
              <w14:schemeClr w14:val="tx1"/>
            </w14:solidFill>
          </w14:textFill>
        </w:rPr>
      </w:pPr>
    </w:p>
    <w:p w14:paraId="76133165">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2420BB4E">
      <w:pPr>
        <w:keepNext w:val="0"/>
        <w:keepLines w:val="0"/>
        <w:pageBreakBefore w:val="0"/>
        <w:wordWrap w:val="0"/>
        <w:overflowPunct/>
        <w:topLinePunct w:val="0"/>
        <w:bidi w:val="0"/>
        <w:spacing w:line="220"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6"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0B193340">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38" w:name="_Toc30907"/>
      <w:r>
        <w:rPr>
          <w:rFonts w:hint="eastAsia" w:ascii="宋体" w:hAnsi="宋体" w:eastAsia="宋体" w:cs="宋体"/>
          <w:b/>
          <w:bCs/>
          <w:color w:val="000000" w:themeColor="text1"/>
          <w:spacing w:val="0"/>
          <w:sz w:val="24"/>
          <w:szCs w:val="24"/>
          <w:highlight w:val="none"/>
          <w14:textFill>
            <w14:solidFill>
              <w14:schemeClr w14:val="tx1"/>
            </w14:solidFill>
          </w14:textFill>
        </w:rPr>
        <w:t>格式四 授权委托书</w:t>
      </w:r>
      <w:bookmarkEnd w:id="238"/>
    </w:p>
    <w:p w14:paraId="03776E3A">
      <w:pPr>
        <w:pStyle w:val="5"/>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27681910">
      <w:pPr>
        <w:pStyle w:val="5"/>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6710AE74">
      <w:pPr>
        <w:keepNext w:val="0"/>
        <w:keepLines w:val="0"/>
        <w:pageBreakBefore w:val="0"/>
        <w:wordWrap w:val="0"/>
        <w:overflowPunct/>
        <w:topLinePunct w:val="0"/>
        <w:bidi w:val="0"/>
        <w:spacing w:before="97" w:line="219" w:lineRule="auto"/>
        <w:ind w:left="3786"/>
        <w:rPr>
          <w:rFonts w:hint="eastAsia" w:ascii="宋体" w:hAnsi="宋体" w:eastAsia="宋体" w:cs="宋体"/>
          <w:color w:val="000000" w:themeColor="text1"/>
          <w:spacing w:val="0"/>
          <w:sz w:val="30"/>
          <w:szCs w:val="30"/>
          <w:highlight w:val="none"/>
          <w14:textFill>
            <w14:solidFill>
              <w14:schemeClr w14:val="tx1"/>
            </w14:solidFill>
          </w14:textFill>
        </w:rPr>
      </w:pPr>
      <w:bookmarkStart w:id="239" w:name="bookmark151"/>
      <w:bookmarkEnd w:id="239"/>
      <w:r>
        <w:rPr>
          <w:rFonts w:hint="eastAsia" w:ascii="宋体" w:hAnsi="宋体" w:eastAsia="宋体" w:cs="宋体"/>
          <w:b/>
          <w:bCs/>
          <w:color w:val="000000" w:themeColor="text1"/>
          <w:spacing w:val="0"/>
          <w:sz w:val="30"/>
          <w:szCs w:val="30"/>
          <w:highlight w:val="none"/>
          <w14:textFill>
            <w14:solidFill>
              <w14:schemeClr w14:val="tx1"/>
            </w14:solidFill>
          </w14:textFill>
        </w:rPr>
        <w:t>授权委托书</w:t>
      </w:r>
    </w:p>
    <w:p w14:paraId="6B19C13D">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761B3015">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586EF8E7">
      <w:pPr>
        <w:pStyle w:val="5"/>
        <w:keepNext w:val="0"/>
        <w:keepLines w:val="0"/>
        <w:pageBreakBefore w:val="0"/>
        <w:wordWrap w:val="0"/>
        <w:overflowPunct/>
        <w:topLinePunct w:val="0"/>
        <w:bidi w:val="0"/>
        <w:spacing w:line="251" w:lineRule="auto"/>
        <w:rPr>
          <w:rFonts w:hint="eastAsia" w:ascii="宋体" w:hAnsi="宋体" w:eastAsia="宋体" w:cs="宋体"/>
          <w:color w:val="000000" w:themeColor="text1"/>
          <w:spacing w:val="0"/>
          <w:highlight w:val="none"/>
          <w14:textFill>
            <w14:solidFill>
              <w14:schemeClr w14:val="tx1"/>
            </w14:solidFill>
          </w14:textFill>
        </w:rPr>
      </w:pPr>
    </w:p>
    <w:p w14:paraId="29794F47">
      <w:pPr>
        <w:keepNext w:val="0"/>
        <w:keepLines w:val="0"/>
        <w:pageBreakBefore w:val="0"/>
        <w:widowControl/>
        <w:kinsoku w:val="0"/>
        <w:wordWrap w:val="0"/>
        <w:overflowPunct/>
        <w:topLinePunct w:val="0"/>
        <w:autoSpaceDE w:val="0"/>
        <w:autoSpaceDN w:val="0"/>
        <w:bidi w:val="0"/>
        <w:adjustRightInd w:val="0"/>
        <w:snapToGrid w:val="0"/>
        <w:spacing w:before="78" w:line="330" w:lineRule="auto"/>
        <w:ind w:firstLine="481"/>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本人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（姓名）系</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（投标人名称）的法定代表人，现委托</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（姓名）为我方代理人。代理人根据授权，以我方名义签署、澄清、说明、补正、递交、撤回、修改</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u w:val="single"/>
          <w:lang w:eastAsia="zh-CN"/>
          <w14:textFill>
            <w14:solidFill>
              <w14:schemeClr w14:val="tx1"/>
            </w14:solidFill>
          </w14:textFill>
        </w:rPr>
        <w:t>（项目名称）</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 xml:space="preserve"> 投标文件、签订合同和处理有关事宜，其法律后果由我方承担。</w:t>
      </w:r>
    </w:p>
    <w:p w14:paraId="61311643">
      <w:pPr>
        <w:keepNext w:val="0"/>
        <w:keepLines w:val="0"/>
        <w:pageBreakBefore w:val="0"/>
        <w:widowControl/>
        <w:kinsoku w:val="0"/>
        <w:wordWrap w:val="0"/>
        <w:overflowPunct/>
        <w:topLinePunct w:val="0"/>
        <w:autoSpaceDE w:val="0"/>
        <w:autoSpaceDN w:val="0"/>
        <w:bidi w:val="0"/>
        <w:adjustRightInd w:val="0"/>
        <w:snapToGrid w:val="0"/>
        <w:spacing w:before="32" w:line="320" w:lineRule="auto"/>
        <w:ind w:left="480" w:right="497"/>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委托期限：至</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年   月    日</w:t>
      </w:r>
      <w:r>
        <w:rPr>
          <w:rFonts w:hint="eastAsia" w:ascii="宋体" w:hAnsi="宋体" w:eastAsia="宋体" w:cs="宋体"/>
          <w:i/>
          <w:iCs/>
          <w:color w:val="000000" w:themeColor="text1"/>
          <w:spacing w:val="0"/>
          <w:sz w:val="25"/>
          <w:szCs w:val="25"/>
          <w:highlight w:val="none"/>
          <w:u w:val="single"/>
          <w14:textFill>
            <w14:solidFill>
              <w14:schemeClr w14:val="tx1"/>
            </w14:solidFill>
          </w14:textFill>
        </w:rPr>
        <w:t>（不得短于招标文件规定的投标有效期）</w:t>
      </w:r>
      <w:r>
        <w:rPr>
          <w:rFonts w:hint="eastAsia" w:ascii="宋体" w:hAnsi="宋体" w:eastAsia="宋体" w:cs="宋体"/>
          <w:color w:val="000000" w:themeColor="text1"/>
          <w:spacing w:val="0"/>
          <w:sz w:val="25"/>
          <w:szCs w:val="2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p>
    <w:p w14:paraId="065F5DA6">
      <w:pPr>
        <w:keepNext w:val="0"/>
        <w:keepLines w:val="0"/>
        <w:pageBreakBefore w:val="0"/>
        <w:widowControl/>
        <w:kinsoku w:val="0"/>
        <w:wordWrap w:val="0"/>
        <w:overflowPunct/>
        <w:topLinePunct w:val="0"/>
        <w:autoSpaceDE w:val="0"/>
        <w:autoSpaceDN w:val="0"/>
        <w:bidi w:val="0"/>
        <w:adjustRightInd w:val="0"/>
        <w:snapToGrid w:val="0"/>
        <w:spacing w:before="32" w:line="320" w:lineRule="auto"/>
        <w:ind w:left="480" w:right="497"/>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代理人无转委托权。</w:t>
      </w:r>
    </w:p>
    <w:p w14:paraId="03D08A77">
      <w:pPr>
        <w:pStyle w:val="5"/>
        <w:keepNext w:val="0"/>
        <w:keepLines w:val="0"/>
        <w:pageBreakBefore w:val="0"/>
        <w:wordWrap w:val="0"/>
        <w:overflowPunct/>
        <w:topLinePunct w:val="0"/>
        <w:bidi w:val="0"/>
        <w:spacing w:line="276" w:lineRule="auto"/>
        <w:rPr>
          <w:rFonts w:hint="eastAsia" w:ascii="宋体" w:hAnsi="宋体" w:eastAsia="宋体" w:cs="宋体"/>
          <w:color w:val="000000" w:themeColor="text1"/>
          <w:spacing w:val="0"/>
          <w:highlight w:val="none"/>
          <w14:textFill>
            <w14:solidFill>
              <w14:schemeClr w14:val="tx1"/>
            </w14:solidFill>
          </w14:textFill>
        </w:rPr>
      </w:pPr>
    </w:p>
    <w:p w14:paraId="43532AC3">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2B7914FB">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37C771EC">
      <w:pPr>
        <w:keepNext w:val="0"/>
        <w:keepLines w:val="0"/>
        <w:pageBreakBefore w:val="0"/>
        <w:wordWrap w:val="0"/>
        <w:overflowPunct/>
        <w:topLinePunct w:val="0"/>
        <w:bidi w:val="0"/>
        <w:spacing w:before="78" w:line="219" w:lineRule="auto"/>
        <w:ind w:left="3123"/>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  标  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67E86849">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4D39F848">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067D7E79">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67B8E691">
      <w:pPr>
        <w:keepNext w:val="0"/>
        <w:keepLines w:val="0"/>
        <w:pageBreakBefore w:val="0"/>
        <w:wordWrap w:val="0"/>
        <w:overflowPunct/>
        <w:topLinePunct w:val="0"/>
        <w:bidi w:val="0"/>
        <w:spacing w:before="79" w:line="219" w:lineRule="auto"/>
        <w:ind w:left="3121"/>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058F6FE5">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084C2FB0">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357963A6">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732A1D8F">
      <w:pPr>
        <w:keepNext w:val="0"/>
        <w:keepLines w:val="0"/>
        <w:pageBreakBefore w:val="0"/>
        <w:wordWrap w:val="0"/>
        <w:overflowPunct/>
        <w:topLinePunct w:val="0"/>
        <w:bidi w:val="0"/>
        <w:spacing w:before="78" w:line="219" w:lineRule="auto"/>
        <w:ind w:left="288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委托代理人：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1B567FA1">
      <w:pPr>
        <w:pStyle w:val="5"/>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3C2BC505">
      <w:pPr>
        <w:pStyle w:val="5"/>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32DFD235">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09CD99D4">
      <w:pPr>
        <w:keepNext w:val="0"/>
        <w:keepLines w:val="0"/>
        <w:pageBreakBefore w:val="0"/>
        <w:wordWrap w:val="0"/>
        <w:overflowPunct/>
        <w:topLinePunct w:val="0"/>
        <w:bidi w:val="0"/>
        <w:spacing w:before="78" w:line="220" w:lineRule="auto"/>
        <w:ind w:left="4201"/>
        <w:jc w:val="right"/>
        <w:rPr>
          <w:rFonts w:hint="eastAsia" w:ascii="宋体" w:hAnsi="宋体" w:eastAsia="宋体" w:cs="宋体"/>
          <w:color w:val="000000" w:themeColor="text1"/>
          <w:spacing w:val="0"/>
          <w:sz w:val="24"/>
          <w:szCs w:val="24"/>
          <w:highlight w:val="none"/>
          <w14:textFill>
            <w14:solidFill>
              <w14:schemeClr w14:val="tx1"/>
            </w14:solidFill>
          </w14:textFill>
        </w:rPr>
      </w:pPr>
    </w:p>
    <w:p w14:paraId="723A21F5">
      <w:pPr>
        <w:keepNext w:val="0"/>
        <w:keepLines w:val="0"/>
        <w:pageBreakBefore w:val="0"/>
        <w:wordWrap w:val="0"/>
        <w:overflowPunct/>
        <w:topLinePunct w:val="0"/>
        <w:bidi w:val="0"/>
        <w:spacing w:before="69"/>
        <w:rPr>
          <w:rFonts w:hint="eastAsia" w:ascii="宋体" w:hAnsi="宋体" w:eastAsia="宋体" w:cs="宋体"/>
          <w:color w:val="000000" w:themeColor="text1"/>
          <w:spacing w:val="0"/>
          <w:highlight w:val="none"/>
          <w14:textFill>
            <w14:solidFill>
              <w14:schemeClr w14:val="tx1"/>
            </w14:solidFill>
          </w14:textFill>
        </w:rPr>
      </w:pPr>
    </w:p>
    <w:p w14:paraId="1E0667E6">
      <w:pPr>
        <w:keepNext w:val="0"/>
        <w:keepLines w:val="0"/>
        <w:pageBreakBefore w:val="0"/>
        <w:wordWrap w:val="0"/>
        <w:overflowPunct/>
        <w:topLinePunct w:val="0"/>
        <w:bidi w:val="0"/>
        <w:spacing w:before="69"/>
        <w:rPr>
          <w:rFonts w:hint="eastAsia" w:ascii="宋体" w:hAnsi="宋体" w:eastAsia="宋体" w:cs="宋体"/>
          <w:color w:val="000000" w:themeColor="text1"/>
          <w:spacing w:val="0"/>
          <w:highlight w:val="none"/>
          <w14:textFill>
            <w14:solidFill>
              <w14:schemeClr w14:val="tx1"/>
            </w14:solidFill>
          </w14:textFill>
        </w:rPr>
      </w:pPr>
    </w:p>
    <w:tbl>
      <w:tblPr>
        <w:tblStyle w:val="14"/>
        <w:tblW w:w="5600" w:type="dxa"/>
        <w:tblInd w:w="230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00"/>
      </w:tblGrid>
      <w:tr w14:paraId="2127AB6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2570" w:hRule="atLeast"/>
        </w:trPr>
        <w:tc>
          <w:tcPr>
            <w:tcW w:w="5600" w:type="dxa"/>
            <w:vAlign w:val="top"/>
          </w:tcPr>
          <w:p w14:paraId="06290FA3">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73D5EEA8">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4189E6F9">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31D9240F">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30F2804B">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376A489E">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5A6EA383">
            <w:pPr>
              <w:pStyle w:val="27"/>
              <w:keepNext w:val="0"/>
              <w:keepLines w:val="0"/>
              <w:pageBreakBefore w:val="0"/>
              <w:wordWrap w:val="0"/>
              <w:overflowPunct/>
              <w:topLinePunct w:val="0"/>
              <w:bidi w:val="0"/>
              <w:spacing w:line="246" w:lineRule="auto"/>
              <w:rPr>
                <w:rFonts w:hint="eastAsia" w:ascii="宋体" w:hAnsi="宋体" w:eastAsia="宋体" w:cs="宋体"/>
                <w:color w:val="000000" w:themeColor="text1"/>
                <w:spacing w:val="0"/>
                <w:highlight w:val="none"/>
                <w14:textFill>
                  <w14:solidFill>
                    <w14:schemeClr w14:val="tx1"/>
                  </w14:solidFill>
                </w14:textFill>
              </w:rPr>
            </w:pPr>
          </w:p>
          <w:p w14:paraId="46299238">
            <w:pPr>
              <w:keepNext w:val="0"/>
              <w:keepLines w:val="0"/>
              <w:pageBreakBefore w:val="0"/>
              <w:wordWrap w:val="0"/>
              <w:overflowPunct/>
              <w:topLinePunct w:val="0"/>
              <w:bidi w:val="0"/>
              <w:spacing w:before="78" w:line="220" w:lineRule="auto"/>
              <w:ind w:left="71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委托代理人身份证</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扫描件</w:t>
            </w:r>
            <w:r>
              <w:rPr>
                <w:rFonts w:hint="eastAsia" w:ascii="宋体" w:hAnsi="宋体" w:eastAsia="宋体" w:cs="宋体"/>
                <w:color w:val="000000" w:themeColor="text1"/>
                <w:spacing w:val="0"/>
                <w:sz w:val="24"/>
                <w:szCs w:val="24"/>
                <w:highlight w:val="none"/>
                <w14:textFill>
                  <w14:solidFill>
                    <w14:schemeClr w14:val="tx1"/>
                  </w14:solidFill>
                </w14:textFill>
              </w:rPr>
              <w:t>正、反面</w:t>
            </w:r>
          </w:p>
        </w:tc>
      </w:tr>
    </w:tbl>
    <w:p w14:paraId="1CD2E23D">
      <w:pPr>
        <w:pStyle w:val="5"/>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414108A7">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sectPr>
          <w:footerReference r:id="rId17"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3DBB8BC">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40" w:name="_Toc25947"/>
      <w:r>
        <w:rPr>
          <w:rFonts w:hint="eastAsia" w:ascii="宋体" w:hAnsi="宋体" w:eastAsia="宋体" w:cs="宋体"/>
          <w:b/>
          <w:bCs/>
          <w:color w:val="000000" w:themeColor="text1"/>
          <w:spacing w:val="0"/>
          <w:sz w:val="24"/>
          <w:szCs w:val="24"/>
          <w:highlight w:val="none"/>
          <w14:textFill>
            <w14:solidFill>
              <w14:schemeClr w14:val="tx1"/>
            </w14:solidFill>
          </w14:textFill>
        </w:rPr>
        <w:t>格式五 法定代表人身份证明</w:t>
      </w:r>
      <w:bookmarkEnd w:id="240"/>
    </w:p>
    <w:p w14:paraId="64F0910B">
      <w:pPr>
        <w:pStyle w:val="5"/>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2888A3EE">
      <w:pPr>
        <w:pStyle w:val="5"/>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10601B29">
      <w:pPr>
        <w:keepNext w:val="0"/>
        <w:keepLines w:val="0"/>
        <w:pageBreakBefore w:val="0"/>
        <w:wordWrap w:val="0"/>
        <w:overflowPunct/>
        <w:topLinePunct w:val="0"/>
        <w:bidi w:val="0"/>
        <w:spacing w:before="98" w:line="220" w:lineRule="auto"/>
        <w:ind w:left="3183"/>
        <w:rPr>
          <w:rFonts w:hint="eastAsia" w:ascii="宋体" w:hAnsi="宋体" w:eastAsia="宋体" w:cs="宋体"/>
          <w:color w:val="000000" w:themeColor="text1"/>
          <w:spacing w:val="0"/>
          <w:sz w:val="30"/>
          <w:szCs w:val="30"/>
          <w:highlight w:val="none"/>
          <w14:textFill>
            <w14:solidFill>
              <w14:schemeClr w14:val="tx1"/>
            </w14:solidFill>
          </w14:textFill>
        </w:rPr>
      </w:pPr>
      <w:bookmarkStart w:id="241" w:name="bookmark152"/>
      <w:bookmarkEnd w:id="241"/>
      <w:r>
        <w:rPr>
          <w:rFonts w:hint="eastAsia" w:ascii="宋体" w:hAnsi="宋体" w:eastAsia="宋体" w:cs="宋体"/>
          <w:b/>
          <w:bCs/>
          <w:color w:val="000000" w:themeColor="text1"/>
          <w:spacing w:val="0"/>
          <w:sz w:val="30"/>
          <w:szCs w:val="30"/>
          <w:highlight w:val="none"/>
          <w14:textFill>
            <w14:solidFill>
              <w14:schemeClr w14:val="tx1"/>
            </w14:solidFill>
          </w14:textFill>
        </w:rPr>
        <w:t>法定代表人身份证明</w:t>
      </w:r>
    </w:p>
    <w:p w14:paraId="176A168B">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5B8D004F">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47A552CC">
      <w:pPr>
        <w:pStyle w:val="5"/>
        <w:keepNext w:val="0"/>
        <w:keepLines w:val="0"/>
        <w:pageBreakBefore w:val="0"/>
        <w:wordWrap w:val="0"/>
        <w:overflowPunct/>
        <w:topLinePunct w:val="0"/>
        <w:bidi w:val="0"/>
        <w:spacing w:line="251" w:lineRule="auto"/>
        <w:rPr>
          <w:rFonts w:hint="eastAsia" w:ascii="宋体" w:hAnsi="宋体" w:eastAsia="宋体" w:cs="宋体"/>
          <w:color w:val="000000" w:themeColor="text1"/>
          <w:spacing w:val="0"/>
          <w:highlight w:val="none"/>
          <w14:textFill>
            <w14:solidFill>
              <w14:schemeClr w14:val="tx1"/>
            </w14:solidFill>
          </w14:textFill>
        </w:rPr>
      </w:pPr>
    </w:p>
    <w:p w14:paraId="6441890C">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投标人名称：</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p>
    <w:p w14:paraId="78081EA7">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姓名：</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性别：</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年龄：</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职务：</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p>
    <w:p w14:paraId="572BE33E">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系</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（投标人名称）的法定代表人。</w:t>
      </w:r>
    </w:p>
    <w:p w14:paraId="7898B9FA">
      <w:pPr>
        <w:keepNext w:val="0"/>
        <w:keepLines w:val="0"/>
        <w:pageBreakBefore w:val="0"/>
        <w:wordWrap w:val="0"/>
        <w:overflowPunct/>
        <w:topLinePunct w:val="0"/>
        <w:bidi w:val="0"/>
        <w:adjustRightInd w:val="0"/>
        <w:snapToGrid w:val="0"/>
        <w:rPr>
          <w:rFonts w:hint="eastAsia" w:ascii="宋体" w:hAnsi="宋体" w:eastAsia="宋体" w:cs="宋体"/>
          <w:snapToGrid w:val="0"/>
          <w:color w:val="000000" w:themeColor="text1"/>
          <w:spacing w:val="0"/>
          <w:ker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 xml:space="preserve">    特此证明。</w:t>
      </w:r>
    </w:p>
    <w:p w14:paraId="1DA8C0EE">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46E051EF">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31074CD7">
      <w:pPr>
        <w:pStyle w:val="5"/>
        <w:keepNext w:val="0"/>
        <w:keepLines w:val="0"/>
        <w:pageBreakBefore w:val="0"/>
        <w:wordWrap w:val="0"/>
        <w:overflowPunct/>
        <w:topLinePunct w:val="0"/>
        <w:bidi w:val="0"/>
        <w:spacing w:line="278" w:lineRule="auto"/>
        <w:rPr>
          <w:rFonts w:hint="eastAsia" w:ascii="宋体" w:hAnsi="宋体" w:eastAsia="宋体" w:cs="宋体"/>
          <w:color w:val="000000" w:themeColor="text1"/>
          <w:spacing w:val="0"/>
          <w:highlight w:val="none"/>
          <w14:textFill>
            <w14:solidFill>
              <w14:schemeClr w14:val="tx1"/>
            </w14:solidFill>
          </w14:textFill>
        </w:rPr>
      </w:pPr>
    </w:p>
    <w:p w14:paraId="7DE923C3">
      <w:pPr>
        <w:keepNext w:val="0"/>
        <w:keepLines w:val="0"/>
        <w:pageBreakBefore w:val="0"/>
        <w:wordWrap w:val="0"/>
        <w:overflowPunct/>
        <w:topLinePunct w:val="0"/>
        <w:bidi w:val="0"/>
        <w:spacing w:before="78"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5195DD81">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355329DE">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6910EDC1">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14A7032E">
      <w:pPr>
        <w:keepNext w:val="0"/>
        <w:keepLines w:val="0"/>
        <w:pageBreakBefore w:val="0"/>
        <w:wordWrap w:val="0"/>
        <w:overflowPunct/>
        <w:topLinePunct w:val="0"/>
        <w:bidi w:val="0"/>
        <w:spacing w:before="79"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109F911F">
      <w:pPr>
        <w:pStyle w:val="5"/>
        <w:keepNext w:val="0"/>
        <w:keepLines w:val="0"/>
        <w:pageBreakBefore w:val="0"/>
        <w:wordWrap w:val="0"/>
        <w:overflowPunct/>
        <w:topLinePunct w:val="0"/>
        <w:bidi w:val="0"/>
        <w:spacing w:line="257" w:lineRule="auto"/>
        <w:jc w:val="right"/>
        <w:rPr>
          <w:rFonts w:hint="eastAsia" w:ascii="宋体" w:hAnsi="宋体" w:eastAsia="宋体" w:cs="宋体"/>
          <w:color w:val="000000" w:themeColor="text1"/>
          <w:spacing w:val="0"/>
          <w:highlight w:val="none"/>
          <w14:textFill>
            <w14:solidFill>
              <w14:schemeClr w14:val="tx1"/>
            </w14:solidFill>
          </w14:textFill>
        </w:rPr>
      </w:pPr>
    </w:p>
    <w:p w14:paraId="24B1B1E8">
      <w:pPr>
        <w:pStyle w:val="5"/>
        <w:keepNext w:val="0"/>
        <w:keepLines w:val="0"/>
        <w:pageBreakBefore w:val="0"/>
        <w:wordWrap w:val="0"/>
        <w:overflowPunct/>
        <w:topLinePunct w:val="0"/>
        <w:bidi w:val="0"/>
        <w:spacing w:line="257" w:lineRule="auto"/>
        <w:jc w:val="right"/>
        <w:rPr>
          <w:rFonts w:hint="eastAsia" w:ascii="宋体" w:hAnsi="宋体" w:eastAsia="宋体" w:cs="宋体"/>
          <w:color w:val="000000" w:themeColor="text1"/>
          <w:spacing w:val="0"/>
          <w:highlight w:val="none"/>
          <w14:textFill>
            <w14:solidFill>
              <w14:schemeClr w14:val="tx1"/>
            </w14:solidFill>
          </w14:textFill>
        </w:rPr>
      </w:pPr>
    </w:p>
    <w:p w14:paraId="033908D8">
      <w:pPr>
        <w:pStyle w:val="5"/>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4CB3CC8E">
      <w:pPr>
        <w:pStyle w:val="5"/>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1A118B4E">
      <w:pPr>
        <w:pStyle w:val="5"/>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29B7FFB7">
      <w:pPr>
        <w:pStyle w:val="5"/>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3FB212A0">
      <w:pPr>
        <w:pStyle w:val="5"/>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661DD784">
      <w:pPr>
        <w:pStyle w:val="5"/>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4F8DA62D">
      <w:pPr>
        <w:pStyle w:val="5"/>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67391F7A">
      <w:pPr>
        <w:pStyle w:val="5"/>
        <w:keepNext w:val="0"/>
        <w:keepLines w:val="0"/>
        <w:pageBreakBefore w:val="0"/>
        <w:wordWrap w:val="0"/>
        <w:overflowPunct/>
        <w:topLinePunct w:val="0"/>
        <w:bidi w:val="0"/>
        <w:spacing w:before="1" w:line="2510" w:lineRule="exact"/>
        <w:ind w:firstLine="2534"/>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position w:val="-50"/>
          <w:highlight w:val="none"/>
          <w14:textFill>
            <w14:solidFill>
              <w14:schemeClr w14:val="tx1"/>
            </w14:solidFill>
          </w14:textFill>
        </w:rPr>
        <mc:AlternateContent>
          <mc:Choice Requires="wpg">
            <w:drawing>
              <wp:inline distT="0" distB="0" distL="114300" distR="114300">
                <wp:extent cx="2835275" cy="1593850"/>
                <wp:effectExtent l="12700" t="0" r="28575" b="12700"/>
                <wp:docPr id="13" name="组合 13"/>
                <wp:cNvGraphicFramePr/>
                <a:graphic xmlns:a="http://schemas.openxmlformats.org/drawingml/2006/main">
                  <a:graphicData uri="http://schemas.microsoft.com/office/word/2010/wordprocessingGroup">
                    <wpg:wgp>
                      <wpg:cNvGrpSpPr>
                        <a:grpSpLocks noRot="1"/>
                      </wpg:cNvGrpSpPr>
                      <wpg:grpSpPr>
                        <a:xfrm>
                          <a:off x="0" y="0"/>
                          <a:ext cx="2835275" cy="1593850"/>
                          <a:chOff x="0" y="0"/>
                          <a:chExt cx="4465" cy="2510"/>
                        </a:xfrm>
                      </wpg:grpSpPr>
                      <pic:pic xmlns:pic="http://schemas.openxmlformats.org/drawingml/2006/picture">
                        <pic:nvPicPr>
                          <pic:cNvPr id="11" name="图片 5"/>
                          <pic:cNvPicPr>
                            <a:picLocks noChangeAspect="1"/>
                          </pic:cNvPicPr>
                        </pic:nvPicPr>
                        <pic:blipFill>
                          <a:blip r:embed="rId56"/>
                          <a:stretch>
                            <a:fillRect/>
                          </a:stretch>
                        </pic:blipFill>
                        <pic:spPr>
                          <a:xfrm>
                            <a:off x="0" y="0"/>
                            <a:ext cx="4465" cy="2510"/>
                          </a:xfrm>
                          <a:prstGeom prst="rect">
                            <a:avLst/>
                          </a:prstGeom>
                          <a:noFill/>
                          <a:ln>
                            <a:noFill/>
                          </a:ln>
                        </pic:spPr>
                      </pic:pic>
                      <wps:wsp>
                        <wps:cNvPr id="12" name="文本框 12"/>
                        <wps:cNvSpPr txBox="1"/>
                        <wps:spPr>
                          <a:xfrm>
                            <a:off x="-20" y="-20"/>
                            <a:ext cx="4505" cy="2550"/>
                          </a:xfrm>
                          <a:prstGeom prst="rect">
                            <a:avLst/>
                          </a:prstGeom>
                          <a:noFill/>
                          <a:ln>
                            <a:noFill/>
                          </a:ln>
                        </wps:spPr>
                        <wps:txbx>
                          <w:txbxContent>
                            <w:p w14:paraId="30B2BA37">
                              <w:pPr>
                                <w:spacing w:line="249" w:lineRule="auto"/>
                                <w:rPr>
                                  <w:highlight w:val="none"/>
                                </w:rPr>
                              </w:pPr>
                            </w:p>
                            <w:p w14:paraId="0A32F196">
                              <w:pPr>
                                <w:spacing w:line="249" w:lineRule="auto"/>
                                <w:rPr>
                                  <w:highlight w:val="none"/>
                                </w:rPr>
                              </w:pPr>
                            </w:p>
                            <w:p w14:paraId="6C01FF1E">
                              <w:pPr>
                                <w:spacing w:line="249" w:lineRule="auto"/>
                                <w:rPr>
                                  <w:highlight w:val="none"/>
                                </w:rPr>
                              </w:pPr>
                            </w:p>
                            <w:p w14:paraId="5F468A72">
                              <w:pPr>
                                <w:spacing w:line="249" w:lineRule="auto"/>
                                <w:rPr>
                                  <w:highlight w:val="none"/>
                                </w:rPr>
                              </w:pPr>
                            </w:p>
                            <w:p w14:paraId="3437CEDB">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扫描件</w:t>
                              </w:r>
                              <w:r>
                                <w:rPr>
                                  <w:rFonts w:ascii="宋体" w:hAnsi="宋体" w:eastAsia="宋体" w:cs="宋体"/>
                                  <w:spacing w:val="-1"/>
                                  <w:sz w:val="24"/>
                                  <w:szCs w:val="24"/>
                                  <w:highlight w:val="none"/>
                                </w:rPr>
                                <w:t>正、反面</w:t>
                              </w:r>
                            </w:p>
                          </w:txbxContent>
                        </wps:txbx>
                        <wps:bodyPr lIns="0" tIns="0" rIns="0" bIns="0" upright="1"/>
                      </wps:wsp>
                    </wpg:wgp>
                  </a:graphicData>
                </a:graphic>
              </wp:inline>
            </w:drawing>
          </mc:Choice>
          <mc:Fallback>
            <w:pict>
              <v:group id="_x0000_s1026" o:spid="_x0000_s1026" o:spt="203" style="height:125.5pt;width:223.25pt;" coordsize="4465,2510" o:gfxdata="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B9Qpn41gAAAAUBAAAPAAAAAAAAAAEA&#10;IAAAACIAAABkcnMvZG93bnJldi54bWxQSwECFAAUAAAACACHTuJA/8csccQCAADsBgAADgAAAAAA&#10;AAABACAAAAAlAQAAZHJzL2Uyb0RvYy54bWxQSwECFAAKAAAAAACHTuJAAAAAAAAAAAAAAAAACgAA&#10;AAAAAAAAABAAAAAVBAAAZHJzL21lZGlhL1BLAQIUABQAAAAIAIdO4kCQfRgQ5QYAAOAGAAAUAAAA&#10;AAAAAAEAIAAAAD0EAABkcnMvbWVkaWEvaW1hZ2UxLnBuZ1BLBQYAAAAACgAKAFICAAC8DgAAAAA=&#10;">
                <o:lock v:ext="edit" rotation="t" aspectratio="f"/>
                <v:shape id="图片 5" o:spid="_x0000_s1026" o:spt="75" type="#_x0000_t75" style="position:absolute;left:0;top:0;height:2510;width:4465;" filled="f" o:preferrelative="t" stroked="f" coordsize="21600,21600" o:gfxdata="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RLC28AAAA&#10;2wAAAA8AAAAAAAAAAQAgAAAAIgAAAGRycy9kb3ducmV2LnhtbFBLAQIUABQAAAAIAIdO4kAzLwWe&#10;OwAAADkAAAAQAAAAAAAAAAEAIAAAAAsBAABkcnMvc2hhcGV4bWwueG1sUEsFBgAAAAAGAAYAWwEA&#10;ALUDAAAAAA==&#10;">
                  <v:fill on="f" focussize="0,0"/>
                  <v:stroke on="f"/>
                  <v:imagedata r:id="rId56" o:title=""/>
                  <o:lock v:ext="edit" aspectratio="t"/>
                </v:shape>
                <v:shape id="_x0000_s1026" o:spid="_x0000_s1026" o:spt="202" type="#_x0000_t202" style="position:absolute;left:-20;top:-20;height:2550;width:450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0B2BA37">
                        <w:pPr>
                          <w:spacing w:line="249" w:lineRule="auto"/>
                          <w:rPr>
                            <w:highlight w:val="none"/>
                          </w:rPr>
                        </w:pPr>
                      </w:p>
                      <w:p w14:paraId="0A32F196">
                        <w:pPr>
                          <w:spacing w:line="249" w:lineRule="auto"/>
                          <w:rPr>
                            <w:highlight w:val="none"/>
                          </w:rPr>
                        </w:pPr>
                      </w:p>
                      <w:p w14:paraId="6C01FF1E">
                        <w:pPr>
                          <w:spacing w:line="249" w:lineRule="auto"/>
                          <w:rPr>
                            <w:highlight w:val="none"/>
                          </w:rPr>
                        </w:pPr>
                      </w:p>
                      <w:p w14:paraId="5F468A72">
                        <w:pPr>
                          <w:spacing w:line="249" w:lineRule="auto"/>
                          <w:rPr>
                            <w:highlight w:val="none"/>
                          </w:rPr>
                        </w:pPr>
                      </w:p>
                      <w:p w14:paraId="3437CEDB">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扫描件</w:t>
                        </w:r>
                        <w:r>
                          <w:rPr>
                            <w:rFonts w:ascii="宋体" w:hAnsi="宋体" w:eastAsia="宋体" w:cs="宋体"/>
                            <w:spacing w:val="-1"/>
                            <w:sz w:val="24"/>
                            <w:szCs w:val="24"/>
                            <w:highlight w:val="none"/>
                          </w:rPr>
                          <w:t>正、反面</w:t>
                        </w:r>
                      </w:p>
                    </w:txbxContent>
                  </v:textbox>
                </v:shape>
                <w10:wrap type="none"/>
                <w10:anchorlock/>
              </v:group>
            </w:pict>
          </mc:Fallback>
        </mc:AlternateContent>
      </w:r>
    </w:p>
    <w:p w14:paraId="2BB2EBC8">
      <w:pPr>
        <w:keepNext w:val="0"/>
        <w:keepLines w:val="0"/>
        <w:pageBreakBefore w:val="0"/>
        <w:wordWrap w:val="0"/>
        <w:overflowPunct/>
        <w:topLinePunct w:val="0"/>
        <w:bidi w:val="0"/>
        <w:spacing w:line="2510" w:lineRule="exact"/>
        <w:rPr>
          <w:rFonts w:hint="eastAsia" w:ascii="宋体" w:hAnsi="宋体" w:eastAsia="宋体" w:cs="宋体"/>
          <w:color w:val="000000" w:themeColor="text1"/>
          <w:spacing w:val="0"/>
          <w:highlight w:val="none"/>
          <w14:textFill>
            <w14:solidFill>
              <w14:schemeClr w14:val="tx1"/>
            </w14:solidFill>
          </w14:textFill>
        </w:rPr>
        <w:sectPr>
          <w:footerReference r:id="rId18"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DAF3FC7">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42" w:name="_Toc12961"/>
      <w:r>
        <w:rPr>
          <w:rFonts w:hint="eastAsia" w:ascii="宋体" w:hAnsi="宋体" w:eastAsia="宋体" w:cs="宋体"/>
          <w:b/>
          <w:bCs/>
          <w:color w:val="000000" w:themeColor="text1"/>
          <w:spacing w:val="0"/>
          <w:sz w:val="24"/>
          <w:szCs w:val="24"/>
          <w:highlight w:val="none"/>
          <w14:textFill>
            <w14:solidFill>
              <w14:schemeClr w14:val="tx1"/>
            </w14:solidFill>
          </w14:textFill>
        </w:rPr>
        <w:t>格式六 联合体协议书</w:t>
      </w:r>
      <w:bookmarkEnd w:id="242"/>
    </w:p>
    <w:p w14:paraId="7EE6374E">
      <w:pPr>
        <w:keepNext w:val="0"/>
        <w:keepLines w:val="0"/>
        <w:pageBreakBefore w:val="0"/>
        <w:wordWrap w:val="0"/>
        <w:overflowPunct/>
        <w:topLinePunct w:val="0"/>
        <w:bidi w:val="0"/>
        <w:spacing w:before="98" w:line="219" w:lineRule="auto"/>
        <w:ind w:left="3638"/>
        <w:rPr>
          <w:rFonts w:hint="eastAsia" w:ascii="宋体" w:hAnsi="宋体" w:eastAsia="宋体" w:cs="宋体"/>
          <w:color w:val="000000" w:themeColor="text1"/>
          <w:spacing w:val="0"/>
          <w:sz w:val="30"/>
          <w:szCs w:val="30"/>
          <w:highlight w:val="none"/>
          <w14:textFill>
            <w14:solidFill>
              <w14:schemeClr w14:val="tx1"/>
            </w14:solidFill>
          </w14:textFill>
        </w:rPr>
      </w:pPr>
      <w:bookmarkStart w:id="243" w:name="bookmark153"/>
      <w:bookmarkEnd w:id="243"/>
      <w:r>
        <w:rPr>
          <w:rFonts w:hint="eastAsia" w:ascii="宋体" w:hAnsi="宋体" w:eastAsia="宋体" w:cs="宋体"/>
          <w:b/>
          <w:bCs/>
          <w:color w:val="000000" w:themeColor="text1"/>
          <w:spacing w:val="0"/>
          <w:sz w:val="30"/>
          <w:szCs w:val="30"/>
          <w:highlight w:val="none"/>
          <w14:textFill>
            <w14:solidFill>
              <w14:schemeClr w14:val="tx1"/>
            </w14:solidFill>
          </w14:textFill>
        </w:rPr>
        <w:t>联合体协议书</w:t>
      </w:r>
    </w:p>
    <w:p w14:paraId="66B66C30">
      <w:pPr>
        <w:pStyle w:val="5"/>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2B0D39DC">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牵头人名称： </w:t>
      </w:r>
    </w:p>
    <w:p w14:paraId="0F9C623A">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法定代表人： </w:t>
      </w:r>
    </w:p>
    <w:p w14:paraId="61337983">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法定住所：</w:t>
      </w:r>
    </w:p>
    <w:p w14:paraId="0B7EEC45">
      <w:pPr>
        <w:keepNext w:val="0"/>
        <w:keepLines w:val="0"/>
        <w:pageBreakBefore w:val="0"/>
        <w:wordWrap w:val="0"/>
        <w:overflowPunct/>
        <w:topLinePunct w:val="0"/>
        <w:bidi w:val="0"/>
        <w:outlineLvl w:val="9"/>
        <w:rPr>
          <w:rFonts w:hint="eastAsia" w:ascii="宋体" w:hAnsi="宋体" w:eastAsia="宋体" w:cs="宋体"/>
          <w:color w:val="000000" w:themeColor="text1"/>
          <w:spacing w:val="0"/>
          <w:highlight w:val="none"/>
          <w14:textFill>
            <w14:solidFill>
              <w14:schemeClr w14:val="tx1"/>
            </w14:solidFill>
          </w14:textFill>
        </w:rPr>
      </w:pPr>
    </w:p>
    <w:p w14:paraId="207AD2AE">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成员二名称： </w:t>
      </w:r>
    </w:p>
    <w:p w14:paraId="35C3774A">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法定代表人： </w:t>
      </w:r>
    </w:p>
    <w:p w14:paraId="4A1D6D63">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法定住所：</w:t>
      </w:r>
    </w:p>
    <w:p w14:paraId="7C0F8432">
      <w:pPr>
        <w:keepNext w:val="0"/>
        <w:keepLines w:val="0"/>
        <w:pageBreakBefore w:val="0"/>
        <w:widowControl/>
        <w:kinsoku w:val="0"/>
        <w:wordWrap w:val="0"/>
        <w:overflowPunct/>
        <w:topLinePunct w:val="0"/>
        <w:autoSpaceDE w:val="0"/>
        <w:autoSpaceDN w:val="0"/>
        <w:bidi w:val="0"/>
        <w:adjustRightInd w:val="0"/>
        <w:snapToGrid w:val="0"/>
        <w:spacing w:before="32" w:line="264" w:lineRule="auto"/>
        <w:ind w:left="43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p w14:paraId="09D55383">
      <w:pPr>
        <w:keepNext w:val="0"/>
        <w:keepLines w:val="0"/>
        <w:pageBreakBefore w:val="0"/>
        <w:widowControl/>
        <w:kinsoku w:val="0"/>
        <w:wordWrap w:val="0"/>
        <w:overflowPunct/>
        <w:topLinePunct w:val="0"/>
        <w:autoSpaceDE w:val="0"/>
        <w:autoSpaceDN w:val="0"/>
        <w:bidi w:val="0"/>
        <w:adjustRightInd w:val="0"/>
        <w:snapToGrid w:val="0"/>
        <w:spacing w:before="61" w:line="264" w:lineRule="auto"/>
        <w:ind w:firstLine="422"/>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上述各成员单位经过友好协商，自愿组成联合体，共同参加（项目名称）（以下简 称“本项目 ”）的施工投标并争取赢得本项目施工承包合同（以下简称合同）。现就联合体投标事宜订立如下协议：</w:t>
      </w:r>
    </w:p>
    <w:p w14:paraId="470AEF9A">
      <w:pPr>
        <w:keepNext w:val="0"/>
        <w:keepLines w:val="0"/>
        <w:pageBreakBefore w:val="0"/>
        <w:widowControl/>
        <w:kinsoku w:val="0"/>
        <w:wordWrap w:val="0"/>
        <w:overflowPunct/>
        <w:topLinePunct w:val="0"/>
        <w:autoSpaceDE w:val="0"/>
        <w:autoSpaceDN w:val="0"/>
        <w:bidi w:val="0"/>
        <w:adjustRightInd w:val="0"/>
        <w:snapToGrid w:val="0"/>
        <w:spacing w:before="33" w:line="264" w:lineRule="auto"/>
        <w:ind w:left="499"/>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．（某成员单位名称）为联合体牵头人。</w:t>
      </w:r>
    </w:p>
    <w:p w14:paraId="01E61A89">
      <w:pPr>
        <w:keepNext w:val="0"/>
        <w:keepLines w:val="0"/>
        <w:pageBreakBefore w:val="0"/>
        <w:widowControl/>
        <w:kinsoku w:val="0"/>
        <w:wordWrap w:val="0"/>
        <w:overflowPunct/>
        <w:topLinePunct w:val="0"/>
        <w:autoSpaceDE w:val="0"/>
        <w:autoSpaceDN w:val="0"/>
        <w:bidi w:val="0"/>
        <w:adjustRightInd w:val="0"/>
        <w:snapToGrid w:val="0"/>
        <w:spacing w:before="156" w:line="264" w:lineRule="auto"/>
        <w:ind w:left="1" w:firstLine="474"/>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1F9A22CE">
      <w:pPr>
        <w:keepNext w:val="0"/>
        <w:keepLines w:val="0"/>
        <w:pageBreakBefore w:val="0"/>
        <w:widowControl/>
        <w:kinsoku w:val="0"/>
        <w:wordWrap w:val="0"/>
        <w:overflowPunct/>
        <w:topLinePunct w:val="0"/>
        <w:autoSpaceDE w:val="0"/>
        <w:autoSpaceDN w:val="0"/>
        <w:bidi w:val="0"/>
        <w:adjustRightInd w:val="0"/>
        <w:snapToGrid w:val="0"/>
        <w:spacing w:before="153" w:line="264" w:lineRule="auto"/>
        <w:ind w:left="2" w:firstLine="47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 ．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4ADCDF28">
      <w:pPr>
        <w:keepNext w:val="0"/>
        <w:keepLines w:val="0"/>
        <w:pageBreakBefore w:val="0"/>
        <w:widowControl/>
        <w:kinsoku w:val="0"/>
        <w:wordWrap w:val="0"/>
        <w:overflowPunct/>
        <w:topLinePunct w:val="0"/>
        <w:autoSpaceDE w:val="0"/>
        <w:autoSpaceDN w:val="0"/>
        <w:bidi w:val="0"/>
        <w:adjustRightInd w:val="0"/>
        <w:snapToGrid w:val="0"/>
        <w:spacing w:before="154" w:line="264" w:lineRule="auto"/>
        <w:ind w:left="475"/>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244" w:name="_Toc5365"/>
      <w:bookmarkStart w:id="245" w:name="_Toc32149"/>
      <w:r>
        <w:rPr>
          <w:rFonts w:hint="eastAsia" w:ascii="宋体" w:hAnsi="宋体" w:eastAsia="宋体" w:cs="宋体"/>
          <w:color w:val="000000" w:themeColor="text1"/>
          <w:spacing w:val="0"/>
          <w:sz w:val="24"/>
          <w:szCs w:val="24"/>
          <w:highlight w:val="none"/>
          <w14:textFill>
            <w14:solidFill>
              <w14:schemeClr w14:val="tx1"/>
            </w14:solidFill>
          </w14:textFill>
        </w:rPr>
        <w:t>4 ．联合体各成员单位内部的职责分工如下：。</w:t>
      </w:r>
      <w:bookmarkEnd w:id="244"/>
      <w:bookmarkEnd w:id="245"/>
    </w:p>
    <w:p w14:paraId="66972B38">
      <w:pPr>
        <w:keepNext w:val="0"/>
        <w:keepLines w:val="0"/>
        <w:pageBreakBefore w:val="0"/>
        <w:widowControl/>
        <w:kinsoku w:val="0"/>
        <w:wordWrap w:val="0"/>
        <w:overflowPunct/>
        <w:topLinePunct w:val="0"/>
        <w:autoSpaceDE w:val="0"/>
        <w:autoSpaceDN w:val="0"/>
        <w:bidi w:val="0"/>
        <w:adjustRightInd w:val="0"/>
        <w:snapToGrid w:val="0"/>
        <w:spacing w:before="152" w:line="264" w:lineRule="auto"/>
        <w:ind w:right="71" w:firstLine="483"/>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 ．投标工作和联合体在中标后工程实施过程中的有关费用按各自承担的工作量分摊。</w:t>
      </w:r>
    </w:p>
    <w:p w14:paraId="16602AE1">
      <w:pPr>
        <w:keepNext w:val="0"/>
        <w:keepLines w:val="0"/>
        <w:pageBreakBefore w:val="0"/>
        <w:widowControl/>
        <w:kinsoku w:val="0"/>
        <w:wordWrap w:val="0"/>
        <w:overflowPunct/>
        <w:topLinePunct w:val="0"/>
        <w:autoSpaceDE w:val="0"/>
        <w:autoSpaceDN w:val="0"/>
        <w:bidi w:val="0"/>
        <w:adjustRightInd w:val="0"/>
        <w:snapToGrid w:val="0"/>
        <w:spacing w:before="153" w:line="264" w:lineRule="auto"/>
        <w:ind w:left="4" w:right="71" w:firstLine="477"/>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 ．联合体中标后，本联合体协议是合同的附件，对联合体各成员单位有合同约束力。</w:t>
      </w:r>
    </w:p>
    <w:p w14:paraId="4A791BDA">
      <w:pPr>
        <w:keepNext w:val="0"/>
        <w:keepLines w:val="0"/>
        <w:pageBreakBefore w:val="0"/>
        <w:widowControl/>
        <w:kinsoku w:val="0"/>
        <w:wordWrap w:val="0"/>
        <w:overflowPunct/>
        <w:topLinePunct w:val="0"/>
        <w:autoSpaceDE w:val="0"/>
        <w:autoSpaceDN w:val="0"/>
        <w:bidi w:val="0"/>
        <w:adjustRightInd w:val="0"/>
        <w:snapToGrid w:val="0"/>
        <w:spacing w:before="157" w:line="264" w:lineRule="auto"/>
        <w:ind w:left="6" w:right="71" w:firstLine="473"/>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 ．本协议书自签署之日起生效，联合体未中标或者中标时合同履行完毕后自动失效。</w:t>
      </w:r>
    </w:p>
    <w:p w14:paraId="45E52A06">
      <w:pPr>
        <w:keepNext w:val="0"/>
        <w:keepLines w:val="0"/>
        <w:pageBreakBefore w:val="0"/>
        <w:widowControl/>
        <w:kinsoku w:val="0"/>
        <w:wordWrap w:val="0"/>
        <w:overflowPunct/>
        <w:topLinePunct w:val="0"/>
        <w:autoSpaceDE w:val="0"/>
        <w:autoSpaceDN w:val="0"/>
        <w:bidi w:val="0"/>
        <w:adjustRightInd w:val="0"/>
        <w:snapToGrid w:val="0"/>
        <w:spacing w:before="152" w:line="264" w:lineRule="auto"/>
        <w:ind w:left="486"/>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246" w:name="_Toc22612"/>
      <w:bookmarkStart w:id="247" w:name="_Toc26708"/>
      <w:r>
        <w:rPr>
          <w:rFonts w:hint="eastAsia" w:ascii="宋体" w:hAnsi="宋体" w:eastAsia="宋体" w:cs="宋体"/>
          <w:color w:val="000000" w:themeColor="text1"/>
          <w:spacing w:val="0"/>
          <w:sz w:val="24"/>
          <w:szCs w:val="24"/>
          <w:highlight w:val="none"/>
          <w14:textFill>
            <w14:solidFill>
              <w14:schemeClr w14:val="tx1"/>
            </w14:solidFill>
          </w14:textFill>
        </w:rPr>
        <w:t>8 ．本协议书一式份，联合体成员和招标人各执一份。</w:t>
      </w:r>
      <w:bookmarkEnd w:id="246"/>
      <w:bookmarkEnd w:id="247"/>
    </w:p>
    <w:p w14:paraId="7383C992">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48" w:name="bookmark154"/>
      <w:bookmarkEnd w:id="248"/>
      <w:r>
        <w:rPr>
          <w:rFonts w:hint="eastAsia" w:ascii="宋体" w:hAnsi="宋体" w:eastAsia="宋体" w:cs="宋体"/>
          <w:color w:val="000000" w:themeColor="text1"/>
          <w:spacing w:val="0"/>
          <w:sz w:val="24"/>
          <w:szCs w:val="24"/>
          <w:highlight w:val="none"/>
          <w14:textFill>
            <w14:solidFill>
              <w14:schemeClr w14:val="tx1"/>
            </w14:solidFill>
          </w14:textFill>
        </w:rPr>
        <w:t>牵头人名称：</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473F3796">
      <w:pPr>
        <w:pStyle w:val="5"/>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5326D8EF">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4A50685C">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成员二名称：</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5B247C4F">
      <w:pPr>
        <w:pStyle w:val="5"/>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1EC39C4E">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2C910984">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53670306">
      <w:pPr>
        <w:pStyle w:val="5"/>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7C2788A4">
      <w:pPr>
        <w:keepNext w:val="0"/>
        <w:keepLines w:val="0"/>
        <w:pageBreakBefore w:val="0"/>
        <w:widowControl/>
        <w:kinsoku w:val="0"/>
        <w:wordWrap w:val="0"/>
        <w:overflowPunct/>
        <w:topLinePunct w:val="0"/>
        <w:autoSpaceDE w:val="0"/>
        <w:autoSpaceDN w:val="0"/>
        <w:bidi w:val="0"/>
        <w:adjustRightInd w:val="0"/>
        <w:snapToGrid w:val="0"/>
        <w:spacing w:before="65" w:line="264" w:lineRule="auto"/>
        <w:ind w:right="22"/>
        <w:jc w:val="both"/>
        <w:textAlignment w:val="baseline"/>
        <w:rPr>
          <w:rFonts w:hint="eastAsia" w:ascii="宋体" w:hAnsi="宋体" w:eastAsia="宋体" w:cs="宋体"/>
          <w:color w:val="000000" w:themeColor="text1"/>
          <w:spacing w:val="0"/>
          <w:sz w:val="20"/>
          <w:szCs w:val="20"/>
          <w:highlight w:val="none"/>
          <w14:textFill>
            <w14:solidFill>
              <w14:schemeClr w14:val="tx1"/>
            </w14:solidFill>
          </w14:textFill>
        </w:rPr>
      </w:pPr>
      <w:r>
        <w:rPr>
          <w:rFonts w:hint="eastAsia" w:ascii="宋体" w:hAnsi="宋体" w:eastAsia="宋体" w:cs="宋体"/>
          <w:color w:val="000000" w:themeColor="text1"/>
          <w:spacing w:val="0"/>
          <w:sz w:val="20"/>
          <w:szCs w:val="20"/>
          <w:highlight w:val="none"/>
          <w14:textFill>
            <w14:solidFill>
              <w14:schemeClr w14:val="tx1"/>
            </w14:solidFill>
          </w14:textFill>
        </w:rPr>
        <w:t>说明：《联合体协议书》 由委托代理人签字或盖章的，应附法定代表人签字或盖章的授权委托书。</w:t>
      </w:r>
    </w:p>
    <w:p w14:paraId="1A78BC6F">
      <w:pPr>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sz w:val="20"/>
          <w:szCs w:val="20"/>
          <w:highlight w:val="none"/>
          <w14:textFill>
            <w14:solidFill>
              <w14:schemeClr w14:val="tx1"/>
            </w14:solidFill>
          </w14:textFill>
        </w:rPr>
        <w:sectPr>
          <w:footerReference r:id="rId19"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29AF8C9">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49" w:name="_Toc29268"/>
      <w:r>
        <w:rPr>
          <w:rFonts w:hint="eastAsia" w:ascii="宋体" w:hAnsi="宋体" w:eastAsia="宋体" w:cs="宋体"/>
          <w:b/>
          <w:bCs/>
          <w:color w:val="000000" w:themeColor="text1"/>
          <w:spacing w:val="0"/>
          <w:sz w:val="24"/>
          <w:szCs w:val="24"/>
          <w:highlight w:val="none"/>
          <w14:textFill>
            <w14:solidFill>
              <w14:schemeClr w14:val="tx1"/>
            </w14:solidFill>
          </w14:textFill>
        </w:rPr>
        <w:t>格式七 投标人基本情况表</w:t>
      </w:r>
      <w:bookmarkEnd w:id="249"/>
    </w:p>
    <w:p w14:paraId="3C060929">
      <w:pPr>
        <w:keepNext w:val="0"/>
        <w:keepLines w:val="0"/>
        <w:pageBreakBefore w:val="0"/>
        <w:wordWrap w:val="0"/>
        <w:overflowPunct/>
        <w:topLinePunct w:val="0"/>
        <w:bidi w:val="0"/>
        <w:spacing w:before="333" w:line="219" w:lineRule="auto"/>
        <w:ind w:left="3350"/>
        <w:rPr>
          <w:rFonts w:hint="eastAsia" w:ascii="宋体" w:hAnsi="宋体" w:eastAsia="宋体" w:cs="宋体"/>
          <w:color w:val="000000" w:themeColor="text1"/>
          <w:spacing w:val="0"/>
          <w:sz w:val="30"/>
          <w:szCs w:val="30"/>
          <w:highlight w:val="none"/>
          <w14:textFill>
            <w14:solidFill>
              <w14:schemeClr w14:val="tx1"/>
            </w14:solidFill>
          </w14:textFill>
        </w:rPr>
      </w:pPr>
      <w:r>
        <w:rPr>
          <w:rFonts w:hint="eastAsia" w:ascii="宋体" w:hAnsi="宋体" w:eastAsia="宋体" w:cs="宋体"/>
          <w:b/>
          <w:bCs/>
          <w:color w:val="000000" w:themeColor="text1"/>
          <w:spacing w:val="0"/>
          <w:sz w:val="30"/>
          <w:szCs w:val="30"/>
          <w:highlight w:val="none"/>
          <w14:textFill>
            <w14:solidFill>
              <w14:schemeClr w14:val="tx1"/>
            </w14:solidFill>
          </w14:textFill>
        </w:rPr>
        <w:t>投标人基本情况表</w:t>
      </w:r>
    </w:p>
    <w:p w14:paraId="06DA9422">
      <w:pPr>
        <w:keepNext w:val="0"/>
        <w:keepLines w:val="0"/>
        <w:pageBreakBefore w:val="0"/>
        <w:wordWrap w:val="0"/>
        <w:overflowPunct/>
        <w:topLinePunct w:val="0"/>
        <w:bidi w:val="0"/>
        <w:spacing w:line="239" w:lineRule="exact"/>
        <w:rPr>
          <w:rFonts w:hint="eastAsia" w:ascii="宋体" w:hAnsi="宋体" w:eastAsia="宋体" w:cs="宋体"/>
          <w:color w:val="000000" w:themeColor="text1"/>
          <w:spacing w:val="0"/>
          <w:highlight w:val="none"/>
          <w14:textFill>
            <w14:solidFill>
              <w14:schemeClr w14:val="tx1"/>
            </w14:solidFill>
          </w14:textFill>
        </w:rPr>
      </w:pPr>
    </w:p>
    <w:tbl>
      <w:tblPr>
        <w:tblStyle w:val="14"/>
        <w:tblW w:w="9259" w:type="dxa"/>
        <w:tblInd w:w="2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0"/>
        <w:gridCol w:w="975"/>
        <w:gridCol w:w="1837"/>
        <w:gridCol w:w="872"/>
        <w:gridCol w:w="311"/>
        <w:gridCol w:w="1043"/>
        <w:gridCol w:w="283"/>
        <w:gridCol w:w="770"/>
        <w:gridCol w:w="1548"/>
      </w:tblGrid>
      <w:tr w14:paraId="033E4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74A7C5BF">
            <w:pPr>
              <w:keepNext w:val="0"/>
              <w:keepLines w:val="0"/>
              <w:pageBreakBefore w:val="0"/>
              <w:widowControl/>
              <w:kinsoku w:val="0"/>
              <w:wordWrap w:val="0"/>
              <w:overflowPunct/>
              <w:topLinePunct w:val="0"/>
              <w:autoSpaceDE w:val="0"/>
              <w:autoSpaceDN w:val="0"/>
              <w:bidi w:val="0"/>
              <w:adjustRightInd w:val="0"/>
              <w:snapToGrid w:val="0"/>
              <w:spacing w:before="149"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投标人名称</w:t>
            </w:r>
          </w:p>
        </w:tc>
        <w:tc>
          <w:tcPr>
            <w:tcW w:w="7639" w:type="dxa"/>
            <w:gridSpan w:val="8"/>
            <w:vAlign w:val="center"/>
          </w:tcPr>
          <w:p w14:paraId="0DB2A2CE">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2F10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65451CF9">
            <w:pPr>
              <w:keepNext w:val="0"/>
              <w:keepLines w:val="0"/>
              <w:pageBreakBefore w:val="0"/>
              <w:widowControl/>
              <w:kinsoku w:val="0"/>
              <w:wordWrap w:val="0"/>
              <w:overflowPunct/>
              <w:topLinePunct w:val="0"/>
              <w:autoSpaceDE w:val="0"/>
              <w:autoSpaceDN w:val="0"/>
              <w:bidi w:val="0"/>
              <w:adjustRightInd w:val="0"/>
              <w:snapToGrid w:val="0"/>
              <w:spacing w:before="144"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注册地址</w:t>
            </w:r>
          </w:p>
        </w:tc>
        <w:tc>
          <w:tcPr>
            <w:tcW w:w="3684" w:type="dxa"/>
            <w:gridSpan w:val="3"/>
            <w:vAlign w:val="center"/>
          </w:tcPr>
          <w:p w14:paraId="7BF1DE63">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4" w:type="dxa"/>
            <w:gridSpan w:val="2"/>
            <w:vAlign w:val="center"/>
          </w:tcPr>
          <w:p w14:paraId="6E7F119C">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邮政编码</w:t>
            </w:r>
          </w:p>
        </w:tc>
        <w:tc>
          <w:tcPr>
            <w:tcW w:w="2601" w:type="dxa"/>
            <w:gridSpan w:val="3"/>
            <w:vAlign w:val="center"/>
          </w:tcPr>
          <w:p w14:paraId="047A44F3">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5D48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restart"/>
            <w:tcBorders>
              <w:bottom w:val="nil"/>
            </w:tcBorders>
            <w:vAlign w:val="center"/>
          </w:tcPr>
          <w:p w14:paraId="0F6ED57E">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联系方式</w:t>
            </w:r>
          </w:p>
        </w:tc>
        <w:tc>
          <w:tcPr>
            <w:tcW w:w="975" w:type="dxa"/>
            <w:vAlign w:val="center"/>
          </w:tcPr>
          <w:p w14:paraId="33FA9D06">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联系人</w:t>
            </w:r>
          </w:p>
        </w:tc>
        <w:tc>
          <w:tcPr>
            <w:tcW w:w="2709" w:type="dxa"/>
            <w:gridSpan w:val="2"/>
            <w:vAlign w:val="center"/>
          </w:tcPr>
          <w:p w14:paraId="3A1A86D3">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4" w:type="dxa"/>
            <w:gridSpan w:val="2"/>
            <w:vAlign w:val="center"/>
          </w:tcPr>
          <w:p w14:paraId="68D00D84">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电  话</w:t>
            </w:r>
          </w:p>
        </w:tc>
        <w:tc>
          <w:tcPr>
            <w:tcW w:w="2601" w:type="dxa"/>
            <w:gridSpan w:val="3"/>
            <w:vAlign w:val="center"/>
          </w:tcPr>
          <w:p w14:paraId="478BD977">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EE24B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continue"/>
            <w:tcBorders>
              <w:top w:val="nil"/>
            </w:tcBorders>
            <w:vAlign w:val="center"/>
          </w:tcPr>
          <w:p w14:paraId="7E9A5F01">
            <w:pPr>
              <w:pStyle w:val="27"/>
              <w:keepNext w:val="0"/>
              <w:keepLines w:val="0"/>
              <w:pageBreakBefore w:val="0"/>
              <w:widowControl/>
              <w:kinsoku w:val="0"/>
              <w:wordWrap w:val="0"/>
              <w:overflowPunct/>
              <w:topLinePunct w:val="0"/>
              <w:autoSpaceDE w:val="0"/>
              <w:autoSpaceDN w:val="0"/>
              <w:bidi w:val="0"/>
              <w:adjustRightInd w:val="0"/>
              <w:snapToGrid w:val="0"/>
              <w:spacing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975" w:type="dxa"/>
            <w:vAlign w:val="center"/>
          </w:tcPr>
          <w:p w14:paraId="04A5A850">
            <w:pPr>
              <w:keepNext w:val="0"/>
              <w:keepLines w:val="0"/>
              <w:pageBreakBefore w:val="0"/>
              <w:widowControl/>
              <w:kinsoku w:val="0"/>
              <w:wordWrap w:val="0"/>
              <w:overflowPunct/>
              <w:topLinePunct w:val="0"/>
              <w:autoSpaceDE w:val="0"/>
              <w:autoSpaceDN w:val="0"/>
              <w:bidi w:val="0"/>
              <w:adjustRightInd w:val="0"/>
              <w:snapToGrid w:val="0"/>
              <w:spacing w:before="143"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传  真</w:t>
            </w:r>
          </w:p>
        </w:tc>
        <w:tc>
          <w:tcPr>
            <w:tcW w:w="2709" w:type="dxa"/>
            <w:gridSpan w:val="2"/>
            <w:vAlign w:val="center"/>
          </w:tcPr>
          <w:p w14:paraId="408C0231">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4" w:type="dxa"/>
            <w:gridSpan w:val="2"/>
            <w:vAlign w:val="center"/>
          </w:tcPr>
          <w:p w14:paraId="7C350B75">
            <w:pPr>
              <w:keepNext w:val="0"/>
              <w:keepLines w:val="0"/>
              <w:pageBreakBefore w:val="0"/>
              <w:widowControl/>
              <w:kinsoku w:val="0"/>
              <w:wordWrap w:val="0"/>
              <w:overflowPunct/>
              <w:topLinePunct w:val="0"/>
              <w:autoSpaceDE w:val="0"/>
              <w:autoSpaceDN w:val="0"/>
              <w:bidi w:val="0"/>
              <w:adjustRightInd w:val="0"/>
              <w:snapToGrid w:val="0"/>
              <w:spacing w:before="144" w:line="229"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电子邮箱</w:t>
            </w:r>
          </w:p>
        </w:tc>
        <w:tc>
          <w:tcPr>
            <w:tcW w:w="2601" w:type="dxa"/>
            <w:gridSpan w:val="3"/>
            <w:vAlign w:val="center"/>
          </w:tcPr>
          <w:p w14:paraId="717515D4">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0C3F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33F0792">
            <w:pPr>
              <w:keepNext w:val="0"/>
              <w:keepLines w:val="0"/>
              <w:pageBreakBefore w:val="0"/>
              <w:widowControl/>
              <w:kinsoku w:val="0"/>
              <w:wordWrap w:val="0"/>
              <w:overflowPunct/>
              <w:topLinePunct w:val="0"/>
              <w:autoSpaceDE w:val="0"/>
              <w:autoSpaceDN w:val="0"/>
              <w:bidi w:val="0"/>
              <w:adjustRightInd w:val="0"/>
              <w:snapToGrid w:val="0"/>
              <w:spacing w:before="145"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单位性质</w:t>
            </w:r>
          </w:p>
        </w:tc>
        <w:tc>
          <w:tcPr>
            <w:tcW w:w="7639" w:type="dxa"/>
            <w:gridSpan w:val="8"/>
            <w:vAlign w:val="center"/>
          </w:tcPr>
          <w:p w14:paraId="434E07A5">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C1E8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78583C86">
            <w:pPr>
              <w:keepNext w:val="0"/>
              <w:keepLines w:val="0"/>
              <w:pageBreakBefore w:val="0"/>
              <w:widowControl/>
              <w:kinsoku w:val="0"/>
              <w:wordWrap w:val="0"/>
              <w:overflowPunct/>
              <w:topLinePunct w:val="0"/>
              <w:autoSpaceDE w:val="0"/>
              <w:autoSpaceDN w:val="0"/>
              <w:bidi w:val="0"/>
              <w:adjustRightInd w:val="0"/>
              <w:snapToGrid w:val="0"/>
              <w:spacing w:before="144"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w:t>
            </w:r>
          </w:p>
        </w:tc>
        <w:tc>
          <w:tcPr>
            <w:tcW w:w="975" w:type="dxa"/>
            <w:vAlign w:val="center"/>
          </w:tcPr>
          <w:p w14:paraId="2CF8127D">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姓名</w:t>
            </w:r>
          </w:p>
        </w:tc>
        <w:tc>
          <w:tcPr>
            <w:tcW w:w="1837" w:type="dxa"/>
            <w:vAlign w:val="center"/>
          </w:tcPr>
          <w:p w14:paraId="55F10CB7">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Align w:val="center"/>
          </w:tcPr>
          <w:p w14:paraId="1248557B">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技术职称</w:t>
            </w:r>
          </w:p>
        </w:tc>
        <w:tc>
          <w:tcPr>
            <w:tcW w:w="1326" w:type="dxa"/>
            <w:gridSpan w:val="2"/>
            <w:vAlign w:val="center"/>
          </w:tcPr>
          <w:p w14:paraId="345CCE79">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770" w:type="dxa"/>
            <w:vAlign w:val="center"/>
          </w:tcPr>
          <w:p w14:paraId="63CA2C03">
            <w:pPr>
              <w:keepNext w:val="0"/>
              <w:keepLines w:val="0"/>
              <w:pageBreakBefore w:val="0"/>
              <w:widowControl/>
              <w:kinsoku w:val="0"/>
              <w:wordWrap w:val="0"/>
              <w:overflowPunct/>
              <w:topLinePunct w:val="0"/>
              <w:autoSpaceDE w:val="0"/>
              <w:autoSpaceDN w:val="0"/>
              <w:bidi w:val="0"/>
              <w:adjustRightInd w:val="0"/>
              <w:snapToGrid w:val="0"/>
              <w:spacing w:before="143" w:line="231"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电话</w:t>
            </w:r>
          </w:p>
        </w:tc>
        <w:tc>
          <w:tcPr>
            <w:tcW w:w="1548" w:type="dxa"/>
            <w:vAlign w:val="center"/>
          </w:tcPr>
          <w:p w14:paraId="21775F23">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C9B2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AB30980">
            <w:pPr>
              <w:keepNext w:val="0"/>
              <w:keepLines w:val="0"/>
              <w:pageBreakBefore w:val="0"/>
              <w:widowControl/>
              <w:kinsoku w:val="0"/>
              <w:wordWrap w:val="0"/>
              <w:overflowPunct/>
              <w:topLinePunct w:val="0"/>
              <w:autoSpaceDE w:val="0"/>
              <w:autoSpaceDN w:val="0"/>
              <w:bidi w:val="0"/>
              <w:adjustRightInd w:val="0"/>
              <w:snapToGrid w:val="0"/>
              <w:spacing w:before="145"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成立时间</w:t>
            </w:r>
          </w:p>
        </w:tc>
        <w:tc>
          <w:tcPr>
            <w:tcW w:w="2812" w:type="dxa"/>
            <w:gridSpan w:val="2"/>
            <w:vAlign w:val="center"/>
          </w:tcPr>
          <w:p w14:paraId="1528A619">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4827" w:type="dxa"/>
            <w:gridSpan w:val="6"/>
            <w:vAlign w:val="center"/>
          </w:tcPr>
          <w:p w14:paraId="29648EC6">
            <w:pPr>
              <w:keepNext w:val="0"/>
              <w:keepLines w:val="0"/>
              <w:pageBreakBefore w:val="0"/>
              <w:widowControl/>
              <w:kinsoku w:val="0"/>
              <w:wordWrap w:val="0"/>
              <w:overflowPunct/>
              <w:topLinePunct w:val="0"/>
              <w:autoSpaceDE w:val="0"/>
              <w:autoSpaceDN w:val="0"/>
              <w:bidi w:val="0"/>
              <w:adjustRightInd w:val="0"/>
              <w:snapToGrid w:val="0"/>
              <w:spacing w:before="145"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员工总人数（个）：</w:t>
            </w:r>
          </w:p>
        </w:tc>
      </w:tr>
      <w:tr w14:paraId="1639BB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554FA43F">
            <w:pPr>
              <w:keepNext w:val="0"/>
              <w:keepLines w:val="0"/>
              <w:pageBreakBefore w:val="0"/>
              <w:widowControl/>
              <w:kinsoku w:val="0"/>
              <w:wordWrap w:val="0"/>
              <w:overflowPunct/>
              <w:topLinePunct w:val="0"/>
              <w:autoSpaceDE w:val="0"/>
              <w:autoSpaceDN w:val="0"/>
              <w:bidi w:val="0"/>
              <w:adjustRightInd w:val="0"/>
              <w:snapToGrid w:val="0"/>
              <w:spacing w:before="61"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企业资质  </w:t>
            </w:r>
          </w:p>
          <w:p w14:paraId="4BDC0C8F">
            <w:pPr>
              <w:keepNext w:val="0"/>
              <w:keepLines w:val="0"/>
              <w:pageBreakBefore w:val="0"/>
              <w:widowControl/>
              <w:kinsoku w:val="0"/>
              <w:wordWrap w:val="0"/>
              <w:overflowPunct/>
              <w:topLinePunct w:val="0"/>
              <w:autoSpaceDE w:val="0"/>
              <w:autoSpaceDN w:val="0"/>
              <w:bidi w:val="0"/>
              <w:adjustRightInd w:val="0"/>
              <w:snapToGrid w:val="0"/>
              <w:spacing w:before="61"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类型和等级</w:t>
            </w:r>
          </w:p>
        </w:tc>
        <w:tc>
          <w:tcPr>
            <w:tcW w:w="2812" w:type="dxa"/>
            <w:gridSpan w:val="2"/>
            <w:vAlign w:val="center"/>
          </w:tcPr>
          <w:p w14:paraId="177F1066">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Merge w:val="restart"/>
            <w:tcBorders>
              <w:bottom w:val="nil"/>
            </w:tcBorders>
            <w:vAlign w:val="center"/>
          </w:tcPr>
          <w:p w14:paraId="102DBC66">
            <w:pPr>
              <w:keepNext w:val="0"/>
              <w:keepLines w:val="0"/>
              <w:pageBreakBefore w:val="0"/>
              <w:widowControl/>
              <w:kinsoku w:val="0"/>
              <w:wordWrap w:val="0"/>
              <w:overflowPunct/>
              <w:topLinePunct w:val="0"/>
              <w:autoSpaceDE w:val="0"/>
              <w:autoSpaceDN w:val="0"/>
              <w:bidi w:val="0"/>
              <w:adjustRightInd w:val="0"/>
              <w:snapToGrid w:val="0"/>
              <w:spacing w:before="65" w:line="229"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其中</w:t>
            </w:r>
          </w:p>
        </w:tc>
        <w:tc>
          <w:tcPr>
            <w:tcW w:w="2096" w:type="dxa"/>
            <w:gridSpan w:val="3"/>
            <w:vAlign w:val="center"/>
          </w:tcPr>
          <w:p w14:paraId="2278305A">
            <w:pPr>
              <w:keepNext w:val="0"/>
              <w:keepLines w:val="0"/>
              <w:pageBreakBefore w:val="0"/>
              <w:widowControl/>
              <w:kinsoku w:val="0"/>
              <w:wordWrap w:val="0"/>
              <w:overflowPunct/>
              <w:topLinePunct w:val="0"/>
              <w:autoSpaceDE w:val="0"/>
              <w:autoSpaceDN w:val="0"/>
              <w:bidi w:val="0"/>
              <w:adjustRightInd w:val="0"/>
              <w:snapToGrid w:val="0"/>
              <w:spacing w:before="214" w:line="229"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项目经理</w:t>
            </w:r>
          </w:p>
        </w:tc>
        <w:tc>
          <w:tcPr>
            <w:tcW w:w="1548" w:type="dxa"/>
            <w:vAlign w:val="center"/>
          </w:tcPr>
          <w:p w14:paraId="3262520C">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38EE5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E310579">
            <w:pPr>
              <w:keepNext w:val="0"/>
              <w:keepLines w:val="0"/>
              <w:pageBreakBefore w:val="0"/>
              <w:widowControl/>
              <w:kinsoku w:val="0"/>
              <w:wordWrap w:val="0"/>
              <w:overflowPunct/>
              <w:topLinePunct w:val="0"/>
              <w:autoSpaceDE w:val="0"/>
              <w:autoSpaceDN w:val="0"/>
              <w:bidi w:val="0"/>
              <w:adjustRightInd w:val="0"/>
              <w:snapToGrid w:val="0"/>
              <w:spacing w:before="146"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营业执照号</w:t>
            </w:r>
          </w:p>
        </w:tc>
        <w:tc>
          <w:tcPr>
            <w:tcW w:w="2812" w:type="dxa"/>
            <w:gridSpan w:val="2"/>
            <w:vAlign w:val="center"/>
          </w:tcPr>
          <w:p w14:paraId="771E0050">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Merge w:val="continue"/>
            <w:tcBorders>
              <w:top w:val="nil"/>
              <w:bottom w:val="nil"/>
            </w:tcBorders>
            <w:vAlign w:val="center"/>
          </w:tcPr>
          <w:p w14:paraId="5949ACF2">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96" w:type="dxa"/>
            <w:gridSpan w:val="3"/>
            <w:vAlign w:val="center"/>
          </w:tcPr>
          <w:p w14:paraId="6C5F1489">
            <w:pPr>
              <w:keepNext w:val="0"/>
              <w:keepLines w:val="0"/>
              <w:pageBreakBefore w:val="0"/>
              <w:widowControl/>
              <w:kinsoku w:val="0"/>
              <w:wordWrap w:val="0"/>
              <w:overflowPunct/>
              <w:topLinePunct w:val="0"/>
              <w:autoSpaceDE w:val="0"/>
              <w:autoSpaceDN w:val="0"/>
              <w:bidi w:val="0"/>
              <w:adjustRightInd w:val="0"/>
              <w:snapToGrid w:val="0"/>
              <w:spacing w:before="146"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高级职称人员</w:t>
            </w:r>
          </w:p>
        </w:tc>
        <w:tc>
          <w:tcPr>
            <w:tcW w:w="1548" w:type="dxa"/>
            <w:vAlign w:val="center"/>
          </w:tcPr>
          <w:p w14:paraId="484C31E4">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7906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199E82AD">
            <w:pPr>
              <w:keepNext w:val="0"/>
              <w:keepLines w:val="0"/>
              <w:pageBreakBefore w:val="0"/>
              <w:widowControl/>
              <w:kinsoku w:val="0"/>
              <w:wordWrap w:val="0"/>
              <w:overflowPunct/>
              <w:topLinePunct w:val="0"/>
              <w:autoSpaceDE w:val="0"/>
              <w:autoSpaceDN w:val="0"/>
              <w:bidi w:val="0"/>
              <w:adjustRightInd w:val="0"/>
              <w:snapToGrid w:val="0"/>
              <w:spacing w:before="146"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注册资金</w:t>
            </w:r>
          </w:p>
        </w:tc>
        <w:tc>
          <w:tcPr>
            <w:tcW w:w="2812" w:type="dxa"/>
            <w:gridSpan w:val="2"/>
            <w:vAlign w:val="center"/>
          </w:tcPr>
          <w:p w14:paraId="28BB0564">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Merge w:val="continue"/>
            <w:tcBorders>
              <w:top w:val="nil"/>
              <w:bottom w:val="nil"/>
            </w:tcBorders>
            <w:vAlign w:val="center"/>
          </w:tcPr>
          <w:p w14:paraId="2B790690">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96" w:type="dxa"/>
            <w:gridSpan w:val="3"/>
            <w:vAlign w:val="center"/>
          </w:tcPr>
          <w:p w14:paraId="27F06363">
            <w:pPr>
              <w:keepNext w:val="0"/>
              <w:keepLines w:val="0"/>
              <w:pageBreakBefore w:val="0"/>
              <w:widowControl/>
              <w:kinsoku w:val="0"/>
              <w:wordWrap w:val="0"/>
              <w:overflowPunct/>
              <w:topLinePunct w:val="0"/>
              <w:autoSpaceDE w:val="0"/>
              <w:autoSpaceDN w:val="0"/>
              <w:bidi w:val="0"/>
              <w:adjustRightInd w:val="0"/>
              <w:snapToGrid w:val="0"/>
              <w:spacing w:before="147" w:line="229"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中级职称人员</w:t>
            </w:r>
          </w:p>
        </w:tc>
        <w:tc>
          <w:tcPr>
            <w:tcW w:w="1548" w:type="dxa"/>
            <w:vAlign w:val="center"/>
          </w:tcPr>
          <w:p w14:paraId="18CD3973">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53B7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532F27D9">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基本账户 </w:t>
            </w:r>
          </w:p>
          <w:p w14:paraId="41955478">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开户银行</w:t>
            </w:r>
          </w:p>
        </w:tc>
        <w:tc>
          <w:tcPr>
            <w:tcW w:w="2812" w:type="dxa"/>
            <w:gridSpan w:val="2"/>
            <w:vAlign w:val="center"/>
          </w:tcPr>
          <w:p w14:paraId="65DFBEF7">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Merge w:val="continue"/>
            <w:tcBorders>
              <w:top w:val="nil"/>
              <w:bottom w:val="nil"/>
            </w:tcBorders>
            <w:vAlign w:val="center"/>
          </w:tcPr>
          <w:p w14:paraId="31F677A8">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96" w:type="dxa"/>
            <w:gridSpan w:val="3"/>
            <w:vAlign w:val="center"/>
          </w:tcPr>
          <w:p w14:paraId="0336B438">
            <w:pPr>
              <w:keepNext w:val="0"/>
              <w:keepLines w:val="0"/>
              <w:pageBreakBefore w:val="0"/>
              <w:widowControl/>
              <w:kinsoku w:val="0"/>
              <w:wordWrap w:val="0"/>
              <w:overflowPunct/>
              <w:topLinePunct w:val="0"/>
              <w:autoSpaceDE w:val="0"/>
              <w:autoSpaceDN w:val="0"/>
              <w:bidi w:val="0"/>
              <w:adjustRightInd w:val="0"/>
              <w:snapToGrid w:val="0"/>
              <w:spacing w:before="191" w:line="230"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初级职称人员</w:t>
            </w:r>
          </w:p>
        </w:tc>
        <w:tc>
          <w:tcPr>
            <w:tcW w:w="1548" w:type="dxa"/>
            <w:vAlign w:val="center"/>
          </w:tcPr>
          <w:p w14:paraId="00F898E7">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E7A6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E52826A">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基本账户 </w:t>
            </w:r>
          </w:p>
          <w:p w14:paraId="33D5D73F">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银行账号</w:t>
            </w:r>
          </w:p>
        </w:tc>
        <w:tc>
          <w:tcPr>
            <w:tcW w:w="2812" w:type="dxa"/>
            <w:gridSpan w:val="2"/>
            <w:vAlign w:val="center"/>
          </w:tcPr>
          <w:p w14:paraId="60A346F4">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Merge w:val="continue"/>
            <w:tcBorders>
              <w:top w:val="nil"/>
            </w:tcBorders>
            <w:vAlign w:val="center"/>
          </w:tcPr>
          <w:p w14:paraId="1322C4EB">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96" w:type="dxa"/>
            <w:gridSpan w:val="3"/>
            <w:vAlign w:val="center"/>
          </w:tcPr>
          <w:p w14:paraId="4D44C804">
            <w:pPr>
              <w:keepNext w:val="0"/>
              <w:keepLines w:val="0"/>
              <w:pageBreakBefore w:val="0"/>
              <w:widowControl/>
              <w:kinsoku w:val="0"/>
              <w:wordWrap w:val="0"/>
              <w:overflowPunct/>
              <w:topLinePunct w:val="0"/>
              <w:autoSpaceDE w:val="0"/>
              <w:autoSpaceDN w:val="0"/>
              <w:bidi w:val="0"/>
              <w:adjustRightInd w:val="0"/>
              <w:snapToGrid w:val="0"/>
              <w:spacing w:before="211"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技术员</w:t>
            </w:r>
          </w:p>
        </w:tc>
        <w:tc>
          <w:tcPr>
            <w:tcW w:w="1548" w:type="dxa"/>
            <w:vAlign w:val="center"/>
          </w:tcPr>
          <w:p w14:paraId="46D2B23A">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A626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BF7B502">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经营范围</w:t>
            </w:r>
          </w:p>
        </w:tc>
        <w:tc>
          <w:tcPr>
            <w:tcW w:w="7639" w:type="dxa"/>
            <w:gridSpan w:val="8"/>
            <w:vAlign w:val="center"/>
          </w:tcPr>
          <w:p w14:paraId="07997BAE">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9A8D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05DF8A32">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关联企业情况</w:t>
            </w:r>
          </w:p>
        </w:tc>
        <w:tc>
          <w:tcPr>
            <w:tcW w:w="7639" w:type="dxa"/>
            <w:gridSpan w:val="8"/>
            <w:vAlign w:val="center"/>
          </w:tcPr>
          <w:p w14:paraId="1E7ADE4D">
            <w:pPr>
              <w:keepNext w:val="0"/>
              <w:keepLines w:val="0"/>
              <w:pageBreakBefore w:val="0"/>
              <w:widowControl/>
              <w:kinsoku w:val="0"/>
              <w:wordWrap w:val="0"/>
              <w:overflowPunct/>
              <w:topLinePunct w:val="0"/>
              <w:autoSpaceDE w:val="0"/>
              <w:autoSpaceDN w:val="0"/>
              <w:bidi w:val="0"/>
              <w:adjustRightInd w:val="0"/>
              <w:snapToGrid w:val="0"/>
              <w:spacing w:before="168" w:line="228" w:lineRule="auto"/>
              <w:ind w:left="0" w:right="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包括但不限于与投标人存在以下关系的不同单位：</w:t>
            </w:r>
          </w:p>
          <w:p w14:paraId="0A579FFA">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．法定代表人为同一人的。</w:t>
            </w:r>
          </w:p>
          <w:p w14:paraId="20E6965C">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．存在控股、管理关系的。</w:t>
            </w:r>
          </w:p>
          <w:p w14:paraId="585BD72F">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 ．主要人员相互任职的。</w:t>
            </w:r>
          </w:p>
        </w:tc>
      </w:tr>
      <w:tr w14:paraId="28D64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A94CEF9">
            <w:pPr>
              <w:keepNext w:val="0"/>
              <w:keepLines w:val="0"/>
              <w:pageBreakBefore w:val="0"/>
              <w:widowControl/>
              <w:kinsoku w:val="0"/>
              <w:wordWrap w:val="0"/>
              <w:overflowPunct/>
              <w:topLinePunct w:val="0"/>
              <w:autoSpaceDE w:val="0"/>
              <w:autoSpaceDN w:val="0"/>
              <w:bidi w:val="0"/>
              <w:adjustRightInd w:val="0"/>
              <w:snapToGrid w:val="0"/>
              <w:spacing w:before="235" w:line="230"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备注</w:t>
            </w:r>
          </w:p>
        </w:tc>
        <w:tc>
          <w:tcPr>
            <w:tcW w:w="7639" w:type="dxa"/>
            <w:gridSpan w:val="8"/>
            <w:vAlign w:val="center"/>
          </w:tcPr>
          <w:p w14:paraId="33A69765">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34C67D25">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69B31669">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说明：</w:t>
      </w:r>
    </w:p>
    <w:p w14:paraId="5F7DADAA">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outlineLvl w:val="9"/>
        <w:rPr>
          <w:rFonts w:hint="eastAsia" w:ascii="宋体" w:hAnsi="宋体" w:eastAsia="宋体" w:cs="宋体"/>
          <w:color w:val="000000" w:themeColor="text1"/>
          <w:spacing w:val="0"/>
          <w:sz w:val="21"/>
          <w:szCs w:val="21"/>
          <w:highlight w:val="none"/>
          <w14:textFill>
            <w14:solidFill>
              <w14:schemeClr w14:val="tx1"/>
            </w14:solidFill>
          </w14:textFill>
        </w:rPr>
      </w:pPr>
      <w:bookmarkStart w:id="250" w:name="_Toc14048"/>
      <w:bookmarkStart w:id="251" w:name="_Toc5131"/>
      <w:r>
        <w:rPr>
          <w:rFonts w:hint="eastAsia" w:ascii="宋体" w:hAnsi="宋体" w:eastAsia="宋体" w:cs="宋体"/>
          <w:color w:val="000000" w:themeColor="text1"/>
          <w:spacing w:val="0"/>
          <w:sz w:val="21"/>
          <w:szCs w:val="21"/>
          <w:highlight w:val="none"/>
          <w14:textFill>
            <w14:solidFill>
              <w14:schemeClr w14:val="tx1"/>
            </w14:solidFill>
          </w14:textFill>
        </w:rPr>
        <w:t>1 ．《投标人基本情况表》后应附以下资料：</w:t>
      </w:r>
      <w:bookmarkEnd w:id="250"/>
      <w:bookmarkEnd w:id="251"/>
    </w:p>
    <w:p w14:paraId="230E1626">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1）企业营业执照、资质证书、安全生产许可证的（因推行电子证照，企业的营业执照、资质证书等可以提供电子证照。为实时掌握项目投标单位的是否具备企业安全生产条件，企业的安全生生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”版块，具体网址为：https://zlaq.mohurd.gov.cn，进入后点击“安全生产许可证信息 ”，输入企业名称和统一社会信用代码即可查询。如中标后，投标单位安全生产许可证发生被暂扣情形，需双方另行协商）；</w:t>
      </w:r>
    </w:p>
    <w:p w14:paraId="259B1130">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（2）</w:t>
      </w:r>
      <w:r>
        <w:rPr>
          <w:rFonts w:hint="eastAsia" w:ascii="宋体" w:hAnsi="宋体" w:eastAsia="宋体" w:cs="宋体"/>
          <w:color w:val="000000" w:themeColor="text1"/>
          <w:spacing w:val="0"/>
          <w:sz w:val="21"/>
          <w:szCs w:val="21"/>
          <w:highlight w:val="none"/>
          <w14:textFill>
            <w14:solidFill>
              <w14:schemeClr w14:val="tx1"/>
            </w14:solidFill>
          </w14:textFill>
        </w:rPr>
        <w:t>“进粤企业和人员诚信信息登记平台 ”企业信息情况打印页。（适用于省外建筑企业）</w:t>
      </w:r>
    </w:p>
    <w:p w14:paraId="49CB0524">
      <w:pPr>
        <w:keepNext w:val="0"/>
        <w:keepLines w:val="0"/>
        <w:pageBreakBefore w:val="0"/>
        <w:widowControl/>
        <w:kinsoku w:val="0"/>
        <w:wordWrap w:val="0"/>
        <w:overflowPunct/>
        <w:topLinePunct w:val="0"/>
        <w:autoSpaceDE w:val="0"/>
        <w:autoSpaceDN w:val="0"/>
        <w:bidi w:val="0"/>
        <w:adjustRightInd w:val="0"/>
        <w:snapToGrid w:val="0"/>
        <w:spacing w:line="30" w:lineRule="atLeast"/>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（3）</w:t>
      </w:r>
      <w:r>
        <w:rPr>
          <w:rFonts w:hint="eastAsia" w:ascii="宋体" w:hAnsi="宋体" w:eastAsia="宋体" w:cs="宋体"/>
          <w:color w:val="000000" w:themeColor="text1"/>
          <w:spacing w:val="0"/>
          <w:sz w:val="21"/>
          <w:szCs w:val="21"/>
          <w:highlight w:val="none"/>
          <w14:textFill>
            <w14:solidFill>
              <w14:schemeClr w14:val="tx1"/>
            </w14:solidFill>
          </w14:textFill>
        </w:rPr>
        <w:t>《法人和非法人组织公共信用信息报告》（在“信用中国 ”网站企业查询界面中下载）。</w:t>
      </w:r>
    </w:p>
    <w:p w14:paraId="012C8021">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 ．联合体投标的，联合体成员单位均应填写《投标人基本情况表》并提供以上所需资料。</w:t>
      </w: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2AB7BED9">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52" w:name="_Toc23002"/>
      <w:r>
        <w:rPr>
          <w:rFonts w:hint="eastAsia" w:ascii="宋体" w:hAnsi="宋体" w:eastAsia="宋体" w:cs="宋体"/>
          <w:b/>
          <w:bCs/>
          <w:color w:val="000000" w:themeColor="text1"/>
          <w:spacing w:val="0"/>
          <w:sz w:val="24"/>
          <w:szCs w:val="24"/>
          <w:highlight w:val="none"/>
          <w14:textFill>
            <w14:solidFill>
              <w14:schemeClr w14:val="tx1"/>
            </w14:solidFill>
          </w14:textFill>
        </w:rPr>
        <w:t>格式八 项目经理简历表</w:t>
      </w:r>
      <w:bookmarkEnd w:id="252"/>
    </w:p>
    <w:p w14:paraId="07245DD0">
      <w:pPr>
        <w:pStyle w:val="5"/>
        <w:keepNext w:val="0"/>
        <w:keepLines w:val="0"/>
        <w:pageBreakBefore w:val="0"/>
        <w:wordWrap w:val="0"/>
        <w:overflowPunct/>
        <w:topLinePunct w:val="0"/>
        <w:bidi w:val="0"/>
        <w:spacing w:line="444" w:lineRule="auto"/>
        <w:rPr>
          <w:rFonts w:hint="eastAsia" w:ascii="宋体" w:hAnsi="宋体" w:eastAsia="宋体" w:cs="宋体"/>
          <w:color w:val="000000" w:themeColor="text1"/>
          <w:spacing w:val="0"/>
          <w:highlight w:val="none"/>
          <w14:textFill>
            <w14:solidFill>
              <w14:schemeClr w14:val="tx1"/>
            </w14:solidFill>
          </w14:textFill>
        </w:rPr>
      </w:pPr>
    </w:p>
    <w:p w14:paraId="0C78A5C7">
      <w:pPr>
        <w:keepNext w:val="0"/>
        <w:keepLines w:val="0"/>
        <w:pageBreakBefore w:val="0"/>
        <w:wordWrap w:val="0"/>
        <w:overflowPunct/>
        <w:topLinePunct w:val="0"/>
        <w:bidi w:val="0"/>
        <w:spacing w:before="97" w:line="219" w:lineRule="auto"/>
        <w:ind w:left="3538"/>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53" w:name="bookmark89"/>
      <w:bookmarkEnd w:id="253"/>
      <w:bookmarkStart w:id="254" w:name="bookmark156"/>
      <w:bookmarkEnd w:id="254"/>
      <w:bookmarkStart w:id="255" w:name="_Toc24489"/>
      <w:bookmarkStart w:id="256" w:name="_Toc31533"/>
      <w:r>
        <w:rPr>
          <w:rFonts w:hint="eastAsia" w:ascii="宋体" w:hAnsi="宋体" w:eastAsia="宋体" w:cs="宋体"/>
          <w:b/>
          <w:bCs/>
          <w:color w:val="000000" w:themeColor="text1"/>
          <w:spacing w:val="0"/>
          <w:sz w:val="30"/>
          <w:szCs w:val="30"/>
          <w:highlight w:val="none"/>
          <w14:textFill>
            <w14:solidFill>
              <w14:schemeClr w14:val="tx1"/>
            </w14:solidFill>
          </w14:textFill>
        </w:rPr>
        <w:t>项目经理简历表</w:t>
      </w:r>
      <w:bookmarkEnd w:id="255"/>
      <w:bookmarkEnd w:id="256"/>
    </w:p>
    <w:p w14:paraId="733B316D">
      <w:pPr>
        <w:keepNext w:val="0"/>
        <w:keepLines w:val="0"/>
        <w:pageBreakBefore w:val="0"/>
        <w:wordWrap w:val="0"/>
        <w:overflowPunct/>
        <w:topLinePunct w:val="0"/>
        <w:bidi w:val="0"/>
        <w:spacing w:line="240" w:lineRule="exact"/>
        <w:rPr>
          <w:rFonts w:hint="eastAsia" w:ascii="宋体" w:hAnsi="宋体" w:eastAsia="宋体" w:cs="宋体"/>
          <w:color w:val="000000" w:themeColor="text1"/>
          <w:spacing w:val="0"/>
          <w:highlight w:val="none"/>
          <w14:textFill>
            <w14:solidFill>
              <w14:schemeClr w14:val="tx1"/>
            </w14:solidFill>
          </w14:textFill>
        </w:rPr>
      </w:pPr>
    </w:p>
    <w:tbl>
      <w:tblPr>
        <w:tblStyle w:val="14"/>
        <w:tblW w:w="9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1010"/>
        <w:gridCol w:w="614"/>
        <w:gridCol w:w="680"/>
        <w:gridCol w:w="1357"/>
        <w:gridCol w:w="2062"/>
        <w:gridCol w:w="1798"/>
        <w:gridCol w:w="1398"/>
      </w:tblGrid>
      <w:tr w14:paraId="52897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828" w:type="dxa"/>
            <w:gridSpan w:val="2"/>
            <w:vAlign w:val="center"/>
          </w:tcPr>
          <w:p w14:paraId="4005FF2B">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姓   名</w:t>
            </w:r>
          </w:p>
        </w:tc>
        <w:tc>
          <w:tcPr>
            <w:tcW w:w="1294" w:type="dxa"/>
            <w:gridSpan w:val="2"/>
            <w:vAlign w:val="center"/>
          </w:tcPr>
          <w:p w14:paraId="459C112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7" w:type="dxa"/>
            <w:vAlign w:val="center"/>
          </w:tcPr>
          <w:p w14:paraId="1B35C805">
            <w:pPr>
              <w:keepNext w:val="0"/>
              <w:keepLines w:val="0"/>
              <w:pageBreakBefore w:val="0"/>
              <w:widowControl/>
              <w:kinsoku w:val="0"/>
              <w:wordWrap w:val="0"/>
              <w:overflowPunct/>
              <w:topLinePunct w:val="0"/>
              <w:autoSpaceDE w:val="0"/>
              <w:autoSpaceDN w:val="0"/>
              <w:bidi w:val="0"/>
              <w:adjustRightInd w:val="0"/>
              <w:snapToGrid w:val="0"/>
              <w:spacing w:before="177"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性  别</w:t>
            </w:r>
          </w:p>
        </w:tc>
        <w:tc>
          <w:tcPr>
            <w:tcW w:w="2062" w:type="dxa"/>
            <w:vAlign w:val="center"/>
          </w:tcPr>
          <w:p w14:paraId="606F045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144F8EEA">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龄</w:t>
            </w:r>
          </w:p>
        </w:tc>
        <w:tc>
          <w:tcPr>
            <w:tcW w:w="1398" w:type="dxa"/>
            <w:vAlign w:val="center"/>
          </w:tcPr>
          <w:p w14:paraId="248A87D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C7B6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828" w:type="dxa"/>
            <w:gridSpan w:val="2"/>
            <w:vAlign w:val="center"/>
          </w:tcPr>
          <w:p w14:paraId="6C5EBB96">
            <w:pPr>
              <w:keepNext w:val="0"/>
              <w:keepLines w:val="0"/>
              <w:pageBreakBefore w:val="0"/>
              <w:widowControl/>
              <w:kinsoku w:val="0"/>
              <w:wordWrap w:val="0"/>
              <w:overflowPunct/>
              <w:topLinePunct w:val="0"/>
              <w:autoSpaceDE w:val="0"/>
              <w:autoSpaceDN w:val="0"/>
              <w:bidi w:val="0"/>
              <w:adjustRightInd w:val="0"/>
              <w:snapToGrid w:val="0"/>
              <w:spacing w:before="175"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务</w:t>
            </w:r>
          </w:p>
        </w:tc>
        <w:tc>
          <w:tcPr>
            <w:tcW w:w="1294" w:type="dxa"/>
            <w:gridSpan w:val="2"/>
            <w:vAlign w:val="center"/>
          </w:tcPr>
          <w:p w14:paraId="49703266">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7" w:type="dxa"/>
            <w:vAlign w:val="center"/>
          </w:tcPr>
          <w:p w14:paraId="275BEF66">
            <w:pPr>
              <w:keepNext w:val="0"/>
              <w:keepLines w:val="0"/>
              <w:pageBreakBefore w:val="0"/>
              <w:widowControl/>
              <w:kinsoku w:val="0"/>
              <w:wordWrap w:val="0"/>
              <w:overflowPunct/>
              <w:topLinePunct w:val="0"/>
              <w:autoSpaceDE w:val="0"/>
              <w:autoSpaceDN w:val="0"/>
              <w:bidi w:val="0"/>
              <w:adjustRightInd w:val="0"/>
              <w:snapToGrid w:val="0"/>
              <w:spacing w:before="174" w:line="231"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称</w:t>
            </w:r>
          </w:p>
        </w:tc>
        <w:tc>
          <w:tcPr>
            <w:tcW w:w="2062" w:type="dxa"/>
            <w:vAlign w:val="center"/>
          </w:tcPr>
          <w:p w14:paraId="16D1E87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3B726250">
            <w:pPr>
              <w:keepNext w:val="0"/>
              <w:keepLines w:val="0"/>
              <w:pageBreakBefore w:val="0"/>
              <w:widowControl/>
              <w:kinsoku w:val="0"/>
              <w:wordWrap w:val="0"/>
              <w:overflowPunct/>
              <w:topLinePunct w:val="0"/>
              <w:autoSpaceDE w:val="0"/>
              <w:autoSpaceDN w:val="0"/>
              <w:bidi w:val="0"/>
              <w:adjustRightInd w:val="0"/>
              <w:snapToGrid w:val="0"/>
              <w:spacing w:before="175"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学   历</w:t>
            </w:r>
          </w:p>
        </w:tc>
        <w:tc>
          <w:tcPr>
            <w:tcW w:w="1398" w:type="dxa"/>
            <w:vAlign w:val="center"/>
          </w:tcPr>
          <w:p w14:paraId="18686FE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8DD0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828" w:type="dxa"/>
            <w:gridSpan w:val="2"/>
            <w:vAlign w:val="center"/>
          </w:tcPr>
          <w:p w14:paraId="6CA0A6E3">
            <w:pPr>
              <w:keepNext w:val="0"/>
              <w:keepLines w:val="0"/>
              <w:pageBreakBefore w:val="0"/>
              <w:widowControl/>
              <w:kinsoku w:val="0"/>
              <w:wordWrap w:val="0"/>
              <w:overflowPunct/>
              <w:topLinePunct w:val="0"/>
              <w:autoSpaceDE w:val="0"/>
              <w:autoSpaceDN w:val="0"/>
              <w:bidi w:val="0"/>
              <w:adjustRightInd w:val="0"/>
              <w:snapToGrid w:val="0"/>
              <w:spacing w:before="175"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参加工作时间</w:t>
            </w:r>
          </w:p>
        </w:tc>
        <w:tc>
          <w:tcPr>
            <w:tcW w:w="2651" w:type="dxa"/>
            <w:gridSpan w:val="3"/>
            <w:vAlign w:val="center"/>
          </w:tcPr>
          <w:p w14:paraId="1D8F273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3860" w:type="dxa"/>
            <w:gridSpan w:val="2"/>
            <w:vAlign w:val="center"/>
          </w:tcPr>
          <w:p w14:paraId="1DCA2560">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从事工程建设项目管理工作年限</w:t>
            </w:r>
          </w:p>
        </w:tc>
        <w:tc>
          <w:tcPr>
            <w:tcW w:w="1398" w:type="dxa"/>
            <w:vAlign w:val="center"/>
          </w:tcPr>
          <w:p w14:paraId="55F6DD2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5205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737" w:type="dxa"/>
            <w:gridSpan w:val="8"/>
            <w:vAlign w:val="center"/>
          </w:tcPr>
          <w:p w14:paraId="1985FCD7">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以项目经理身份参与过的主要业绩（已完工项目）</w:t>
            </w:r>
          </w:p>
        </w:tc>
      </w:tr>
      <w:tr w14:paraId="6A55E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18" w:type="dxa"/>
            <w:vAlign w:val="center"/>
          </w:tcPr>
          <w:p w14:paraId="226DD453">
            <w:pPr>
              <w:keepNext w:val="0"/>
              <w:keepLines w:val="0"/>
              <w:pageBreakBefore w:val="0"/>
              <w:widowControl/>
              <w:kinsoku w:val="0"/>
              <w:wordWrap w:val="0"/>
              <w:overflowPunct/>
              <w:topLinePunct w:val="0"/>
              <w:autoSpaceDE w:val="0"/>
              <w:autoSpaceDN w:val="0"/>
              <w:bidi w:val="0"/>
              <w:adjustRightInd w:val="0"/>
              <w:snapToGrid w:val="0"/>
              <w:spacing w:before="176"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序号</w:t>
            </w:r>
          </w:p>
        </w:tc>
        <w:tc>
          <w:tcPr>
            <w:tcW w:w="1624" w:type="dxa"/>
            <w:gridSpan w:val="2"/>
            <w:vAlign w:val="center"/>
          </w:tcPr>
          <w:p w14:paraId="67B2AAAA">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项目名称</w:t>
            </w:r>
          </w:p>
        </w:tc>
        <w:tc>
          <w:tcPr>
            <w:tcW w:w="2037" w:type="dxa"/>
            <w:gridSpan w:val="2"/>
            <w:vAlign w:val="center"/>
          </w:tcPr>
          <w:p w14:paraId="4801985C">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2062" w:type="dxa"/>
            <w:vAlign w:val="center"/>
          </w:tcPr>
          <w:p w14:paraId="027FA0A0">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建设内容和规模</w:t>
            </w:r>
          </w:p>
        </w:tc>
        <w:tc>
          <w:tcPr>
            <w:tcW w:w="1798" w:type="dxa"/>
            <w:vAlign w:val="center"/>
          </w:tcPr>
          <w:p w14:paraId="13665F3A">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开、竣工日期</w:t>
            </w:r>
          </w:p>
        </w:tc>
        <w:tc>
          <w:tcPr>
            <w:tcW w:w="1398" w:type="dxa"/>
            <w:vAlign w:val="center"/>
          </w:tcPr>
          <w:p w14:paraId="1363170B">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质量等级</w:t>
            </w:r>
          </w:p>
        </w:tc>
      </w:tr>
      <w:tr w14:paraId="69665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67F61AFB">
            <w:pPr>
              <w:keepNext w:val="0"/>
              <w:keepLines w:val="0"/>
              <w:pageBreakBefore w:val="0"/>
              <w:widowControl/>
              <w:kinsoku w:val="0"/>
              <w:wordWrap w:val="0"/>
              <w:overflowPunct/>
              <w:topLinePunct w:val="0"/>
              <w:autoSpaceDE w:val="0"/>
              <w:autoSpaceDN w:val="0"/>
              <w:bidi w:val="0"/>
              <w:adjustRightInd w:val="0"/>
              <w:snapToGrid w:val="0"/>
              <w:spacing w:before="214"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1624" w:type="dxa"/>
            <w:gridSpan w:val="2"/>
            <w:vAlign w:val="center"/>
          </w:tcPr>
          <w:p w14:paraId="6B906EE2">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39014A66">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015E44A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191B5C4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5601622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ADBD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8" w:type="dxa"/>
            <w:vAlign w:val="center"/>
          </w:tcPr>
          <w:p w14:paraId="2D37EB61">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1624" w:type="dxa"/>
            <w:gridSpan w:val="2"/>
            <w:vAlign w:val="center"/>
          </w:tcPr>
          <w:p w14:paraId="3F9424A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5C8C87A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4B5D2BB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347BC37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0D3458B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612B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3C8FBE28">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w:t>
            </w:r>
          </w:p>
        </w:tc>
        <w:tc>
          <w:tcPr>
            <w:tcW w:w="1624" w:type="dxa"/>
            <w:gridSpan w:val="2"/>
            <w:vAlign w:val="center"/>
          </w:tcPr>
          <w:p w14:paraId="05CB1FA8">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67C95E4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0F3F3FC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7EEF915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1073B937">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5BEC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18" w:type="dxa"/>
            <w:vAlign w:val="center"/>
          </w:tcPr>
          <w:p w14:paraId="68FD65E9">
            <w:pPr>
              <w:keepNext w:val="0"/>
              <w:keepLines w:val="0"/>
              <w:pageBreakBefore w:val="0"/>
              <w:widowControl/>
              <w:kinsoku w:val="0"/>
              <w:wordWrap w:val="0"/>
              <w:overflowPunct/>
              <w:topLinePunct w:val="0"/>
              <w:autoSpaceDE w:val="0"/>
              <w:autoSpaceDN w:val="0"/>
              <w:bidi w:val="0"/>
              <w:adjustRightInd w:val="0"/>
              <w:snapToGrid w:val="0"/>
              <w:spacing w:before="177" w:line="325" w:lineRule="exact"/>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tc>
        <w:tc>
          <w:tcPr>
            <w:tcW w:w="1624" w:type="dxa"/>
            <w:gridSpan w:val="2"/>
            <w:vAlign w:val="center"/>
          </w:tcPr>
          <w:p w14:paraId="11BEC3E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3178352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01C4C87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7DE5047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26308B2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2A57AD35">
      <w:pPr>
        <w:pStyle w:val="5"/>
        <w:keepNext w:val="0"/>
        <w:keepLines w:val="0"/>
        <w:pageBreakBefore w:val="0"/>
        <w:wordWrap w:val="0"/>
        <w:overflowPunct/>
        <w:topLinePunct w:val="0"/>
        <w:bidi w:val="0"/>
        <w:spacing w:line="315" w:lineRule="auto"/>
        <w:rPr>
          <w:rFonts w:hint="eastAsia" w:ascii="宋体" w:hAnsi="宋体" w:eastAsia="宋体" w:cs="宋体"/>
          <w:color w:val="000000" w:themeColor="text1"/>
          <w:spacing w:val="0"/>
          <w:highlight w:val="none"/>
          <w14:textFill>
            <w14:solidFill>
              <w14:schemeClr w14:val="tx1"/>
            </w14:solidFill>
          </w14:textFill>
        </w:rPr>
      </w:pPr>
    </w:p>
    <w:p w14:paraId="006CE30E">
      <w:pPr>
        <w:keepNext w:val="0"/>
        <w:keepLines w:val="0"/>
        <w:pageBreakBefore w:val="0"/>
        <w:wordWrap w:val="0"/>
        <w:overflowPunct/>
        <w:topLinePunct w:val="0"/>
        <w:bidi w:val="0"/>
        <w:spacing w:before="78" w:line="220" w:lineRule="auto"/>
        <w:ind w:left="69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项目经理：</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w:t>
      </w:r>
    </w:p>
    <w:p w14:paraId="16855C17">
      <w:pPr>
        <w:pStyle w:val="5"/>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highlight w:val="none"/>
          <w14:textFill>
            <w14:solidFill>
              <w14:schemeClr w14:val="tx1"/>
            </w14:solidFill>
          </w14:textFill>
        </w:rPr>
      </w:pPr>
    </w:p>
    <w:p w14:paraId="13503D5A">
      <w:pPr>
        <w:pStyle w:val="5"/>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2046C6DB">
      <w:pPr>
        <w:keepNext w:val="0"/>
        <w:keepLines w:val="0"/>
        <w:pageBreakBefore w:val="0"/>
        <w:wordWrap w:val="0"/>
        <w:overflowPunct/>
        <w:topLinePunct w:val="0"/>
        <w:bidi w:val="0"/>
        <w:spacing w:before="78" w:line="220" w:lineRule="auto"/>
        <w:ind w:left="4226"/>
        <w:jc w:val="center"/>
        <w:rPr>
          <w:rFonts w:hint="eastAsia" w:ascii="宋体" w:hAnsi="宋体" w:eastAsia="宋体" w:cs="宋体"/>
          <w:color w:val="000000" w:themeColor="text1"/>
          <w:spacing w:val="0"/>
          <w:highlight w:val="none"/>
          <w14:textFill>
            <w14:solidFill>
              <w14:schemeClr w14:val="tx1"/>
            </w14:solidFill>
          </w14:textFill>
        </w:rPr>
      </w:pPr>
    </w:p>
    <w:p w14:paraId="338141CB">
      <w:pPr>
        <w:pStyle w:val="5"/>
        <w:keepNext w:val="0"/>
        <w:keepLines w:val="0"/>
        <w:pageBreakBefore w:val="0"/>
        <w:wordWrap w:val="0"/>
        <w:overflowPunct/>
        <w:topLinePunct w:val="0"/>
        <w:bidi w:val="0"/>
        <w:spacing w:line="241" w:lineRule="auto"/>
        <w:rPr>
          <w:rFonts w:hint="eastAsia" w:ascii="宋体" w:hAnsi="宋体" w:eastAsia="宋体" w:cs="宋体"/>
          <w:color w:val="000000" w:themeColor="text1"/>
          <w:spacing w:val="0"/>
          <w:highlight w:val="none"/>
          <w14:textFill>
            <w14:solidFill>
              <w14:schemeClr w14:val="tx1"/>
            </w14:solidFill>
          </w14:textFill>
        </w:rPr>
      </w:pPr>
    </w:p>
    <w:p w14:paraId="0D471702">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说明：《项目经理简历表》后应附拟派项目经理以下资料：</w:t>
      </w:r>
    </w:p>
    <w:p w14:paraId="2281CD1D">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257" w:name="_Toc25271"/>
      <w:bookmarkStart w:id="258" w:name="_Toc1942"/>
      <w:r>
        <w:rPr>
          <w:rFonts w:hint="eastAsia" w:ascii="宋体" w:hAnsi="宋体" w:eastAsia="宋体" w:cs="宋体"/>
          <w:color w:val="000000" w:themeColor="text1"/>
          <w:spacing w:val="0"/>
          <w:sz w:val="24"/>
          <w:szCs w:val="24"/>
          <w:highlight w:val="none"/>
          <w14:textFill>
            <w14:solidFill>
              <w14:schemeClr w14:val="tx1"/>
            </w14:solidFill>
          </w14:textFill>
        </w:rPr>
        <w:t>1 ．身份证彩色扫描件；</w:t>
      </w:r>
      <w:bookmarkEnd w:id="257"/>
      <w:bookmarkEnd w:id="258"/>
    </w:p>
    <w:p w14:paraId="256029DB">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．建造师电子注册证书（在使用有效期内的有效电子证书）彩色扫描件；</w:t>
      </w:r>
    </w:p>
    <w:p w14:paraId="66281E20">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3．B 类安全生产考核合格证书彩色扫描件或广东省建筑施工企业管理人员安全生产考核系统考核合格信息彩色扫描件；</w:t>
      </w:r>
    </w:p>
    <w:p w14:paraId="76F37EF6">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 ．在本单位缴纳社保</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的证明（至少</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个月，其</w:t>
      </w:r>
      <w:bookmarkStart w:id="259" w:name="OLE_LINK38"/>
      <w:r>
        <w:rPr>
          <w:rFonts w:hint="eastAsia" w:ascii="宋体" w:hAnsi="宋体" w:eastAsia="宋体" w:cs="宋体"/>
          <w:color w:val="000000" w:themeColor="text1"/>
          <w:spacing w:val="0"/>
          <w:sz w:val="24"/>
          <w:szCs w:val="24"/>
          <w:highlight w:val="none"/>
          <w:lang w:eastAsia="zh-CN"/>
          <w14:textFill>
            <w14:solidFill>
              <w14:schemeClr w14:val="tx1"/>
            </w14:solidFill>
          </w14:textFill>
        </w:rPr>
        <w:t>中必须有202</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年</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月</w:t>
      </w:r>
      <w:bookmarkEnd w:id="259"/>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扫描</w:t>
      </w:r>
      <w:r>
        <w:rPr>
          <w:rFonts w:hint="eastAsia" w:ascii="宋体" w:hAnsi="宋体" w:eastAsia="宋体" w:cs="宋体"/>
          <w:color w:val="000000" w:themeColor="text1"/>
          <w:spacing w:val="0"/>
          <w:sz w:val="24"/>
          <w:szCs w:val="24"/>
          <w:highlight w:val="none"/>
          <w14:textFill>
            <w14:solidFill>
              <w14:schemeClr w14:val="tx1"/>
            </w14:solidFill>
          </w14:textFill>
        </w:rPr>
        <w:t>件或打印件。拟派项目经理为退休返聘人员无法提供社保证明的，提供退休证和劳动合同彩色扫描件。</w:t>
      </w:r>
    </w:p>
    <w:p w14:paraId="2A87991E">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 ．“进粤企业和人员诚信信息登记平台 ”个人信息情况截图。（适用于省外建筑企业）</w:t>
      </w:r>
    </w:p>
    <w:p w14:paraId="4BCF539F">
      <w:pPr>
        <w:pStyle w:val="24"/>
        <w:rPr>
          <w:rFonts w:hint="eastAsia" w:ascii="宋体" w:hAnsi="宋体" w:eastAsia="宋体" w:cs="宋体"/>
          <w:color w:val="000000" w:themeColor="text1"/>
          <w:highlight w:val="none"/>
          <w14:textFill>
            <w14:solidFill>
              <w14:schemeClr w14:val="tx1"/>
            </w14:solidFill>
          </w14:textFill>
        </w:rPr>
      </w:pPr>
    </w:p>
    <w:p w14:paraId="00386200">
      <w:pPr>
        <w:keepNext w:val="0"/>
        <w:keepLines w:val="0"/>
        <w:pageBreakBefore w:val="0"/>
        <w:wordWrap w:val="0"/>
        <w:overflowPunct/>
        <w:topLinePunct w:val="0"/>
        <w:bidi w:val="0"/>
        <w:spacing w:line="300" w:lineRule="auto"/>
        <w:rPr>
          <w:rFonts w:hint="eastAsia" w:ascii="宋体" w:hAnsi="宋体" w:eastAsia="宋体" w:cs="宋体"/>
          <w:color w:val="000000" w:themeColor="text1"/>
          <w:spacing w:val="0"/>
          <w:sz w:val="20"/>
          <w:szCs w:val="20"/>
          <w:highlight w:val="none"/>
          <w14:textFill>
            <w14:solidFill>
              <w14:schemeClr w14:val="tx1"/>
            </w14:solidFill>
          </w14:textFill>
        </w:rPr>
        <w:sectPr>
          <w:footerReference r:id="rId20"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A1871F0">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60" w:name="_Toc6105"/>
      <w:r>
        <w:rPr>
          <w:rFonts w:hint="eastAsia" w:ascii="宋体" w:hAnsi="宋体" w:eastAsia="宋体" w:cs="宋体"/>
          <w:b/>
          <w:bCs/>
          <w:color w:val="000000" w:themeColor="text1"/>
          <w:spacing w:val="0"/>
          <w:sz w:val="24"/>
          <w:szCs w:val="24"/>
          <w:highlight w:val="none"/>
          <w14:textFill>
            <w14:solidFill>
              <w14:schemeClr w14:val="tx1"/>
            </w14:solidFill>
          </w14:textFill>
        </w:rPr>
        <w:t>格式九 项目经理任职声明</w:t>
      </w:r>
      <w:bookmarkEnd w:id="260"/>
    </w:p>
    <w:p w14:paraId="0578F8FA">
      <w:pPr>
        <w:pStyle w:val="5"/>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18B06342">
      <w:pPr>
        <w:pStyle w:val="5"/>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40F834AF">
      <w:pPr>
        <w:keepNext w:val="0"/>
        <w:keepLines w:val="0"/>
        <w:pageBreakBefore w:val="0"/>
        <w:wordWrap w:val="0"/>
        <w:overflowPunct/>
        <w:topLinePunct w:val="0"/>
        <w:bidi w:val="0"/>
        <w:spacing w:before="98" w:line="220" w:lineRule="auto"/>
        <w:ind w:left="3338"/>
        <w:rPr>
          <w:rFonts w:hint="eastAsia" w:ascii="宋体" w:hAnsi="宋体" w:eastAsia="宋体" w:cs="宋体"/>
          <w:color w:val="000000" w:themeColor="text1"/>
          <w:spacing w:val="0"/>
          <w:sz w:val="30"/>
          <w:szCs w:val="30"/>
          <w:highlight w:val="none"/>
          <w14:textFill>
            <w14:solidFill>
              <w14:schemeClr w14:val="tx1"/>
            </w14:solidFill>
          </w14:textFill>
        </w:rPr>
      </w:pPr>
      <w:bookmarkStart w:id="261" w:name="bookmark157"/>
      <w:bookmarkEnd w:id="261"/>
      <w:r>
        <w:rPr>
          <w:rFonts w:hint="eastAsia" w:ascii="宋体" w:hAnsi="宋体" w:eastAsia="宋体" w:cs="宋体"/>
          <w:b/>
          <w:bCs/>
          <w:color w:val="000000" w:themeColor="text1"/>
          <w:spacing w:val="0"/>
          <w:sz w:val="30"/>
          <w:szCs w:val="30"/>
          <w:highlight w:val="none"/>
          <w14:textFill>
            <w14:solidFill>
              <w14:schemeClr w14:val="tx1"/>
            </w14:solidFill>
          </w14:textFill>
        </w:rPr>
        <w:t>项目经理任职声明</w:t>
      </w:r>
    </w:p>
    <w:p w14:paraId="532E6150">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5161A470">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641FA575">
      <w:pPr>
        <w:pStyle w:val="5"/>
        <w:keepNext w:val="0"/>
        <w:keepLines w:val="0"/>
        <w:pageBreakBefore w:val="0"/>
        <w:wordWrap w:val="0"/>
        <w:overflowPunct/>
        <w:topLinePunct w:val="0"/>
        <w:bidi w:val="0"/>
        <w:spacing w:line="251" w:lineRule="auto"/>
        <w:rPr>
          <w:rFonts w:hint="eastAsia" w:ascii="宋体" w:hAnsi="宋体" w:eastAsia="宋体" w:cs="宋体"/>
          <w:color w:val="000000" w:themeColor="text1"/>
          <w:spacing w:val="0"/>
          <w:highlight w:val="none"/>
          <w14:textFill>
            <w14:solidFill>
              <w14:schemeClr w14:val="tx1"/>
            </w14:solidFill>
          </w14:textFill>
        </w:rPr>
      </w:pPr>
    </w:p>
    <w:p w14:paraId="5A6A5383">
      <w:pPr>
        <w:keepNext w:val="0"/>
        <w:keepLines w:val="0"/>
        <w:pageBreakBefore w:val="0"/>
        <w:wordWrap w:val="0"/>
        <w:overflowPunct/>
        <w:topLinePunct w:val="0"/>
        <w:bidi w:val="0"/>
        <w:spacing w:before="78" w:line="221" w:lineRule="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致：</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（招标人名称）</w:t>
      </w:r>
    </w:p>
    <w:p w14:paraId="6DF111E3">
      <w:pPr>
        <w:keepNext w:val="0"/>
        <w:keepLines w:val="0"/>
        <w:pageBreakBefore w:val="0"/>
        <w:wordWrap w:val="0"/>
        <w:overflowPunct/>
        <w:topLinePunct w:val="0"/>
        <w:bidi w:val="0"/>
        <w:spacing w:before="155" w:line="324" w:lineRule="auto"/>
        <w:ind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我方在此声明，我方拟派往</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（项目名称）的项目经理</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（项目经理姓名）现阶段没有担任任何在施（包括已中标未开工、已开工未竣工）建设工程项目的项目经理。</w:t>
      </w:r>
    </w:p>
    <w:p w14:paraId="30B4DC4A">
      <w:pPr>
        <w:keepNext w:val="0"/>
        <w:keepLines w:val="0"/>
        <w:pageBreakBefore w:val="0"/>
        <w:wordWrap w:val="0"/>
        <w:overflowPunct/>
        <w:topLinePunct w:val="0"/>
        <w:bidi w:val="0"/>
        <w:spacing w:before="35" w:line="326" w:lineRule="auto"/>
        <w:ind w:firstLine="4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我方保证上述信息的真实和准确，并愿意承担因我方就此弄虚作假所引起的一切法律后果。</w:t>
      </w:r>
    </w:p>
    <w:p w14:paraId="3FFEA1FE">
      <w:pPr>
        <w:pStyle w:val="5"/>
        <w:keepNext w:val="0"/>
        <w:keepLines w:val="0"/>
        <w:pageBreakBefore w:val="0"/>
        <w:wordWrap w:val="0"/>
        <w:overflowPunct/>
        <w:topLinePunct w:val="0"/>
        <w:bidi w:val="0"/>
        <w:spacing w:line="391" w:lineRule="auto"/>
        <w:rPr>
          <w:rFonts w:hint="eastAsia" w:ascii="宋体" w:hAnsi="宋体" w:eastAsia="宋体" w:cs="宋体"/>
          <w:color w:val="000000" w:themeColor="text1"/>
          <w:spacing w:val="0"/>
          <w:highlight w:val="none"/>
          <w14:textFill>
            <w14:solidFill>
              <w14:schemeClr w14:val="tx1"/>
            </w14:solidFill>
          </w14:textFill>
        </w:rPr>
      </w:pPr>
    </w:p>
    <w:p w14:paraId="2CFADE2D">
      <w:pPr>
        <w:keepNext w:val="0"/>
        <w:keepLines w:val="0"/>
        <w:pageBreakBefore w:val="0"/>
        <w:wordWrap w:val="0"/>
        <w:overflowPunct/>
        <w:topLinePunct w:val="0"/>
        <w:bidi w:val="0"/>
        <w:spacing w:before="78" w:line="220" w:lineRule="auto"/>
        <w:ind w:left="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特此承诺</w:t>
      </w:r>
    </w:p>
    <w:p w14:paraId="187690F7">
      <w:pPr>
        <w:pStyle w:val="5"/>
        <w:keepNext w:val="0"/>
        <w:keepLines w:val="0"/>
        <w:pageBreakBefore w:val="0"/>
        <w:wordWrap w:val="0"/>
        <w:overflowPunct/>
        <w:topLinePunct w:val="0"/>
        <w:bidi w:val="0"/>
        <w:spacing w:line="316" w:lineRule="auto"/>
        <w:rPr>
          <w:rFonts w:hint="eastAsia" w:ascii="宋体" w:hAnsi="宋体" w:eastAsia="宋体" w:cs="宋体"/>
          <w:color w:val="000000" w:themeColor="text1"/>
          <w:spacing w:val="0"/>
          <w:highlight w:val="none"/>
          <w14:textFill>
            <w14:solidFill>
              <w14:schemeClr w14:val="tx1"/>
            </w14:solidFill>
          </w14:textFill>
        </w:rPr>
      </w:pPr>
    </w:p>
    <w:p w14:paraId="5CA4FAA1">
      <w:pPr>
        <w:pStyle w:val="5"/>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66166C76">
      <w:pPr>
        <w:pStyle w:val="5"/>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07DB27C5">
      <w:pPr>
        <w:keepNext w:val="0"/>
        <w:keepLines w:val="0"/>
        <w:pageBreakBefore w:val="0"/>
        <w:wordWrap w:val="0"/>
        <w:overflowPunct/>
        <w:topLinePunct w:val="0"/>
        <w:bidi w:val="0"/>
        <w:spacing w:before="79"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1AF704E9">
      <w:pPr>
        <w:pStyle w:val="5"/>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4421D560">
      <w:pPr>
        <w:pStyle w:val="5"/>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7188D609">
      <w:pPr>
        <w:pStyle w:val="5"/>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6A29B34B">
      <w:pPr>
        <w:keepNext w:val="0"/>
        <w:keepLines w:val="0"/>
        <w:pageBreakBefore w:val="0"/>
        <w:wordWrap w:val="0"/>
        <w:overflowPunct/>
        <w:topLinePunct w:val="0"/>
        <w:bidi w:val="0"/>
        <w:spacing w:before="78"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6AD94480">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234EACCA">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348EEA26">
      <w:pPr>
        <w:pStyle w:val="5"/>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2C2A7387">
      <w:pPr>
        <w:keepNext w:val="0"/>
        <w:keepLines w:val="0"/>
        <w:pageBreakBefore w:val="0"/>
        <w:wordWrap w:val="0"/>
        <w:overflowPunct/>
        <w:topLinePunct w:val="0"/>
        <w:bidi w:val="0"/>
        <w:spacing w:line="220"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2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E9C11AF">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62" w:name="_Toc1750"/>
      <w:r>
        <w:rPr>
          <w:rFonts w:hint="eastAsia" w:ascii="宋体" w:hAnsi="宋体" w:eastAsia="宋体" w:cs="宋体"/>
          <w:b/>
          <w:bCs/>
          <w:color w:val="000000" w:themeColor="text1"/>
          <w:spacing w:val="0"/>
          <w:sz w:val="24"/>
          <w:szCs w:val="24"/>
          <w:highlight w:val="none"/>
          <w14:textFill>
            <w14:solidFill>
              <w14:schemeClr w14:val="tx1"/>
            </w14:solidFill>
          </w14:textFill>
        </w:rPr>
        <w:t>格式十 项目技术负责人简历表</w:t>
      </w:r>
      <w:bookmarkEnd w:id="262"/>
    </w:p>
    <w:p w14:paraId="4A542C8B">
      <w:pPr>
        <w:pStyle w:val="5"/>
        <w:keepNext w:val="0"/>
        <w:keepLines w:val="0"/>
        <w:pageBreakBefore w:val="0"/>
        <w:wordWrap w:val="0"/>
        <w:overflowPunct/>
        <w:topLinePunct w:val="0"/>
        <w:bidi w:val="0"/>
        <w:spacing w:line="444" w:lineRule="auto"/>
        <w:rPr>
          <w:rFonts w:hint="eastAsia" w:ascii="宋体" w:hAnsi="宋体" w:eastAsia="宋体" w:cs="宋体"/>
          <w:color w:val="000000" w:themeColor="text1"/>
          <w:spacing w:val="0"/>
          <w:highlight w:val="none"/>
          <w14:textFill>
            <w14:solidFill>
              <w14:schemeClr w14:val="tx1"/>
            </w14:solidFill>
          </w14:textFill>
        </w:rPr>
      </w:pPr>
    </w:p>
    <w:p w14:paraId="19FD339A">
      <w:pPr>
        <w:keepNext w:val="0"/>
        <w:keepLines w:val="0"/>
        <w:pageBreakBefore w:val="0"/>
        <w:wordWrap w:val="0"/>
        <w:overflowPunct/>
        <w:topLinePunct w:val="0"/>
        <w:bidi w:val="0"/>
        <w:spacing w:before="97" w:line="219" w:lineRule="auto"/>
        <w:ind w:left="3087"/>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63" w:name="_Toc1553"/>
      <w:bookmarkStart w:id="264" w:name="_Toc25712"/>
      <w:r>
        <w:rPr>
          <w:rFonts w:hint="eastAsia" w:ascii="宋体" w:hAnsi="宋体" w:eastAsia="宋体" w:cs="宋体"/>
          <w:b/>
          <w:bCs/>
          <w:color w:val="000000" w:themeColor="text1"/>
          <w:spacing w:val="0"/>
          <w:sz w:val="30"/>
          <w:szCs w:val="30"/>
          <w:highlight w:val="none"/>
          <w14:textFill>
            <w14:solidFill>
              <w14:schemeClr w14:val="tx1"/>
            </w14:solidFill>
          </w14:textFill>
        </w:rPr>
        <w:t>项目技术负责人简历表</w:t>
      </w:r>
      <w:bookmarkEnd w:id="263"/>
      <w:bookmarkEnd w:id="264"/>
    </w:p>
    <w:p w14:paraId="76293364">
      <w:pPr>
        <w:keepNext w:val="0"/>
        <w:keepLines w:val="0"/>
        <w:pageBreakBefore w:val="0"/>
        <w:wordWrap w:val="0"/>
        <w:overflowPunct/>
        <w:topLinePunct w:val="0"/>
        <w:bidi w:val="0"/>
        <w:spacing w:line="240" w:lineRule="exact"/>
        <w:rPr>
          <w:rFonts w:hint="eastAsia" w:ascii="宋体" w:hAnsi="宋体" w:eastAsia="宋体" w:cs="宋体"/>
          <w:color w:val="000000" w:themeColor="text1"/>
          <w:spacing w:val="0"/>
          <w:highlight w:val="none"/>
          <w14:textFill>
            <w14:solidFill>
              <w14:schemeClr w14:val="tx1"/>
            </w14:solidFill>
          </w14:textFill>
        </w:rPr>
      </w:pPr>
    </w:p>
    <w:tbl>
      <w:tblPr>
        <w:tblStyle w:val="14"/>
        <w:tblW w:w="96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003"/>
        <w:gridCol w:w="607"/>
        <w:gridCol w:w="675"/>
        <w:gridCol w:w="1346"/>
        <w:gridCol w:w="2047"/>
        <w:gridCol w:w="1783"/>
        <w:gridCol w:w="1386"/>
      </w:tblGrid>
      <w:tr w14:paraId="2EEC3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813" w:type="dxa"/>
            <w:gridSpan w:val="2"/>
            <w:vAlign w:val="center"/>
          </w:tcPr>
          <w:p w14:paraId="202B1A61">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姓   名</w:t>
            </w:r>
          </w:p>
        </w:tc>
        <w:tc>
          <w:tcPr>
            <w:tcW w:w="1282" w:type="dxa"/>
            <w:gridSpan w:val="2"/>
            <w:vAlign w:val="center"/>
          </w:tcPr>
          <w:p w14:paraId="35180F15">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pPr>
          </w:p>
        </w:tc>
        <w:tc>
          <w:tcPr>
            <w:tcW w:w="1346" w:type="dxa"/>
            <w:vAlign w:val="center"/>
          </w:tcPr>
          <w:p w14:paraId="411B9C93">
            <w:pPr>
              <w:keepNext w:val="0"/>
              <w:keepLines w:val="0"/>
              <w:pageBreakBefore w:val="0"/>
              <w:widowControl/>
              <w:kinsoku w:val="0"/>
              <w:wordWrap w:val="0"/>
              <w:overflowPunct/>
              <w:topLinePunct w:val="0"/>
              <w:autoSpaceDE w:val="0"/>
              <w:autoSpaceDN w:val="0"/>
              <w:bidi w:val="0"/>
              <w:adjustRightInd w:val="0"/>
              <w:snapToGrid w:val="0"/>
              <w:spacing w:before="177"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性  别</w:t>
            </w:r>
          </w:p>
        </w:tc>
        <w:tc>
          <w:tcPr>
            <w:tcW w:w="2047" w:type="dxa"/>
            <w:vAlign w:val="center"/>
          </w:tcPr>
          <w:p w14:paraId="2F452FF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2A711865">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龄</w:t>
            </w:r>
          </w:p>
        </w:tc>
        <w:tc>
          <w:tcPr>
            <w:tcW w:w="1386" w:type="dxa"/>
            <w:vAlign w:val="center"/>
          </w:tcPr>
          <w:p w14:paraId="5240B45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6C2B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1813" w:type="dxa"/>
            <w:gridSpan w:val="2"/>
            <w:vAlign w:val="center"/>
          </w:tcPr>
          <w:p w14:paraId="29B76BC5">
            <w:pPr>
              <w:keepNext w:val="0"/>
              <w:keepLines w:val="0"/>
              <w:pageBreakBefore w:val="0"/>
              <w:widowControl/>
              <w:kinsoku w:val="0"/>
              <w:wordWrap w:val="0"/>
              <w:overflowPunct/>
              <w:topLinePunct w:val="0"/>
              <w:autoSpaceDE w:val="0"/>
              <w:autoSpaceDN w:val="0"/>
              <w:bidi w:val="0"/>
              <w:adjustRightInd w:val="0"/>
              <w:snapToGrid w:val="0"/>
              <w:spacing w:before="175"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务</w:t>
            </w:r>
          </w:p>
        </w:tc>
        <w:tc>
          <w:tcPr>
            <w:tcW w:w="1282" w:type="dxa"/>
            <w:gridSpan w:val="2"/>
            <w:vAlign w:val="center"/>
          </w:tcPr>
          <w:p w14:paraId="307065D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46" w:type="dxa"/>
            <w:vAlign w:val="center"/>
          </w:tcPr>
          <w:p w14:paraId="2E6461F1">
            <w:pPr>
              <w:keepNext w:val="0"/>
              <w:keepLines w:val="0"/>
              <w:pageBreakBefore w:val="0"/>
              <w:widowControl/>
              <w:kinsoku w:val="0"/>
              <w:wordWrap w:val="0"/>
              <w:overflowPunct/>
              <w:topLinePunct w:val="0"/>
              <w:autoSpaceDE w:val="0"/>
              <w:autoSpaceDN w:val="0"/>
              <w:bidi w:val="0"/>
              <w:adjustRightInd w:val="0"/>
              <w:snapToGrid w:val="0"/>
              <w:spacing w:before="174" w:line="231"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称</w:t>
            </w:r>
          </w:p>
        </w:tc>
        <w:tc>
          <w:tcPr>
            <w:tcW w:w="2047" w:type="dxa"/>
            <w:vAlign w:val="center"/>
          </w:tcPr>
          <w:p w14:paraId="59539D9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F83FFA8">
            <w:pPr>
              <w:keepNext w:val="0"/>
              <w:keepLines w:val="0"/>
              <w:pageBreakBefore w:val="0"/>
              <w:widowControl/>
              <w:kinsoku w:val="0"/>
              <w:wordWrap w:val="0"/>
              <w:overflowPunct/>
              <w:topLinePunct w:val="0"/>
              <w:autoSpaceDE w:val="0"/>
              <w:autoSpaceDN w:val="0"/>
              <w:bidi w:val="0"/>
              <w:adjustRightInd w:val="0"/>
              <w:snapToGrid w:val="0"/>
              <w:spacing w:before="175"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学   历</w:t>
            </w:r>
          </w:p>
        </w:tc>
        <w:tc>
          <w:tcPr>
            <w:tcW w:w="1386" w:type="dxa"/>
            <w:vAlign w:val="center"/>
          </w:tcPr>
          <w:p w14:paraId="46640CD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C17D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1813" w:type="dxa"/>
            <w:gridSpan w:val="2"/>
            <w:vAlign w:val="center"/>
          </w:tcPr>
          <w:p w14:paraId="2A561424">
            <w:pPr>
              <w:keepNext w:val="0"/>
              <w:keepLines w:val="0"/>
              <w:pageBreakBefore w:val="0"/>
              <w:widowControl/>
              <w:kinsoku w:val="0"/>
              <w:wordWrap w:val="0"/>
              <w:overflowPunct/>
              <w:topLinePunct w:val="0"/>
              <w:autoSpaceDE w:val="0"/>
              <w:autoSpaceDN w:val="0"/>
              <w:bidi w:val="0"/>
              <w:adjustRightInd w:val="0"/>
              <w:snapToGrid w:val="0"/>
              <w:spacing w:before="175"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参加工作时间</w:t>
            </w:r>
          </w:p>
        </w:tc>
        <w:tc>
          <w:tcPr>
            <w:tcW w:w="2628" w:type="dxa"/>
            <w:gridSpan w:val="3"/>
            <w:vAlign w:val="center"/>
          </w:tcPr>
          <w:p w14:paraId="14B0033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3830" w:type="dxa"/>
            <w:gridSpan w:val="2"/>
            <w:vAlign w:val="center"/>
          </w:tcPr>
          <w:p w14:paraId="0B864845">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从事工程建设项目管理工作年限</w:t>
            </w:r>
          </w:p>
        </w:tc>
        <w:tc>
          <w:tcPr>
            <w:tcW w:w="1386" w:type="dxa"/>
            <w:vAlign w:val="center"/>
          </w:tcPr>
          <w:p w14:paraId="18B2FE92">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C727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657" w:type="dxa"/>
            <w:gridSpan w:val="8"/>
            <w:vAlign w:val="center"/>
          </w:tcPr>
          <w:p w14:paraId="0F93C385">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以项目技术负责人身份参与过的主要业绩（已完工项目）</w:t>
            </w:r>
          </w:p>
        </w:tc>
      </w:tr>
      <w:tr w14:paraId="259C5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810" w:type="dxa"/>
            <w:vAlign w:val="center"/>
          </w:tcPr>
          <w:p w14:paraId="23B1418B">
            <w:pPr>
              <w:keepNext w:val="0"/>
              <w:keepLines w:val="0"/>
              <w:pageBreakBefore w:val="0"/>
              <w:widowControl/>
              <w:kinsoku w:val="0"/>
              <w:wordWrap w:val="0"/>
              <w:overflowPunct/>
              <w:topLinePunct w:val="0"/>
              <w:autoSpaceDE w:val="0"/>
              <w:autoSpaceDN w:val="0"/>
              <w:bidi w:val="0"/>
              <w:adjustRightInd w:val="0"/>
              <w:snapToGrid w:val="0"/>
              <w:spacing w:before="176"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序号</w:t>
            </w:r>
          </w:p>
        </w:tc>
        <w:tc>
          <w:tcPr>
            <w:tcW w:w="1610" w:type="dxa"/>
            <w:gridSpan w:val="2"/>
            <w:vAlign w:val="center"/>
          </w:tcPr>
          <w:p w14:paraId="7FF7FF79">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项目名称</w:t>
            </w:r>
          </w:p>
        </w:tc>
        <w:tc>
          <w:tcPr>
            <w:tcW w:w="2021" w:type="dxa"/>
            <w:gridSpan w:val="2"/>
            <w:vAlign w:val="center"/>
          </w:tcPr>
          <w:p w14:paraId="7075F8FD">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2047" w:type="dxa"/>
            <w:vAlign w:val="center"/>
          </w:tcPr>
          <w:p w14:paraId="00179D26">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建设内容和规模</w:t>
            </w:r>
          </w:p>
        </w:tc>
        <w:tc>
          <w:tcPr>
            <w:tcW w:w="1783" w:type="dxa"/>
            <w:vAlign w:val="center"/>
          </w:tcPr>
          <w:p w14:paraId="236A707E">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开、竣工日期</w:t>
            </w:r>
          </w:p>
        </w:tc>
        <w:tc>
          <w:tcPr>
            <w:tcW w:w="1386" w:type="dxa"/>
            <w:vAlign w:val="center"/>
          </w:tcPr>
          <w:p w14:paraId="2BE768CF">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质量等级</w:t>
            </w:r>
          </w:p>
        </w:tc>
      </w:tr>
      <w:tr w14:paraId="04238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0F63873B">
            <w:pPr>
              <w:keepNext w:val="0"/>
              <w:keepLines w:val="0"/>
              <w:pageBreakBefore w:val="0"/>
              <w:widowControl/>
              <w:kinsoku w:val="0"/>
              <w:wordWrap w:val="0"/>
              <w:overflowPunct/>
              <w:topLinePunct w:val="0"/>
              <w:autoSpaceDE w:val="0"/>
              <w:autoSpaceDN w:val="0"/>
              <w:bidi w:val="0"/>
              <w:adjustRightInd w:val="0"/>
              <w:snapToGrid w:val="0"/>
              <w:spacing w:before="214"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1610" w:type="dxa"/>
            <w:gridSpan w:val="2"/>
            <w:vAlign w:val="center"/>
          </w:tcPr>
          <w:p w14:paraId="578F80B6">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6F99EC2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4631B1E5">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2230ED0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0169407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653F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10" w:type="dxa"/>
            <w:vAlign w:val="center"/>
          </w:tcPr>
          <w:p w14:paraId="7F39EB96">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1610" w:type="dxa"/>
            <w:gridSpan w:val="2"/>
            <w:vAlign w:val="center"/>
          </w:tcPr>
          <w:p w14:paraId="2429E20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21F39687">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187647C5">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2E10BA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2CCF984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E2BD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4C3BEFDC">
            <w:pPr>
              <w:keepNext w:val="0"/>
              <w:keepLines w:val="0"/>
              <w:pageBreakBefore w:val="0"/>
              <w:widowControl/>
              <w:kinsoku w:val="0"/>
              <w:wordWrap w:val="0"/>
              <w:overflowPunct/>
              <w:topLinePunct w:val="0"/>
              <w:autoSpaceDE w:val="0"/>
              <w:autoSpaceDN w:val="0"/>
              <w:bidi w:val="0"/>
              <w:adjustRightInd w:val="0"/>
              <w:snapToGrid w:val="0"/>
              <w:spacing w:before="178" w:line="324" w:lineRule="exact"/>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tc>
        <w:tc>
          <w:tcPr>
            <w:tcW w:w="1610" w:type="dxa"/>
            <w:gridSpan w:val="2"/>
            <w:vAlign w:val="center"/>
          </w:tcPr>
          <w:p w14:paraId="4CA19BC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3B5F7A6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2C82DE6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E92035E">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0264D79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F797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468DEEC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10" w:type="dxa"/>
            <w:gridSpan w:val="2"/>
            <w:vAlign w:val="center"/>
          </w:tcPr>
          <w:p w14:paraId="4D6AC80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477B4007">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1E64ACA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0A6E2C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262B31D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483F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810" w:type="dxa"/>
            <w:vAlign w:val="center"/>
          </w:tcPr>
          <w:p w14:paraId="46E9589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10" w:type="dxa"/>
            <w:gridSpan w:val="2"/>
            <w:vAlign w:val="center"/>
          </w:tcPr>
          <w:p w14:paraId="6C7700F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7FB1A63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748C336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47051D9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5DDD380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65A12D51">
      <w:pPr>
        <w:pStyle w:val="5"/>
        <w:keepNext w:val="0"/>
        <w:keepLines w:val="0"/>
        <w:pageBreakBefore w:val="0"/>
        <w:wordWrap w:val="0"/>
        <w:overflowPunct/>
        <w:topLinePunct w:val="0"/>
        <w:bidi w:val="0"/>
        <w:spacing w:line="31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CDD6A3">
      <w:pPr>
        <w:pStyle w:val="5"/>
        <w:keepNext w:val="0"/>
        <w:keepLines w:val="0"/>
        <w:pageBreakBefore w:val="0"/>
        <w:wordWrap w:val="0"/>
        <w:overflowPunct/>
        <w:topLinePunct w:val="0"/>
        <w:bidi w:val="0"/>
        <w:spacing w:line="31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3DA4F53">
      <w:pPr>
        <w:keepNext w:val="0"/>
        <w:keepLines w:val="0"/>
        <w:pageBreakBefore w:val="0"/>
        <w:wordWrap w:val="0"/>
        <w:overflowPunct/>
        <w:topLinePunct w:val="0"/>
        <w:bidi w:val="0"/>
        <w:spacing w:before="78" w:line="220" w:lineRule="auto"/>
        <w:ind w:left="5165"/>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项目技术负责人：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w:t>
      </w:r>
    </w:p>
    <w:p w14:paraId="765047AA">
      <w:pPr>
        <w:pStyle w:val="5"/>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p>
    <w:p w14:paraId="48E9D4AF">
      <w:pPr>
        <w:pStyle w:val="5"/>
        <w:keepNext w:val="0"/>
        <w:keepLines w:val="0"/>
        <w:pageBreakBefore w:val="0"/>
        <w:wordWrap w:val="0"/>
        <w:overflowPunct/>
        <w:topLinePunct w:val="0"/>
        <w:bidi w:val="0"/>
        <w:spacing w:line="257"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p>
    <w:p w14:paraId="7AFA30EA">
      <w:pPr>
        <w:pStyle w:val="5"/>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6EF6B21B">
      <w:pPr>
        <w:keepNext w:val="0"/>
        <w:keepLines w:val="0"/>
        <w:pageBreakBefore w:val="0"/>
        <w:widowControl/>
        <w:kinsoku w:val="0"/>
        <w:wordWrap w:val="0"/>
        <w:overflowPunct/>
        <w:topLinePunct w:val="0"/>
        <w:autoSpaceDE w:val="0"/>
        <w:autoSpaceDN w:val="0"/>
        <w:bidi w:val="0"/>
        <w:adjustRightInd/>
        <w:snapToGrid/>
        <w:spacing w:before="65"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说明：《项目技术负责人简历表》后应附拟派项目技术负责人以下资料：</w:t>
      </w:r>
    </w:p>
    <w:p w14:paraId="5ED95DA0">
      <w:pPr>
        <w:keepNext w:val="0"/>
        <w:keepLines w:val="0"/>
        <w:pageBreakBefore w:val="0"/>
        <w:widowControl/>
        <w:kinsoku w:val="0"/>
        <w:wordWrap w:val="0"/>
        <w:overflowPunct/>
        <w:topLinePunct w:val="0"/>
        <w:autoSpaceDE w:val="0"/>
        <w:autoSpaceDN w:val="0"/>
        <w:bidi w:val="0"/>
        <w:adjustRightInd/>
        <w:snapToGrid/>
        <w:spacing w:before="155"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．身份证彩色扫描件；</w:t>
      </w:r>
    </w:p>
    <w:p w14:paraId="1DB79E91">
      <w:pPr>
        <w:keepNext w:val="0"/>
        <w:keepLines w:val="0"/>
        <w:pageBreakBefore w:val="0"/>
        <w:widowControl/>
        <w:kinsoku w:val="0"/>
        <w:wordWrap w:val="0"/>
        <w:overflowPunct/>
        <w:topLinePunct w:val="0"/>
        <w:autoSpaceDE w:val="0"/>
        <w:autoSpaceDN w:val="0"/>
        <w:bidi w:val="0"/>
        <w:adjustRightInd/>
        <w:snapToGrid/>
        <w:spacing w:before="151"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．职称证彩色扫描件</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或打印件</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21264357">
      <w:pPr>
        <w:keepNext w:val="0"/>
        <w:keepLines w:val="0"/>
        <w:pageBreakBefore w:val="0"/>
        <w:widowControl/>
        <w:kinsoku w:val="0"/>
        <w:wordWrap w:val="0"/>
        <w:overflowPunct/>
        <w:topLinePunct w:val="0"/>
        <w:autoSpaceDE w:val="0"/>
        <w:autoSpaceDN w:val="0"/>
        <w:bidi w:val="0"/>
        <w:adjustRightInd/>
        <w:snapToGrid/>
        <w:spacing w:before="153"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 ．在本单位缴纳社保的证明（</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至少</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个月</w:t>
      </w:r>
      <w:r>
        <w:rPr>
          <w:rFonts w:hint="eastAsia" w:ascii="宋体" w:hAnsi="宋体" w:eastAsia="宋体" w:cs="宋体"/>
          <w:color w:val="000000" w:themeColor="text1"/>
          <w:spacing w:val="0"/>
          <w:sz w:val="24"/>
          <w:szCs w:val="24"/>
          <w:highlight w:val="none"/>
          <w14:textFill>
            <w14:solidFill>
              <w14:schemeClr w14:val="tx1"/>
            </w14:solidFill>
          </w14:textFill>
        </w:rPr>
        <w:t>，其中必须有</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202</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pacing w:val="0"/>
          <w:sz w:val="24"/>
          <w:szCs w:val="24"/>
          <w:highlight w:val="none"/>
          <w14:textFill>
            <w14:solidFill>
              <w14:schemeClr w14:val="tx1"/>
            </w14:solidFill>
          </w14:textFill>
        </w:rPr>
        <w:t>年</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pacing w:val="0"/>
          <w:sz w:val="24"/>
          <w:szCs w:val="24"/>
          <w:highlight w:val="none"/>
          <w14:textFill>
            <w14:solidFill>
              <w14:schemeClr w14:val="tx1"/>
            </w14:solidFill>
          </w14:textFill>
        </w:rPr>
        <w:t>月）扫描件</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或打印件</w:t>
      </w:r>
      <w:r>
        <w:rPr>
          <w:rFonts w:hint="eastAsia" w:ascii="宋体" w:hAnsi="宋体" w:eastAsia="宋体" w:cs="宋体"/>
          <w:color w:val="000000" w:themeColor="text1"/>
          <w:spacing w:val="0"/>
          <w:sz w:val="24"/>
          <w:szCs w:val="24"/>
          <w:highlight w:val="none"/>
          <w14:textFill>
            <w14:solidFill>
              <w14:schemeClr w14:val="tx1"/>
            </w14:solidFill>
          </w14:textFill>
        </w:rPr>
        <w:t>。 拟派项目技术负责人为退休返聘人员无法提供社保证明的，提供退休证和劳动合同彩色扫描件。</w:t>
      </w:r>
    </w:p>
    <w:p w14:paraId="6422CCA0">
      <w:pPr>
        <w:keepNext w:val="0"/>
        <w:keepLines w:val="0"/>
        <w:pageBreakBefore w:val="0"/>
        <w:widowControl/>
        <w:kinsoku w:val="0"/>
        <w:wordWrap w:val="0"/>
        <w:overflowPunct/>
        <w:topLinePunct w:val="0"/>
        <w:autoSpaceDE w:val="0"/>
        <w:autoSpaceDN w:val="0"/>
        <w:bidi w:val="0"/>
        <w:adjustRightInd/>
        <w:snapToGrid/>
        <w:spacing w:before="153"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 ．“进粤企业和人员诚信信息登记平台 ”个人信息情况截图。（适用于省外建筑企业）</w:t>
      </w:r>
    </w:p>
    <w:p w14:paraId="2833B1E2">
      <w:pPr>
        <w:keepNext w:val="0"/>
        <w:keepLines w:val="0"/>
        <w:pageBreakBefore w:val="0"/>
        <w:wordWrap w:val="0"/>
        <w:overflowPunct/>
        <w:topLinePunct w:val="0"/>
        <w:bidi w:val="0"/>
        <w:spacing w:line="228" w:lineRule="auto"/>
        <w:rPr>
          <w:rFonts w:hint="eastAsia" w:ascii="宋体" w:hAnsi="宋体" w:eastAsia="宋体" w:cs="宋体"/>
          <w:color w:val="000000" w:themeColor="text1"/>
          <w:spacing w:val="0"/>
          <w:sz w:val="20"/>
          <w:szCs w:val="20"/>
          <w:highlight w:val="none"/>
          <w14:textFill>
            <w14:solidFill>
              <w14:schemeClr w14:val="tx1"/>
            </w14:solidFill>
          </w14:textFill>
        </w:rPr>
        <w:sectPr>
          <w:footerReference r:id="rId2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40C4B517">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65" w:name="_Toc27361"/>
      <w:r>
        <w:rPr>
          <w:rFonts w:hint="eastAsia" w:ascii="宋体" w:hAnsi="宋体" w:eastAsia="宋体" w:cs="宋体"/>
          <w:b/>
          <w:bCs/>
          <w:color w:val="000000" w:themeColor="text1"/>
          <w:spacing w:val="0"/>
          <w:sz w:val="24"/>
          <w:szCs w:val="24"/>
          <w:highlight w:val="none"/>
          <w14:textFill>
            <w14:solidFill>
              <w14:schemeClr w14:val="tx1"/>
            </w14:solidFill>
          </w14:textFill>
        </w:rPr>
        <w:t>格式十一 项目管理机构组成表</w:t>
      </w:r>
      <w:bookmarkEnd w:id="265"/>
    </w:p>
    <w:p w14:paraId="3B084A82">
      <w:pPr>
        <w:pStyle w:val="5"/>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25B0F7B1">
      <w:pPr>
        <w:pStyle w:val="5"/>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4DF3D9BA">
      <w:pPr>
        <w:keepNext w:val="0"/>
        <w:keepLines w:val="0"/>
        <w:pageBreakBefore w:val="0"/>
        <w:wordWrap w:val="0"/>
        <w:overflowPunct/>
        <w:topLinePunct w:val="0"/>
        <w:bidi w:val="0"/>
        <w:spacing w:before="97" w:line="219" w:lineRule="auto"/>
        <w:ind w:left="3200"/>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66" w:name="bookmark158"/>
      <w:bookmarkEnd w:id="266"/>
      <w:bookmarkStart w:id="267" w:name="_Toc28765"/>
      <w:bookmarkStart w:id="268" w:name="_Toc19973"/>
      <w:r>
        <w:rPr>
          <w:rFonts w:hint="eastAsia" w:ascii="宋体" w:hAnsi="宋体" w:eastAsia="宋体" w:cs="宋体"/>
          <w:b/>
          <w:bCs/>
          <w:color w:val="000000" w:themeColor="text1"/>
          <w:spacing w:val="0"/>
          <w:sz w:val="30"/>
          <w:szCs w:val="30"/>
          <w:highlight w:val="none"/>
          <w14:textFill>
            <w14:solidFill>
              <w14:schemeClr w14:val="tx1"/>
            </w14:solidFill>
          </w14:textFill>
        </w:rPr>
        <w:t>项目管理机构组成表</w:t>
      </w:r>
      <w:bookmarkEnd w:id="267"/>
      <w:bookmarkEnd w:id="268"/>
    </w:p>
    <w:p w14:paraId="14B78991">
      <w:pPr>
        <w:keepNext w:val="0"/>
        <w:keepLines w:val="0"/>
        <w:pageBreakBefore w:val="0"/>
        <w:wordWrap w:val="0"/>
        <w:overflowPunct/>
        <w:topLinePunct w:val="0"/>
        <w:bidi w:val="0"/>
        <w:spacing w:before="7"/>
        <w:rPr>
          <w:rFonts w:hint="eastAsia" w:ascii="宋体" w:hAnsi="宋体" w:eastAsia="宋体" w:cs="宋体"/>
          <w:color w:val="000000" w:themeColor="text1"/>
          <w:spacing w:val="0"/>
          <w:highlight w:val="none"/>
          <w14:textFill>
            <w14:solidFill>
              <w14:schemeClr w14:val="tx1"/>
            </w14:solidFill>
          </w14:textFill>
        </w:rPr>
      </w:pPr>
    </w:p>
    <w:tbl>
      <w:tblPr>
        <w:tblStyle w:val="14"/>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939"/>
        <w:gridCol w:w="1567"/>
        <w:gridCol w:w="1017"/>
        <w:gridCol w:w="1002"/>
        <w:gridCol w:w="1551"/>
        <w:gridCol w:w="1926"/>
      </w:tblGrid>
      <w:tr w14:paraId="50326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634" w:type="dxa"/>
            <w:vAlign w:val="center"/>
          </w:tcPr>
          <w:p w14:paraId="60869D9E">
            <w:pPr>
              <w:keepNext w:val="0"/>
              <w:keepLines w:val="0"/>
              <w:pageBreakBefore w:val="0"/>
              <w:widowControl/>
              <w:kinsoku w:val="0"/>
              <w:wordWrap w:val="0"/>
              <w:overflowPunct/>
              <w:topLinePunct w:val="0"/>
              <w:autoSpaceDE w:val="0"/>
              <w:autoSpaceDN w:val="0"/>
              <w:bidi w:val="0"/>
              <w:adjustRightInd w:val="0"/>
              <w:snapToGrid w:val="0"/>
              <w:spacing w:before="229"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序号</w:t>
            </w:r>
          </w:p>
        </w:tc>
        <w:tc>
          <w:tcPr>
            <w:tcW w:w="1939" w:type="dxa"/>
            <w:vAlign w:val="center"/>
          </w:tcPr>
          <w:p w14:paraId="7439BD66">
            <w:pPr>
              <w:keepNext w:val="0"/>
              <w:keepLines w:val="0"/>
              <w:pageBreakBefore w:val="0"/>
              <w:widowControl/>
              <w:kinsoku w:val="0"/>
              <w:wordWrap w:val="0"/>
              <w:overflowPunct/>
              <w:topLinePunct w:val="0"/>
              <w:autoSpaceDE w:val="0"/>
              <w:autoSpaceDN w:val="0"/>
              <w:bidi w:val="0"/>
              <w:adjustRightInd w:val="0"/>
              <w:snapToGrid w:val="0"/>
              <w:spacing w:before="228"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岗位</w:t>
            </w:r>
          </w:p>
        </w:tc>
        <w:tc>
          <w:tcPr>
            <w:tcW w:w="1567" w:type="dxa"/>
            <w:vAlign w:val="center"/>
          </w:tcPr>
          <w:p w14:paraId="7EBB74F3">
            <w:pPr>
              <w:keepNext w:val="0"/>
              <w:keepLines w:val="0"/>
              <w:pageBreakBefore w:val="0"/>
              <w:widowControl/>
              <w:kinsoku w:val="0"/>
              <w:wordWrap w:val="0"/>
              <w:overflowPunct/>
              <w:topLinePunct w:val="0"/>
              <w:autoSpaceDE w:val="0"/>
              <w:autoSpaceDN w:val="0"/>
              <w:bidi w:val="0"/>
              <w:adjustRightInd w:val="0"/>
              <w:snapToGrid w:val="0"/>
              <w:spacing w:before="228"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姓名</w:t>
            </w:r>
          </w:p>
        </w:tc>
        <w:tc>
          <w:tcPr>
            <w:tcW w:w="1017" w:type="dxa"/>
            <w:vAlign w:val="center"/>
          </w:tcPr>
          <w:p w14:paraId="3DE10A85">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性别</w:t>
            </w:r>
          </w:p>
        </w:tc>
        <w:tc>
          <w:tcPr>
            <w:tcW w:w="1002" w:type="dxa"/>
            <w:vAlign w:val="center"/>
          </w:tcPr>
          <w:p w14:paraId="3050ABB3">
            <w:pPr>
              <w:keepNext w:val="0"/>
              <w:keepLines w:val="0"/>
              <w:pageBreakBefore w:val="0"/>
              <w:widowControl/>
              <w:kinsoku w:val="0"/>
              <w:wordWrap w:val="0"/>
              <w:overflowPunct/>
              <w:topLinePunct w:val="0"/>
              <w:autoSpaceDE w:val="0"/>
              <w:autoSpaceDN w:val="0"/>
              <w:bidi w:val="0"/>
              <w:adjustRightInd w:val="0"/>
              <w:snapToGrid w:val="0"/>
              <w:spacing w:before="229"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年龄</w:t>
            </w:r>
          </w:p>
        </w:tc>
        <w:tc>
          <w:tcPr>
            <w:tcW w:w="1551" w:type="dxa"/>
            <w:vAlign w:val="center"/>
          </w:tcPr>
          <w:p w14:paraId="59C156EA">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职称</w:t>
            </w:r>
          </w:p>
        </w:tc>
        <w:tc>
          <w:tcPr>
            <w:tcW w:w="1926" w:type="dxa"/>
            <w:vAlign w:val="center"/>
          </w:tcPr>
          <w:p w14:paraId="7FE3C975">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备注</w:t>
            </w:r>
          </w:p>
        </w:tc>
      </w:tr>
      <w:tr w14:paraId="1711D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36AB410A">
            <w:pPr>
              <w:keepNext w:val="0"/>
              <w:keepLines w:val="0"/>
              <w:pageBreakBefore w:val="0"/>
              <w:widowControl/>
              <w:kinsoku w:val="0"/>
              <w:wordWrap w:val="0"/>
              <w:overflowPunct/>
              <w:topLinePunct w:val="0"/>
              <w:autoSpaceDE w:val="0"/>
              <w:autoSpaceDN w:val="0"/>
              <w:bidi w:val="0"/>
              <w:adjustRightInd w:val="0"/>
              <w:snapToGrid w:val="0"/>
              <w:spacing w:before="185"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1939" w:type="dxa"/>
            <w:vAlign w:val="center"/>
          </w:tcPr>
          <w:p w14:paraId="1997300C">
            <w:pPr>
              <w:keepNext w:val="0"/>
              <w:keepLines w:val="0"/>
              <w:pageBreakBefore w:val="0"/>
              <w:widowControl/>
              <w:kinsoku w:val="0"/>
              <w:wordWrap w:val="0"/>
              <w:overflowPunct/>
              <w:topLinePunct w:val="0"/>
              <w:autoSpaceDE w:val="0"/>
              <w:autoSpaceDN w:val="0"/>
              <w:bidi w:val="0"/>
              <w:adjustRightInd w:val="0"/>
              <w:snapToGrid w:val="0"/>
              <w:spacing w:before="150"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项目经理</w:t>
            </w:r>
          </w:p>
        </w:tc>
        <w:tc>
          <w:tcPr>
            <w:tcW w:w="1567" w:type="dxa"/>
            <w:vAlign w:val="center"/>
          </w:tcPr>
          <w:p w14:paraId="05C5473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57F30F4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0F1D6EB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41672C6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4DE9F02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165C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634" w:type="dxa"/>
            <w:vAlign w:val="center"/>
          </w:tcPr>
          <w:p w14:paraId="31D50A1B">
            <w:pPr>
              <w:keepNext w:val="0"/>
              <w:keepLines w:val="0"/>
              <w:pageBreakBefore w:val="0"/>
              <w:widowControl/>
              <w:kinsoku w:val="0"/>
              <w:wordWrap w:val="0"/>
              <w:overflowPunct/>
              <w:topLinePunct w:val="0"/>
              <w:autoSpaceDE w:val="0"/>
              <w:autoSpaceDN w:val="0"/>
              <w:bidi w:val="0"/>
              <w:adjustRightInd w:val="0"/>
              <w:snapToGrid w:val="0"/>
              <w:spacing w:before="187"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1939" w:type="dxa"/>
            <w:vAlign w:val="center"/>
          </w:tcPr>
          <w:p w14:paraId="3A12DDFD">
            <w:pPr>
              <w:keepNext w:val="0"/>
              <w:keepLines w:val="0"/>
              <w:pageBreakBefore w:val="0"/>
              <w:widowControl/>
              <w:kinsoku w:val="0"/>
              <w:wordWrap w:val="0"/>
              <w:overflowPunct/>
              <w:topLinePunct w:val="0"/>
              <w:autoSpaceDE w:val="0"/>
              <w:autoSpaceDN w:val="0"/>
              <w:bidi w:val="0"/>
              <w:adjustRightInd w:val="0"/>
              <w:snapToGrid w:val="0"/>
              <w:spacing w:before="152"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项目技术负责人</w:t>
            </w:r>
          </w:p>
        </w:tc>
        <w:tc>
          <w:tcPr>
            <w:tcW w:w="1567" w:type="dxa"/>
            <w:vAlign w:val="center"/>
          </w:tcPr>
          <w:p w14:paraId="6A048FE5">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62616D65">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290403F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513D574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44350E5E">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C2BE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7FC001D7">
            <w:pPr>
              <w:keepNext w:val="0"/>
              <w:keepLines w:val="0"/>
              <w:pageBreakBefore w:val="0"/>
              <w:widowControl/>
              <w:kinsoku w:val="0"/>
              <w:wordWrap w:val="0"/>
              <w:overflowPunct/>
              <w:topLinePunct w:val="0"/>
              <w:autoSpaceDE w:val="0"/>
              <w:autoSpaceDN w:val="0"/>
              <w:bidi w:val="0"/>
              <w:adjustRightInd w:val="0"/>
              <w:snapToGrid w:val="0"/>
              <w:spacing w:before="189" w:line="195" w:lineRule="auto"/>
              <w:ind w:left="0"/>
              <w:jc w:val="center"/>
              <w:textAlignment w:val="baseline"/>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3</w:t>
            </w:r>
          </w:p>
        </w:tc>
        <w:tc>
          <w:tcPr>
            <w:tcW w:w="1939" w:type="dxa"/>
            <w:vAlign w:val="center"/>
          </w:tcPr>
          <w:p w14:paraId="35920EAB">
            <w:pPr>
              <w:keepNext w:val="0"/>
              <w:keepLines w:val="0"/>
              <w:pageBreakBefore w:val="0"/>
              <w:widowControl/>
              <w:kinsoku w:val="0"/>
              <w:wordWrap w:val="0"/>
              <w:overflowPunct/>
              <w:topLinePunct w:val="0"/>
              <w:autoSpaceDE w:val="0"/>
              <w:autoSpaceDN w:val="0"/>
              <w:bidi w:val="0"/>
              <w:adjustRightInd w:val="0"/>
              <w:snapToGrid w:val="0"/>
              <w:spacing w:before="153"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专职安全员</w:t>
            </w:r>
          </w:p>
        </w:tc>
        <w:tc>
          <w:tcPr>
            <w:tcW w:w="1567" w:type="dxa"/>
            <w:vAlign w:val="center"/>
          </w:tcPr>
          <w:p w14:paraId="539D56F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106625F6">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1934B0B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733019E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2A7AA2A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0559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0773F671">
            <w:pPr>
              <w:keepNext w:val="0"/>
              <w:keepLines w:val="0"/>
              <w:pageBreakBefore w:val="0"/>
              <w:widowControl/>
              <w:kinsoku w:val="0"/>
              <w:wordWrap w:val="0"/>
              <w:overflowPunct/>
              <w:topLinePunct w:val="0"/>
              <w:autoSpaceDE w:val="0"/>
              <w:autoSpaceDN w:val="0"/>
              <w:bidi w:val="0"/>
              <w:adjustRightInd w:val="0"/>
              <w:snapToGrid w:val="0"/>
              <w:spacing w:before="188"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w:t>
            </w:r>
          </w:p>
        </w:tc>
        <w:tc>
          <w:tcPr>
            <w:tcW w:w="1939" w:type="dxa"/>
            <w:vAlign w:val="center"/>
          </w:tcPr>
          <w:p w14:paraId="30C10F88">
            <w:pPr>
              <w:keepNext w:val="0"/>
              <w:keepLines w:val="0"/>
              <w:pageBreakBefore w:val="0"/>
              <w:widowControl/>
              <w:kinsoku w:val="0"/>
              <w:wordWrap w:val="0"/>
              <w:overflowPunct/>
              <w:topLinePunct w:val="0"/>
              <w:autoSpaceDE w:val="0"/>
              <w:autoSpaceDN w:val="0"/>
              <w:bidi w:val="0"/>
              <w:adjustRightInd w:val="0"/>
              <w:snapToGrid w:val="0"/>
              <w:spacing w:before="152"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施工员</w:t>
            </w:r>
          </w:p>
        </w:tc>
        <w:tc>
          <w:tcPr>
            <w:tcW w:w="1567" w:type="dxa"/>
            <w:vAlign w:val="center"/>
          </w:tcPr>
          <w:p w14:paraId="05CA2BD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10108C0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34A0A4E6">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2D97556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48296E4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31EE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1C720381">
            <w:pPr>
              <w:keepNext w:val="0"/>
              <w:keepLines w:val="0"/>
              <w:pageBreakBefore w:val="0"/>
              <w:widowControl/>
              <w:kinsoku w:val="0"/>
              <w:wordWrap w:val="0"/>
              <w:overflowPunct/>
              <w:topLinePunct w:val="0"/>
              <w:autoSpaceDE w:val="0"/>
              <w:autoSpaceDN w:val="0"/>
              <w:bidi w:val="0"/>
              <w:adjustRightInd w:val="0"/>
              <w:snapToGrid w:val="0"/>
              <w:spacing w:before="193" w:line="192"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w:t>
            </w:r>
          </w:p>
        </w:tc>
        <w:tc>
          <w:tcPr>
            <w:tcW w:w="1939" w:type="dxa"/>
            <w:vAlign w:val="center"/>
          </w:tcPr>
          <w:p w14:paraId="3CAE22C0">
            <w:pPr>
              <w:keepNext w:val="0"/>
              <w:keepLines w:val="0"/>
              <w:pageBreakBefore w:val="0"/>
              <w:widowControl/>
              <w:kinsoku w:val="0"/>
              <w:wordWrap w:val="0"/>
              <w:overflowPunct/>
              <w:topLinePunct w:val="0"/>
              <w:autoSpaceDE w:val="0"/>
              <w:autoSpaceDN w:val="0"/>
              <w:bidi w:val="0"/>
              <w:adjustRightInd w:val="0"/>
              <w:snapToGrid w:val="0"/>
              <w:spacing w:before="154"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质量员</w:t>
            </w:r>
          </w:p>
        </w:tc>
        <w:tc>
          <w:tcPr>
            <w:tcW w:w="1567" w:type="dxa"/>
            <w:vAlign w:val="center"/>
          </w:tcPr>
          <w:p w14:paraId="16086B6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203D9B6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465E507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1AC236B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1B74D74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A35A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2DD916FB">
            <w:pPr>
              <w:keepNext w:val="0"/>
              <w:keepLines w:val="0"/>
              <w:pageBreakBefore w:val="0"/>
              <w:widowControl/>
              <w:kinsoku w:val="0"/>
              <w:wordWrap w:val="0"/>
              <w:overflowPunct/>
              <w:topLinePunct w:val="0"/>
              <w:autoSpaceDE w:val="0"/>
              <w:autoSpaceDN w:val="0"/>
              <w:bidi w:val="0"/>
              <w:adjustRightInd w:val="0"/>
              <w:snapToGrid w:val="0"/>
              <w:spacing w:before="191"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w:t>
            </w:r>
          </w:p>
        </w:tc>
        <w:tc>
          <w:tcPr>
            <w:tcW w:w="1939" w:type="dxa"/>
            <w:vAlign w:val="center"/>
          </w:tcPr>
          <w:p w14:paraId="00D908A3">
            <w:pPr>
              <w:keepNext w:val="0"/>
              <w:keepLines w:val="0"/>
              <w:pageBreakBefore w:val="0"/>
              <w:widowControl/>
              <w:kinsoku w:val="0"/>
              <w:wordWrap w:val="0"/>
              <w:overflowPunct/>
              <w:topLinePunct w:val="0"/>
              <w:autoSpaceDE w:val="0"/>
              <w:autoSpaceDN w:val="0"/>
              <w:bidi w:val="0"/>
              <w:adjustRightInd w:val="0"/>
              <w:snapToGrid w:val="0"/>
              <w:spacing w:before="155"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材料员</w:t>
            </w:r>
          </w:p>
        </w:tc>
        <w:tc>
          <w:tcPr>
            <w:tcW w:w="1567" w:type="dxa"/>
            <w:vAlign w:val="center"/>
          </w:tcPr>
          <w:p w14:paraId="7A4124E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21B90CF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7429CA6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355EF2BE">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3D80AEA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96C3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4F1DC0C4">
            <w:pPr>
              <w:keepNext w:val="0"/>
              <w:keepLines w:val="0"/>
              <w:pageBreakBefore w:val="0"/>
              <w:widowControl/>
              <w:kinsoku w:val="0"/>
              <w:wordWrap w:val="0"/>
              <w:overflowPunct/>
              <w:topLinePunct w:val="0"/>
              <w:autoSpaceDE w:val="0"/>
              <w:autoSpaceDN w:val="0"/>
              <w:bidi w:val="0"/>
              <w:adjustRightInd w:val="0"/>
              <w:snapToGrid w:val="0"/>
              <w:spacing w:before="192" w:line="192"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w:t>
            </w:r>
          </w:p>
        </w:tc>
        <w:tc>
          <w:tcPr>
            <w:tcW w:w="1939" w:type="dxa"/>
            <w:vAlign w:val="center"/>
          </w:tcPr>
          <w:p w14:paraId="2B81E2B2">
            <w:pPr>
              <w:keepNext w:val="0"/>
              <w:keepLines w:val="0"/>
              <w:pageBreakBefore w:val="0"/>
              <w:widowControl/>
              <w:kinsoku w:val="0"/>
              <w:wordWrap w:val="0"/>
              <w:overflowPunct/>
              <w:topLinePunct w:val="0"/>
              <w:autoSpaceDE w:val="0"/>
              <w:autoSpaceDN w:val="0"/>
              <w:bidi w:val="0"/>
              <w:adjustRightInd w:val="0"/>
              <w:snapToGrid w:val="0"/>
              <w:spacing w:before="154"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资料员</w:t>
            </w:r>
          </w:p>
        </w:tc>
        <w:tc>
          <w:tcPr>
            <w:tcW w:w="1567" w:type="dxa"/>
            <w:vAlign w:val="center"/>
          </w:tcPr>
          <w:p w14:paraId="5830ACF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2BE2E7C7">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1AEE4D9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462B06F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75D8694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6E88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634" w:type="dxa"/>
            <w:vAlign w:val="center"/>
          </w:tcPr>
          <w:p w14:paraId="01C28551">
            <w:pPr>
              <w:keepNext w:val="0"/>
              <w:keepLines w:val="0"/>
              <w:pageBreakBefore w:val="0"/>
              <w:widowControl/>
              <w:kinsoku w:val="0"/>
              <w:wordWrap w:val="0"/>
              <w:overflowPunct/>
              <w:topLinePunct w:val="0"/>
              <w:autoSpaceDE w:val="0"/>
              <w:autoSpaceDN w:val="0"/>
              <w:bidi w:val="0"/>
              <w:adjustRightInd w:val="0"/>
              <w:snapToGrid w:val="0"/>
              <w:spacing w:before="154" w:line="325" w:lineRule="exact"/>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tc>
        <w:tc>
          <w:tcPr>
            <w:tcW w:w="1939" w:type="dxa"/>
            <w:vAlign w:val="center"/>
          </w:tcPr>
          <w:p w14:paraId="40723A72">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67" w:type="dxa"/>
            <w:vAlign w:val="center"/>
          </w:tcPr>
          <w:p w14:paraId="7F1F6AE8">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77322F0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62FB4EA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2D6E46A7">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5245007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1A2216AD">
      <w:pPr>
        <w:pStyle w:val="5"/>
        <w:keepNext w:val="0"/>
        <w:keepLines w:val="0"/>
        <w:pageBreakBefore w:val="0"/>
        <w:wordWrap w:val="0"/>
        <w:overflowPunct/>
        <w:topLinePunct w:val="0"/>
        <w:bidi w:val="0"/>
        <w:spacing w:line="3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469D01B">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w:t>
      </w:r>
    </w:p>
    <w:p w14:paraId="39CA077E">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jc w:val="lef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．《项目管理机构组成表》后应附表中拟派人员（项目经理、项目技术负责人除外）以下资料：</w:t>
      </w:r>
    </w:p>
    <w:p w14:paraId="0CE589C1">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jc w:val="lef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身份证彩色扫描件；</w:t>
      </w:r>
    </w:p>
    <w:p w14:paraId="02AA64CE">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专职安全员须提供C类安全生产考核合格证书扫描件或“建筑施工企业管理人员安全生产考核信息系统”考核合格信息扫描件；施工员、质量员、材料员、资料员附岗位证书或培训证书彩色扫描件或打印件；</w:t>
      </w:r>
    </w:p>
    <w:p w14:paraId="3CEAFCD3">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在本单位缴纳社保的证明（</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至少</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个月</w:t>
      </w:r>
      <w:r>
        <w:rPr>
          <w:rFonts w:hint="eastAsia" w:ascii="宋体" w:hAnsi="宋体" w:eastAsia="宋体" w:cs="宋体"/>
          <w:color w:val="000000" w:themeColor="text1"/>
          <w:spacing w:val="0"/>
          <w:sz w:val="24"/>
          <w:szCs w:val="24"/>
          <w:highlight w:val="none"/>
          <w14:textFill>
            <w14:solidFill>
              <w14:schemeClr w14:val="tx1"/>
            </w14:solidFill>
          </w14:textFill>
        </w:rPr>
        <w:t>，其中必须有</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202</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pacing w:val="0"/>
          <w:sz w:val="24"/>
          <w:szCs w:val="24"/>
          <w:highlight w:val="none"/>
          <w14:textFill>
            <w14:solidFill>
              <w14:schemeClr w14:val="tx1"/>
            </w14:solidFill>
          </w14:textFill>
        </w:rPr>
        <w:t>年</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pacing w:val="0"/>
          <w:sz w:val="24"/>
          <w:szCs w:val="24"/>
          <w:highlight w:val="none"/>
          <w14:textFill>
            <w14:solidFill>
              <w14:schemeClr w14:val="tx1"/>
            </w14:solidFill>
          </w14:textFill>
        </w:rPr>
        <w:t>月）扫描件</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或打印件</w:t>
      </w:r>
      <w:r>
        <w:rPr>
          <w:rFonts w:hint="eastAsia" w:ascii="宋体" w:hAnsi="宋体" w:eastAsia="宋体" w:cs="宋体"/>
          <w:color w:val="000000" w:themeColor="text1"/>
          <w:spacing w:val="0"/>
          <w:sz w:val="24"/>
          <w:szCs w:val="24"/>
          <w:highlight w:val="none"/>
          <w14:textFill>
            <w14:solidFill>
              <w14:schemeClr w14:val="tx1"/>
            </w14:solidFill>
          </w14:textFill>
        </w:rPr>
        <w:t>。拟派</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人员</w:t>
      </w:r>
      <w:r>
        <w:rPr>
          <w:rFonts w:hint="eastAsia" w:ascii="宋体" w:hAnsi="宋体" w:eastAsia="宋体" w:cs="宋体"/>
          <w:color w:val="000000" w:themeColor="text1"/>
          <w:spacing w:val="0"/>
          <w:sz w:val="24"/>
          <w:szCs w:val="24"/>
          <w:highlight w:val="none"/>
          <w14:textFill>
            <w14:solidFill>
              <w14:schemeClr w14:val="tx1"/>
            </w14:solidFill>
          </w14:textFill>
        </w:rPr>
        <w:t>为退休返聘人员无法提供社保证明的，提供退休证和劳动合同彩色扫描件。</w:t>
      </w:r>
    </w:p>
    <w:p w14:paraId="61E286EA">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（4）“进粤企业和人员诚信信息登记平台”个人信息情况截图。（适用于省外建筑企业）</w:t>
      </w:r>
    </w:p>
    <w:p w14:paraId="73BD7082">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14:textFill>
            <w14:solidFill>
              <w14:schemeClr w14:val="tx1"/>
            </w14:solidFill>
          </w14:textFill>
        </w:rPr>
        <w:t>联合体投标的，《项目管理机构组成表》应包括联合体成员单位参与项目管理机构的人员，并提供以上所需资料。</w:t>
      </w:r>
    </w:p>
    <w:p w14:paraId="487C8DAA">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69" w:name="_Toc26605"/>
      <w:r>
        <w:rPr>
          <w:rFonts w:hint="eastAsia" w:ascii="宋体" w:hAnsi="宋体" w:eastAsia="宋体" w:cs="宋体"/>
          <w:b/>
          <w:bCs/>
          <w:color w:val="000000" w:themeColor="text1"/>
          <w:spacing w:val="0"/>
          <w:sz w:val="24"/>
          <w:szCs w:val="24"/>
          <w:highlight w:val="none"/>
          <w14:textFill>
            <w14:solidFill>
              <w14:schemeClr w14:val="tx1"/>
            </w14:solidFill>
          </w14:textFill>
        </w:rPr>
        <w:t>格式十二 建造师查询页（有效期+建造师签字）</w:t>
      </w:r>
      <w:bookmarkEnd w:id="269"/>
    </w:p>
    <w:p w14:paraId="734EE390">
      <w:pPr>
        <w:keepNext w:val="0"/>
        <w:keepLines w:val="0"/>
        <w:pageBreakBefore w:val="0"/>
        <w:wordWrap w:val="0"/>
        <w:overflowPunct/>
        <w:topLinePunct w:val="0"/>
        <w:bidi w:val="0"/>
        <w:outlineLvl w:val="9"/>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position w:val="-235"/>
          <w:highlight w:val="none"/>
          <w14:textFill>
            <w14:solidFill>
              <w14:schemeClr w14:val="tx1"/>
            </w14:solidFill>
          </w14:textFill>
        </w:rPr>
        <w:drawing>
          <wp:inline distT="0" distB="0" distL="114300" distR="114300">
            <wp:extent cx="6239510" cy="8013700"/>
            <wp:effectExtent l="0" t="0" r="8890" b="6350"/>
            <wp:docPr id="6" name="图片 8"/>
            <wp:cNvGraphicFramePr/>
            <a:graphic xmlns:a="http://schemas.openxmlformats.org/drawingml/2006/main">
              <a:graphicData uri="http://schemas.openxmlformats.org/drawingml/2006/picture">
                <pic:pic xmlns:pic="http://schemas.openxmlformats.org/drawingml/2006/picture">
                  <pic:nvPicPr>
                    <pic:cNvPr id="6" name="图片 8"/>
                    <pic:cNvPicPr/>
                  </pic:nvPicPr>
                  <pic:blipFill>
                    <a:blip r:embed="rId57"/>
                    <a:stretch>
                      <a:fillRect/>
                    </a:stretch>
                  </pic:blipFill>
                  <pic:spPr>
                    <a:xfrm>
                      <a:off x="0" y="0"/>
                      <a:ext cx="6239510" cy="8013700"/>
                    </a:xfrm>
                    <a:prstGeom prst="rect">
                      <a:avLst/>
                    </a:prstGeom>
                    <a:noFill/>
                    <a:ln>
                      <a:noFill/>
                    </a:ln>
                  </pic:spPr>
                </pic:pic>
              </a:graphicData>
            </a:graphic>
          </wp:inline>
        </w:drawing>
      </w:r>
    </w:p>
    <w:p w14:paraId="64B4C367">
      <w:pPr>
        <w:keepNext w:val="0"/>
        <w:keepLines w:val="0"/>
        <w:pageBreakBefore w:val="0"/>
        <w:wordWrap w:val="0"/>
        <w:overflowPunct/>
        <w:topLinePunct w:val="0"/>
        <w:bidi w:val="0"/>
        <w:spacing w:line="220"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2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D37CFE7">
      <w:pPr>
        <w:keepNext w:val="0"/>
        <w:keepLines w:val="0"/>
        <w:pageBreakBefore w:val="0"/>
        <w:wordWrap w:val="0"/>
        <w:overflowPunct/>
        <w:topLinePunct w:val="0"/>
        <w:bidi w:val="0"/>
        <w:spacing w:line="10744" w:lineRule="exac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position w:val="-214"/>
          <w:highlight w:val="none"/>
          <w14:textFill>
            <w14:solidFill>
              <w14:schemeClr w14:val="tx1"/>
            </w14:solidFill>
          </w14:textFill>
        </w:rPr>
        <w:drawing>
          <wp:inline distT="0" distB="0" distL="114300" distR="114300">
            <wp:extent cx="6285865" cy="6925310"/>
            <wp:effectExtent l="0" t="0" r="635" b="8890"/>
            <wp:docPr id="4" name="图片 9"/>
            <wp:cNvGraphicFramePr/>
            <a:graphic xmlns:a="http://schemas.openxmlformats.org/drawingml/2006/main">
              <a:graphicData uri="http://schemas.openxmlformats.org/drawingml/2006/picture">
                <pic:pic xmlns:pic="http://schemas.openxmlformats.org/drawingml/2006/picture">
                  <pic:nvPicPr>
                    <pic:cNvPr id="4" name="图片 9"/>
                    <pic:cNvPicPr/>
                  </pic:nvPicPr>
                  <pic:blipFill>
                    <a:blip r:embed="rId58"/>
                    <a:stretch>
                      <a:fillRect/>
                    </a:stretch>
                  </pic:blipFill>
                  <pic:spPr>
                    <a:xfrm>
                      <a:off x="0" y="0"/>
                      <a:ext cx="6285865" cy="6925310"/>
                    </a:xfrm>
                    <a:prstGeom prst="rect">
                      <a:avLst/>
                    </a:prstGeom>
                    <a:noFill/>
                    <a:ln>
                      <a:noFill/>
                    </a:ln>
                  </pic:spPr>
                </pic:pic>
              </a:graphicData>
            </a:graphic>
          </wp:inline>
        </w:drawing>
      </w:r>
    </w:p>
    <w:p w14:paraId="174F9627">
      <w:pPr>
        <w:keepNext w:val="0"/>
        <w:keepLines w:val="0"/>
        <w:pageBreakBefore w:val="0"/>
        <w:wordWrap w:val="0"/>
        <w:overflowPunct/>
        <w:topLinePunct w:val="0"/>
        <w:bidi w:val="0"/>
        <w:spacing w:line="10744" w:lineRule="exact"/>
        <w:rPr>
          <w:rFonts w:hint="eastAsia" w:ascii="宋体" w:hAnsi="宋体" w:eastAsia="宋体" w:cs="宋体"/>
          <w:color w:val="000000" w:themeColor="text1"/>
          <w:spacing w:val="0"/>
          <w:highlight w:val="none"/>
          <w14:textFill>
            <w14:solidFill>
              <w14:schemeClr w14:val="tx1"/>
            </w14:solidFill>
          </w14:textFill>
        </w:rPr>
        <w:sectPr>
          <w:footerReference r:id="rId2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9F1B678">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70" w:name="_Toc181"/>
      <w:r>
        <w:rPr>
          <w:rFonts w:hint="eastAsia" w:ascii="宋体" w:hAnsi="宋体" w:eastAsia="宋体" w:cs="宋体"/>
          <w:b/>
          <w:bCs/>
          <w:color w:val="000000" w:themeColor="text1"/>
          <w:spacing w:val="0"/>
          <w:sz w:val="24"/>
          <w:szCs w:val="24"/>
          <w:highlight w:val="none"/>
          <w14:textFill>
            <w14:solidFill>
              <w14:schemeClr w14:val="tx1"/>
            </w14:solidFill>
          </w14:textFill>
        </w:rPr>
        <w:t>格式十三</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2"/>
          <w:szCs w:val="22"/>
          <w:highlight w:val="none"/>
          <w14:textFill>
            <w14:solidFill>
              <w14:schemeClr w14:val="tx1"/>
            </w14:solidFill>
          </w14:textFill>
        </w:rPr>
        <w:t>危险性较大的分部分项工程清单及超过一定规模的危险性较大的分部分项工程清单</w:t>
      </w:r>
      <w:bookmarkEnd w:id="270"/>
    </w:p>
    <w:p w14:paraId="4E20E0E7">
      <w:pPr>
        <w:pStyle w:val="5"/>
        <w:keepNext w:val="0"/>
        <w:keepLines w:val="0"/>
        <w:pageBreakBefore w:val="0"/>
        <w:wordWrap w:val="0"/>
        <w:overflowPunct/>
        <w:topLinePunct w:val="0"/>
        <w:bidi w:val="0"/>
        <w:spacing w:line="269" w:lineRule="auto"/>
        <w:rPr>
          <w:rFonts w:hint="eastAsia" w:ascii="宋体" w:hAnsi="宋体" w:eastAsia="宋体" w:cs="宋体"/>
          <w:color w:val="000000" w:themeColor="text1"/>
          <w:spacing w:val="0"/>
          <w:highlight w:val="none"/>
          <w14:textFill>
            <w14:solidFill>
              <w14:schemeClr w14:val="tx1"/>
            </w14:solidFill>
          </w14:textFill>
        </w:rPr>
      </w:pPr>
    </w:p>
    <w:p w14:paraId="0DB6A583">
      <w:pPr>
        <w:keepNext w:val="0"/>
        <w:keepLines w:val="0"/>
        <w:pageBreakBefore w:val="0"/>
        <w:tabs>
          <w:tab w:val="left" w:pos="2940"/>
        </w:tabs>
        <w:wordWrap w:val="0"/>
        <w:overflowPunct/>
        <w:topLinePunct w:val="0"/>
        <w:bidi w:val="0"/>
        <w:spacing w:before="101" w:line="377" w:lineRule="auto"/>
        <w:ind w:left="3179" w:leftChars="0" w:right="41" w:hanging="3133" w:firstLineChars="0"/>
        <w:rPr>
          <w:rFonts w:hint="eastAsia" w:ascii="宋体" w:hAnsi="宋体" w:eastAsia="宋体" w:cs="宋体"/>
          <w:color w:val="000000" w:themeColor="text1"/>
          <w:spacing w:val="0"/>
          <w:sz w:val="31"/>
          <w:szCs w:val="31"/>
          <w:highlight w:val="none"/>
          <w14:textFill>
            <w14:solidFill>
              <w14:schemeClr w14:val="tx1"/>
            </w14:solidFill>
          </w14:textFill>
        </w:rPr>
      </w:pPr>
      <w:bookmarkStart w:id="271" w:name="bookmark160"/>
      <w:bookmarkEnd w:id="271"/>
      <w:bookmarkStart w:id="272" w:name="OLE_LINK41"/>
      <w:r>
        <w:rPr>
          <w:rFonts w:hint="eastAsia" w:ascii="宋体" w:hAnsi="宋体" w:eastAsia="宋体" w:cs="宋体"/>
          <w:b/>
          <w:bCs/>
          <w:color w:val="000000" w:themeColor="text1"/>
          <w:spacing w:val="0"/>
          <w:sz w:val="31"/>
          <w:szCs w:val="31"/>
          <w:highlight w:val="none"/>
          <w14:textFill>
            <w14:solidFill>
              <w14:schemeClr w14:val="tx1"/>
            </w14:solidFill>
          </w14:textFill>
        </w:rPr>
        <w:t>危险性较大的分部分项工程清单及超过一定规模的危险性较大的分部分项工程清单</w:t>
      </w:r>
    </w:p>
    <w:bookmarkEnd w:id="272"/>
    <w:p w14:paraId="5004DA81">
      <w:pPr>
        <w:keepNext w:val="0"/>
        <w:keepLines w:val="0"/>
        <w:pageBreakBefore w:val="0"/>
        <w:wordWrap w:val="0"/>
        <w:overflowPunct/>
        <w:topLinePunct w:val="0"/>
        <w:bidi w:val="0"/>
        <w:spacing w:before="6" w:line="326" w:lineRule="auto"/>
        <w:ind w:left="5"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1、根据中华人民共和国住房和城乡建设部令第37号《危险性较大的分部分项工程安全管理规定》（以下简称“37号文 ”），投标人在投标时须补充完善危大工程清单并明确相应的安全管理措施。</w:t>
      </w:r>
    </w:p>
    <w:p w14:paraId="39C98E84">
      <w:pPr>
        <w:keepNext w:val="0"/>
        <w:keepLines w:val="0"/>
        <w:pageBreakBefore w:val="0"/>
        <w:wordWrap w:val="0"/>
        <w:overflowPunct/>
        <w:topLinePunct w:val="0"/>
        <w:bidi w:val="0"/>
        <w:spacing w:before="208" w:line="326" w:lineRule="auto"/>
        <w:ind w:left="1" w:firstLine="4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2、招标人根据设计文件的要求及37号文、粤建规范〔2019〕2号文的规定列出“危险性较大的分部分项工程清单及超过一定规模的危险性较大的分部分项工程清单 ”中与 本招标项目相关的清单项，具体详见第5点“打 √ ”标识。</w:t>
      </w:r>
    </w:p>
    <w:p w14:paraId="3676768B">
      <w:pPr>
        <w:keepNext w:val="0"/>
        <w:keepLines w:val="0"/>
        <w:pageBreakBefore w:val="0"/>
        <w:wordWrap w:val="0"/>
        <w:overflowPunct/>
        <w:topLinePunct w:val="0"/>
        <w:bidi w:val="0"/>
        <w:spacing w:before="209" w:line="299" w:lineRule="auto"/>
        <w:ind w:left="3" w:right="72" w:firstLine="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（1）投标单位同意建设单位在清单中标识的该项请在对应项打“ √ ”标识，并与投标文件中提供相应的安全管理措施。</w:t>
      </w:r>
    </w:p>
    <w:p w14:paraId="1C2AFCFC">
      <w:pPr>
        <w:keepNext w:val="0"/>
        <w:keepLines w:val="0"/>
        <w:pageBreakBefore w:val="0"/>
        <w:wordWrap w:val="0"/>
        <w:overflowPunct/>
        <w:topLinePunct w:val="0"/>
        <w:bidi w:val="0"/>
        <w:spacing w:before="208" w:line="299" w:lineRule="auto"/>
        <w:ind w:left="2" w:right="72"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（2）投标单位对清单中认为需要补充的该项请在对应项打“ √ ”标识，并与投标文件中提供相应的安全管理措施。</w:t>
      </w:r>
    </w:p>
    <w:p w14:paraId="2C57E579">
      <w:pPr>
        <w:keepNext w:val="0"/>
        <w:keepLines w:val="0"/>
        <w:pageBreakBefore w:val="0"/>
        <w:wordWrap w:val="0"/>
        <w:overflowPunct/>
        <w:topLinePunct w:val="0"/>
        <w:bidi w:val="0"/>
        <w:spacing w:before="210" w:line="300" w:lineRule="auto"/>
        <w:ind w:right="72"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（3）投标单位不同意建设单位在清单中标识的该项请在对应项打“ × ”标识，并在备注栏填上相关说明。</w:t>
      </w:r>
    </w:p>
    <w:p w14:paraId="14B36F6D">
      <w:pPr>
        <w:keepNext w:val="0"/>
        <w:keepLines w:val="0"/>
        <w:pageBreakBefore w:val="0"/>
        <w:wordWrap w:val="0"/>
        <w:overflowPunct/>
        <w:topLinePunct w:val="0"/>
        <w:bidi w:val="0"/>
        <w:spacing w:before="207" w:line="371" w:lineRule="auto"/>
        <w:ind w:firstLine="484"/>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u w:val="single"/>
          <w14:textFill>
            <w14:solidFill>
              <w14:schemeClr w14:val="tx1"/>
            </w14:solidFill>
          </w14:textFill>
        </w:rPr>
        <w:t>3、投标单位应当在投标时根据招标人提供的下述第5点清单，在投标施工组织中回应建设单位提供的危大工程清单，补充相应的安全管理措施。（为减轻标书编制的工作量，投标单位回应的危大工程清单该部分的页数应控制在3页内）</w:t>
      </w:r>
    </w:p>
    <w:p w14:paraId="74C7E91A">
      <w:pPr>
        <w:keepNext w:val="0"/>
        <w:keepLines w:val="0"/>
        <w:pageBreakBefore w:val="0"/>
        <w:wordWrap w:val="0"/>
        <w:overflowPunct/>
        <w:topLinePunct w:val="0"/>
        <w:bidi w:val="0"/>
        <w:spacing w:before="33" w:line="326" w:lineRule="auto"/>
        <w:ind w:left="1" w:firstLine="47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对于超过一定规模的危大工程，中标单位应当组织召开专家论证会对专项施工方案进行论证。实行施工总承包的，由施工总承包单位组织召开专家论证会。专家论证前专项施工方案应当通过施工总承包单位审核和总监理工程师审查。</w:t>
      </w:r>
    </w:p>
    <w:p w14:paraId="798FF3E3">
      <w:pPr>
        <w:keepNext w:val="0"/>
        <w:keepLines w:val="0"/>
        <w:pageBreakBefore w:val="0"/>
        <w:wordWrap w:val="0"/>
        <w:overflowPunct/>
        <w:topLinePunct w:val="0"/>
        <w:bidi w:val="0"/>
        <w:spacing w:before="208" w:line="301" w:lineRule="auto"/>
        <w:ind w:firstLine="484"/>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5、危险性较大的分部分项工程清单及超过一定规模的危险性较大的分部分项工程清单</w:t>
      </w:r>
    </w:p>
    <w:p w14:paraId="211A5215">
      <w:pPr>
        <w:keepNext w:val="0"/>
        <w:keepLines w:val="0"/>
        <w:pageBreakBefore w:val="0"/>
        <w:wordWrap w:val="0"/>
        <w:overflowPunct/>
        <w:topLinePunct w:val="0"/>
        <w:bidi w:val="0"/>
        <w:spacing w:before="40"/>
        <w:rPr>
          <w:rFonts w:hint="eastAsia" w:ascii="宋体" w:hAnsi="宋体" w:eastAsia="宋体" w:cs="宋体"/>
          <w:color w:val="000000" w:themeColor="text1"/>
          <w:spacing w:val="0"/>
          <w:highlight w:val="none"/>
          <w14:textFill>
            <w14:solidFill>
              <w14:schemeClr w14:val="tx1"/>
            </w14:solidFill>
          </w14:textFill>
        </w:rPr>
      </w:pPr>
    </w:p>
    <w:tbl>
      <w:tblPr>
        <w:tblStyle w:val="14"/>
        <w:tblW w:w="988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4862"/>
        <w:gridCol w:w="1294"/>
        <w:gridCol w:w="1294"/>
        <w:gridCol w:w="2428"/>
      </w:tblGrid>
      <w:tr w14:paraId="1D6B3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C0C1314">
            <w:pPr>
              <w:keepNext w:val="0"/>
              <w:keepLines w:val="0"/>
              <w:pageBreakBefore w:val="0"/>
              <w:wordWrap w:val="0"/>
              <w:overflowPunct/>
              <w:topLinePunct w:val="0"/>
              <w:bidi w:val="0"/>
              <w:spacing w:before="133" w:line="220" w:lineRule="auto"/>
              <w:ind w:firstLine="241" w:firstLineChars="1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一、危险性较大的分部分项工程清单</w:t>
            </w:r>
          </w:p>
        </w:tc>
        <w:tc>
          <w:tcPr>
            <w:tcW w:w="1294" w:type="dxa"/>
            <w:vAlign w:val="top"/>
          </w:tcPr>
          <w:p w14:paraId="786821EB">
            <w:pPr>
              <w:keepNext w:val="0"/>
              <w:keepLines w:val="0"/>
              <w:pageBreakBefore w:val="0"/>
              <w:wordWrap w:val="0"/>
              <w:overflowPunct/>
              <w:topLinePunct w:val="0"/>
              <w:bidi w:val="0"/>
              <w:spacing w:before="133" w:line="221" w:lineRule="auto"/>
              <w:ind w:left="206"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1294" w:type="dxa"/>
            <w:vAlign w:val="top"/>
          </w:tcPr>
          <w:p w14:paraId="088710BC">
            <w:pPr>
              <w:keepNext w:val="0"/>
              <w:keepLines w:val="0"/>
              <w:pageBreakBefore w:val="0"/>
              <w:wordWrap w:val="0"/>
              <w:overflowPunct/>
              <w:topLinePunct w:val="0"/>
              <w:bidi w:val="0"/>
              <w:spacing w:before="133" w:line="221" w:lineRule="auto"/>
              <w:ind w:left="205"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投标单位</w:t>
            </w:r>
          </w:p>
        </w:tc>
        <w:tc>
          <w:tcPr>
            <w:tcW w:w="2428" w:type="dxa"/>
            <w:vAlign w:val="top"/>
          </w:tcPr>
          <w:p w14:paraId="5305F236">
            <w:pPr>
              <w:keepNext w:val="0"/>
              <w:keepLines w:val="0"/>
              <w:pageBreakBefore w:val="0"/>
              <w:wordWrap w:val="0"/>
              <w:overflowPunct/>
              <w:topLinePunct w:val="0"/>
              <w:bidi w:val="0"/>
              <w:spacing w:before="133" w:line="222" w:lineRule="auto"/>
              <w:ind w:left="360" w:left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备注</w:t>
            </w:r>
          </w:p>
        </w:tc>
      </w:tr>
      <w:tr w14:paraId="7851F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12B4333">
            <w:pPr>
              <w:keepNext w:val="0"/>
              <w:keepLines w:val="0"/>
              <w:pageBreakBefore w:val="0"/>
              <w:wordWrap w:val="0"/>
              <w:overflowPunct/>
              <w:topLinePunct w:val="0"/>
              <w:bidi w:val="0"/>
              <w:spacing w:before="128" w:line="221" w:lineRule="auto"/>
              <w:ind w:left="120" w:left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一、基坑支护</w:t>
            </w:r>
          </w:p>
        </w:tc>
        <w:tc>
          <w:tcPr>
            <w:tcW w:w="1294" w:type="dxa"/>
            <w:vAlign w:val="top"/>
          </w:tcPr>
          <w:p w14:paraId="40D210A2">
            <w:pPr>
              <w:keepNext w:val="0"/>
              <w:keepLines w:val="0"/>
              <w:pageBreakBefore w:val="0"/>
              <w:wordWrap w:val="0"/>
              <w:overflowPunct/>
              <w:topLinePunct w:val="0"/>
              <w:bidi w:val="0"/>
              <w:spacing w:before="128" w:line="223" w:lineRule="auto"/>
              <w:jc w:val="center"/>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bookmarkStart w:id="273" w:name="OLE_LINK39"/>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bookmarkEnd w:id="273"/>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90D24ED">
            <w:pPr>
              <w:keepNext w:val="0"/>
              <w:keepLines w:val="0"/>
              <w:pageBreakBefore w:val="0"/>
              <w:wordWrap w:val="0"/>
              <w:overflowPunct/>
              <w:topLinePunct w:val="0"/>
              <w:bidi w:val="0"/>
              <w:spacing w:before="128" w:line="223" w:lineRule="auto"/>
              <w:ind w:left="367"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DE86A9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7532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9197831">
            <w:pPr>
              <w:keepNext w:val="0"/>
              <w:keepLines w:val="0"/>
              <w:pageBreakBefore w:val="0"/>
              <w:wordWrap w:val="0"/>
              <w:overflowPunct/>
              <w:topLinePunct w:val="0"/>
              <w:bidi w:val="0"/>
              <w:spacing w:before="129" w:line="328" w:lineRule="auto"/>
              <w:ind w:left="135" w:leftChars="0" w:right="68" w:rightChars="0" w:hanging="8" w:firstLine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（一）开挖深度超过 3m（含 3m）的基坑（槽） 的土方开挖、支护、降水工程。</w:t>
            </w:r>
          </w:p>
        </w:tc>
        <w:tc>
          <w:tcPr>
            <w:tcW w:w="1294" w:type="dxa"/>
            <w:vAlign w:val="top"/>
          </w:tcPr>
          <w:p w14:paraId="5B778EA3">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80472A7">
            <w:pPr>
              <w:keepNext w:val="0"/>
              <w:keepLines w:val="0"/>
              <w:pageBreakBefore w:val="0"/>
              <w:wordWrap w:val="0"/>
              <w:overflowPunct/>
              <w:topLinePunct w:val="0"/>
              <w:bidi w:val="0"/>
              <w:spacing w:before="78" w:line="223" w:lineRule="auto"/>
              <w:ind w:left="396"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CF74172">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E2C041A">
            <w:pPr>
              <w:keepNext w:val="0"/>
              <w:keepLines w:val="0"/>
              <w:pageBreakBefore w:val="0"/>
              <w:wordWrap w:val="0"/>
              <w:overflowPunct/>
              <w:topLinePunct w:val="0"/>
              <w:bidi w:val="0"/>
              <w:spacing w:before="78" w:line="223" w:lineRule="auto"/>
              <w:ind w:left="367"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77920F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C180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5D2C12B">
            <w:pPr>
              <w:keepNext w:val="0"/>
              <w:keepLines w:val="0"/>
              <w:pageBreakBefore w:val="0"/>
              <w:wordWrap w:val="0"/>
              <w:overflowPunct/>
              <w:topLinePunct w:val="0"/>
              <w:bidi w:val="0"/>
              <w:spacing w:before="132" w:line="354" w:lineRule="auto"/>
              <w:ind w:left="116" w:right="108" w:firstLine="11"/>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274" w:name="bookmark161"/>
            <w:bookmarkEnd w:id="274"/>
            <w:r>
              <w:rPr>
                <w:rFonts w:hint="eastAsia" w:ascii="宋体" w:hAnsi="宋体" w:eastAsia="宋体" w:cs="宋体"/>
                <w:color w:val="000000" w:themeColor="text1"/>
                <w:spacing w:val="0"/>
                <w:sz w:val="24"/>
                <w:szCs w:val="24"/>
                <w:highlight w:val="none"/>
                <w14:textFill>
                  <w14:solidFill>
                    <w14:schemeClr w14:val="tx1"/>
                  </w14:solidFill>
                </w14:textFill>
              </w:rPr>
              <w:t>（二）开挖深度虽未超过 3m，但地质条件、周 围环境和地下管线复杂，或影响毗邻建、构筑 物安全的基坑（槽）的土方开挖、支护、降水 工程。</w:t>
            </w:r>
          </w:p>
        </w:tc>
        <w:tc>
          <w:tcPr>
            <w:tcW w:w="1294" w:type="dxa"/>
            <w:vAlign w:val="top"/>
          </w:tcPr>
          <w:p w14:paraId="678E3335">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3E3E37B">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7B348AA">
            <w:pPr>
              <w:pStyle w:val="27"/>
              <w:keepNext w:val="0"/>
              <w:keepLines w:val="0"/>
              <w:pageBreakBefore w:val="0"/>
              <w:wordWrap w:val="0"/>
              <w:overflowPunct/>
              <w:topLinePunct w:val="0"/>
              <w:bidi w:val="0"/>
              <w:spacing w:line="26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9F5F156">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bookmarkStart w:id="275" w:name="OLE_LINK40"/>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bookmarkEnd w:id="275"/>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9FC468F">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73D6FDA">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B2551ED">
            <w:pPr>
              <w:pStyle w:val="27"/>
              <w:keepNext w:val="0"/>
              <w:keepLines w:val="0"/>
              <w:pageBreakBefore w:val="0"/>
              <w:wordWrap w:val="0"/>
              <w:overflowPunct/>
              <w:topLinePunct w:val="0"/>
              <w:bidi w:val="0"/>
              <w:spacing w:line="26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36E5E26">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5D403E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4CB8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FF3CCA3">
            <w:pPr>
              <w:keepNext w:val="0"/>
              <w:keepLines w:val="0"/>
              <w:pageBreakBefore w:val="0"/>
              <w:wordWrap w:val="0"/>
              <w:overflowPunct/>
              <w:topLinePunct w:val="0"/>
              <w:bidi w:val="0"/>
              <w:spacing w:before="128" w:line="219"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二、模板工程及支撑体系</w:t>
            </w:r>
          </w:p>
        </w:tc>
        <w:tc>
          <w:tcPr>
            <w:tcW w:w="1294" w:type="dxa"/>
            <w:vAlign w:val="top"/>
          </w:tcPr>
          <w:p w14:paraId="4F83F1A7">
            <w:pPr>
              <w:keepNext w:val="0"/>
              <w:keepLines w:val="0"/>
              <w:pageBreakBefore w:val="0"/>
              <w:wordWrap w:val="0"/>
              <w:overflowPunct/>
              <w:topLinePunct w:val="0"/>
              <w:bidi w:val="0"/>
              <w:spacing w:before="12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1DEA9D7">
            <w:pPr>
              <w:keepNext w:val="0"/>
              <w:keepLines w:val="0"/>
              <w:pageBreakBefore w:val="0"/>
              <w:wordWrap w:val="0"/>
              <w:overflowPunct/>
              <w:topLinePunct w:val="0"/>
              <w:bidi w:val="0"/>
              <w:spacing w:before="12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3E6675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5F75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2B42EF94">
            <w:pPr>
              <w:keepNext w:val="0"/>
              <w:keepLines w:val="0"/>
              <w:pageBreakBefore w:val="0"/>
              <w:wordWrap w:val="0"/>
              <w:overflowPunct/>
              <w:topLinePunct w:val="0"/>
              <w:bidi w:val="0"/>
              <w:spacing w:before="128" w:line="328" w:lineRule="auto"/>
              <w:ind w:left="123" w:right="25" w:firstLine="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（一）各类工具式模板工程：包括滑模、爬模、 飞模、隧道模等工程。</w:t>
            </w:r>
          </w:p>
        </w:tc>
        <w:tc>
          <w:tcPr>
            <w:tcW w:w="1294" w:type="dxa"/>
            <w:vAlign w:val="top"/>
          </w:tcPr>
          <w:p w14:paraId="62BE616C">
            <w:pPr>
              <w:pStyle w:val="27"/>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0787877">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0A3A5B2">
            <w:pPr>
              <w:pStyle w:val="27"/>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BAF713B">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76A6A71B">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1E75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F44FF8A">
            <w:pPr>
              <w:keepNext w:val="0"/>
              <w:keepLines w:val="0"/>
              <w:pageBreakBefore w:val="0"/>
              <w:wordWrap w:val="0"/>
              <w:overflowPunct/>
              <w:topLinePunct w:val="0"/>
              <w:bidi w:val="0"/>
              <w:spacing w:before="131" w:line="362" w:lineRule="auto"/>
              <w:ind w:left="115" w:right="105"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（二）混凝土模板支撑工程：搭设高度 5m 及以 上，或搭设跨度 10m 及以上，或施工总荷载（荷 载效应基本组合的设计值，以下简称设计值） 10kN/m2 及以上，或集中线荷载（设计值）15kN/m 及以上，或高度大于支撑水平投影宽度且相对 独立无联系构件的混凝土模板支撑工程。</w:t>
            </w:r>
          </w:p>
        </w:tc>
        <w:tc>
          <w:tcPr>
            <w:tcW w:w="1294" w:type="dxa"/>
            <w:vAlign w:val="top"/>
          </w:tcPr>
          <w:p w14:paraId="06D081D3">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A16BFFE">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A0F5923">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E04FF9F">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4B37184">
            <w:pPr>
              <w:pStyle w:val="27"/>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A4F6FF6">
            <w:pPr>
              <w:keepNext w:val="0"/>
              <w:keepLines w:val="0"/>
              <w:pageBreakBefore w:val="0"/>
              <w:wordWrap w:val="0"/>
              <w:overflowPunct/>
              <w:topLinePunct w:val="0"/>
              <w:bidi w:val="0"/>
              <w:spacing w:before="78"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BC45176">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D487157">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E1CE66E">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A7FA7A1">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2434D3D">
            <w:pPr>
              <w:pStyle w:val="27"/>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980D964">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456E965">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EC0E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F43D72D">
            <w:pPr>
              <w:keepNext w:val="0"/>
              <w:keepLines w:val="0"/>
              <w:pageBreakBefore w:val="0"/>
              <w:wordWrap w:val="0"/>
              <w:overflowPunct/>
              <w:topLinePunct w:val="0"/>
              <w:bidi w:val="0"/>
              <w:spacing w:before="130" w:line="327"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（三）承重支撑体系：用于钢结构安装等满堂 支撑体系。</w:t>
            </w:r>
          </w:p>
        </w:tc>
        <w:tc>
          <w:tcPr>
            <w:tcW w:w="1294" w:type="dxa"/>
            <w:vAlign w:val="top"/>
          </w:tcPr>
          <w:p w14:paraId="511D615D">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5F0F42D">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33D5358">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B3D0D91">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DF9CE6A">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A456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E79A01C">
            <w:pPr>
              <w:keepNext w:val="0"/>
              <w:keepLines w:val="0"/>
              <w:pageBreakBefore w:val="0"/>
              <w:wordWrap w:val="0"/>
              <w:overflowPunct/>
              <w:topLinePunct w:val="0"/>
              <w:bidi w:val="0"/>
              <w:spacing w:before="130" w:line="219" w:lineRule="auto"/>
              <w:ind w:left="3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三、起重吊装及起重机械安装拆卸工程</w:t>
            </w:r>
          </w:p>
        </w:tc>
        <w:tc>
          <w:tcPr>
            <w:tcW w:w="1294" w:type="dxa"/>
            <w:vAlign w:val="top"/>
          </w:tcPr>
          <w:p w14:paraId="76D8EB27">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84F6761">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AB0041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C2E0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CDD2F61">
            <w:pPr>
              <w:keepNext w:val="0"/>
              <w:keepLines w:val="0"/>
              <w:pageBreakBefore w:val="0"/>
              <w:wordWrap w:val="0"/>
              <w:overflowPunct/>
              <w:topLinePunct w:val="0"/>
              <w:bidi w:val="0"/>
              <w:spacing w:before="131" w:line="327" w:lineRule="auto"/>
              <w:ind w:left="144" w:right="168" w:hanging="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（一）采用非常规起重设备、方法，且单件起 吊重量在 10kN 及以上的起重吊装工程。</w:t>
            </w:r>
          </w:p>
        </w:tc>
        <w:tc>
          <w:tcPr>
            <w:tcW w:w="1294" w:type="dxa"/>
            <w:vAlign w:val="top"/>
          </w:tcPr>
          <w:p w14:paraId="29DAD9F8">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99CF0AA">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537BA4B">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107995C">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189630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CF08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0DA6BEA">
            <w:pPr>
              <w:keepNext w:val="0"/>
              <w:keepLines w:val="0"/>
              <w:pageBreakBefore w:val="0"/>
              <w:wordWrap w:val="0"/>
              <w:overflowPunct/>
              <w:topLinePunct w:val="0"/>
              <w:bidi w:val="0"/>
              <w:spacing w:before="132"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（二）采用起重机械进行安装的工程。</w:t>
            </w:r>
          </w:p>
        </w:tc>
        <w:tc>
          <w:tcPr>
            <w:tcW w:w="1294" w:type="dxa"/>
            <w:vAlign w:val="top"/>
          </w:tcPr>
          <w:p w14:paraId="05D8A463">
            <w:pPr>
              <w:keepNext w:val="0"/>
              <w:keepLines w:val="0"/>
              <w:pageBreakBefore w:val="0"/>
              <w:wordWrap w:val="0"/>
              <w:overflowPunct/>
              <w:topLinePunct w:val="0"/>
              <w:bidi w:val="0"/>
              <w:spacing w:before="131"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902B328">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63D3528">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DB15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2F4B30C">
            <w:pPr>
              <w:keepNext w:val="0"/>
              <w:keepLines w:val="0"/>
              <w:pageBreakBefore w:val="0"/>
              <w:wordWrap w:val="0"/>
              <w:overflowPunct/>
              <w:topLinePunct w:val="0"/>
              <w:bidi w:val="0"/>
              <w:spacing w:before="130"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（三）起重机械安装和拆卸工程。</w:t>
            </w:r>
          </w:p>
        </w:tc>
        <w:tc>
          <w:tcPr>
            <w:tcW w:w="1294" w:type="dxa"/>
            <w:vAlign w:val="top"/>
          </w:tcPr>
          <w:p w14:paraId="429C4D99">
            <w:pPr>
              <w:keepNext w:val="0"/>
              <w:keepLines w:val="0"/>
              <w:pageBreakBefore w:val="0"/>
              <w:wordWrap w:val="0"/>
              <w:overflowPunct/>
              <w:topLinePunct w:val="0"/>
              <w:bidi w:val="0"/>
              <w:spacing w:before="129"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E377759">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D68036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9A8E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3B4E193">
            <w:pPr>
              <w:keepNext w:val="0"/>
              <w:keepLines w:val="0"/>
              <w:pageBreakBefore w:val="0"/>
              <w:wordWrap w:val="0"/>
              <w:overflowPunct/>
              <w:topLinePunct w:val="0"/>
              <w:bidi w:val="0"/>
              <w:spacing w:before="131" w:line="219" w:lineRule="auto"/>
              <w:ind w:left="13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四、脚手架工程</w:t>
            </w:r>
          </w:p>
        </w:tc>
        <w:tc>
          <w:tcPr>
            <w:tcW w:w="1294" w:type="dxa"/>
            <w:vAlign w:val="top"/>
          </w:tcPr>
          <w:p w14:paraId="4B0E76C9">
            <w:pPr>
              <w:keepNext w:val="0"/>
              <w:keepLines w:val="0"/>
              <w:pageBreakBefore w:val="0"/>
              <w:wordWrap w:val="0"/>
              <w:overflowPunct/>
              <w:topLinePunct w:val="0"/>
              <w:bidi w:val="0"/>
              <w:spacing w:before="130" w:line="223"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5E1DB8D">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596A5D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0A15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15C7215">
            <w:pPr>
              <w:keepNext w:val="0"/>
              <w:keepLines w:val="0"/>
              <w:pageBreakBefore w:val="0"/>
              <w:wordWrap w:val="0"/>
              <w:overflowPunct/>
              <w:topLinePunct w:val="0"/>
              <w:bidi w:val="0"/>
              <w:spacing w:before="130" w:line="327"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（一）搭设高度 24m 及以上的落地式钢管脚手 架工程（包括采光井、电梯井脚手架）。</w:t>
            </w:r>
          </w:p>
        </w:tc>
        <w:tc>
          <w:tcPr>
            <w:tcW w:w="1294" w:type="dxa"/>
            <w:vAlign w:val="top"/>
          </w:tcPr>
          <w:p w14:paraId="321FD4AD">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79F5793">
            <w:pPr>
              <w:keepNext w:val="0"/>
              <w:keepLines w:val="0"/>
              <w:pageBreakBefore w:val="0"/>
              <w:wordWrap w:val="0"/>
              <w:overflowPunct/>
              <w:topLinePunct w:val="0"/>
              <w:bidi w:val="0"/>
              <w:spacing w:before="78"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CD0218D">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34A98EC">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D925227">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9B470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79A4E32">
            <w:pPr>
              <w:keepNext w:val="0"/>
              <w:keepLines w:val="0"/>
              <w:pageBreakBefore w:val="0"/>
              <w:wordWrap w:val="0"/>
              <w:overflowPunct/>
              <w:topLinePunct w:val="0"/>
              <w:bidi w:val="0"/>
              <w:spacing w:before="131"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（二）附着式升降脚手架工程。</w:t>
            </w:r>
          </w:p>
        </w:tc>
        <w:tc>
          <w:tcPr>
            <w:tcW w:w="1294" w:type="dxa"/>
            <w:vAlign w:val="top"/>
          </w:tcPr>
          <w:p w14:paraId="2834041E">
            <w:pPr>
              <w:keepNext w:val="0"/>
              <w:keepLines w:val="0"/>
              <w:pageBreakBefore w:val="0"/>
              <w:wordWrap w:val="0"/>
              <w:overflowPunct/>
              <w:topLinePunct w:val="0"/>
              <w:bidi w:val="0"/>
              <w:spacing w:before="130" w:line="223" w:lineRule="auto"/>
              <w:ind w:left="2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9E1B740">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CAC225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36F1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74FFC9B">
            <w:pPr>
              <w:keepNext w:val="0"/>
              <w:keepLines w:val="0"/>
              <w:pageBreakBefore w:val="0"/>
              <w:wordWrap w:val="0"/>
              <w:overflowPunct/>
              <w:topLinePunct w:val="0"/>
              <w:bidi w:val="0"/>
              <w:spacing w:before="132"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（三）悬挑式脚手架工程。</w:t>
            </w:r>
          </w:p>
        </w:tc>
        <w:tc>
          <w:tcPr>
            <w:tcW w:w="1294" w:type="dxa"/>
            <w:vAlign w:val="top"/>
          </w:tcPr>
          <w:p w14:paraId="5E7432E5">
            <w:pPr>
              <w:keepNext w:val="0"/>
              <w:keepLines w:val="0"/>
              <w:pageBreakBefore w:val="0"/>
              <w:wordWrap w:val="0"/>
              <w:overflowPunct/>
              <w:topLinePunct w:val="0"/>
              <w:bidi w:val="0"/>
              <w:spacing w:before="131" w:line="223" w:lineRule="auto"/>
              <w:ind w:left="2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7D49CBE">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6E687F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EB78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0A65585">
            <w:pPr>
              <w:keepNext w:val="0"/>
              <w:keepLines w:val="0"/>
              <w:pageBreakBefore w:val="0"/>
              <w:wordWrap w:val="0"/>
              <w:overflowPunct/>
              <w:topLinePunct w:val="0"/>
              <w:bidi w:val="0"/>
              <w:spacing w:before="131"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（四）高处作业吊篮。</w:t>
            </w:r>
          </w:p>
        </w:tc>
        <w:tc>
          <w:tcPr>
            <w:tcW w:w="1294" w:type="dxa"/>
            <w:vAlign w:val="top"/>
          </w:tcPr>
          <w:p w14:paraId="14F1C253">
            <w:pPr>
              <w:keepNext w:val="0"/>
              <w:keepLines w:val="0"/>
              <w:pageBreakBefore w:val="0"/>
              <w:wordWrap w:val="0"/>
              <w:overflowPunct/>
              <w:topLinePunct w:val="0"/>
              <w:bidi w:val="0"/>
              <w:spacing w:before="131"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55D4A21">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71AEFF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BFCB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6D85820">
            <w:pPr>
              <w:keepNext w:val="0"/>
              <w:keepLines w:val="0"/>
              <w:pageBreakBefore w:val="0"/>
              <w:wordWrap w:val="0"/>
              <w:overflowPunct/>
              <w:topLinePunct w:val="0"/>
              <w:bidi w:val="0"/>
              <w:spacing w:before="132"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（五）卸料平台、操作平台工程。</w:t>
            </w:r>
          </w:p>
        </w:tc>
        <w:tc>
          <w:tcPr>
            <w:tcW w:w="1294" w:type="dxa"/>
            <w:vAlign w:val="top"/>
          </w:tcPr>
          <w:p w14:paraId="24DA6B96">
            <w:pPr>
              <w:keepNext w:val="0"/>
              <w:keepLines w:val="0"/>
              <w:pageBreakBefore w:val="0"/>
              <w:wordWrap w:val="0"/>
              <w:overflowPunct/>
              <w:topLinePunct w:val="0"/>
              <w:bidi w:val="0"/>
              <w:spacing w:before="132" w:line="223" w:lineRule="auto"/>
              <w:ind w:left="2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972CBB8">
            <w:pPr>
              <w:keepNext w:val="0"/>
              <w:keepLines w:val="0"/>
              <w:pageBreakBefore w:val="0"/>
              <w:wordWrap w:val="0"/>
              <w:overflowPunct/>
              <w:topLinePunct w:val="0"/>
              <w:bidi w:val="0"/>
              <w:spacing w:before="132"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D335B2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9049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C96EB0E">
            <w:pPr>
              <w:keepNext w:val="0"/>
              <w:keepLines w:val="0"/>
              <w:pageBreakBefore w:val="0"/>
              <w:wordWrap w:val="0"/>
              <w:overflowPunct/>
              <w:topLinePunct w:val="0"/>
              <w:bidi w:val="0"/>
              <w:spacing w:before="133"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（六）异型脚手架工程。</w:t>
            </w:r>
          </w:p>
        </w:tc>
        <w:tc>
          <w:tcPr>
            <w:tcW w:w="1294" w:type="dxa"/>
            <w:vAlign w:val="top"/>
          </w:tcPr>
          <w:p w14:paraId="2920519C">
            <w:pPr>
              <w:keepNext w:val="0"/>
              <w:keepLines w:val="0"/>
              <w:pageBreakBefore w:val="0"/>
              <w:wordWrap w:val="0"/>
              <w:overflowPunct/>
              <w:topLinePunct w:val="0"/>
              <w:bidi w:val="0"/>
              <w:spacing w:before="132"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6F0ED25">
            <w:pPr>
              <w:keepNext w:val="0"/>
              <w:keepLines w:val="0"/>
              <w:pageBreakBefore w:val="0"/>
              <w:wordWrap w:val="0"/>
              <w:overflowPunct/>
              <w:topLinePunct w:val="0"/>
              <w:bidi w:val="0"/>
              <w:spacing w:before="132"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16F9989">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684B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DB2BD6B">
            <w:pPr>
              <w:keepNext w:val="0"/>
              <w:keepLines w:val="0"/>
              <w:pageBreakBefore w:val="0"/>
              <w:wordWrap w:val="0"/>
              <w:overflowPunct/>
              <w:topLinePunct w:val="0"/>
              <w:bidi w:val="0"/>
              <w:spacing w:before="131" w:line="220"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bookmarkStart w:id="276" w:name="bookmark162"/>
            <w:bookmarkEnd w:id="276"/>
            <w:r>
              <w:rPr>
                <w:rFonts w:hint="eastAsia" w:ascii="宋体" w:hAnsi="宋体" w:eastAsia="宋体" w:cs="宋体"/>
                <w:color w:val="000000" w:themeColor="text1"/>
                <w:spacing w:val="0"/>
                <w:sz w:val="24"/>
                <w:szCs w:val="24"/>
                <w:highlight w:val="none"/>
                <w14:textFill>
                  <w14:solidFill>
                    <w14:schemeClr w14:val="tx1"/>
                  </w14:solidFill>
                </w14:textFill>
              </w:rPr>
              <w:t>五、拆除工程</w:t>
            </w:r>
          </w:p>
        </w:tc>
        <w:tc>
          <w:tcPr>
            <w:tcW w:w="1294" w:type="dxa"/>
            <w:vAlign w:val="top"/>
          </w:tcPr>
          <w:p w14:paraId="1F592663">
            <w:pPr>
              <w:keepNext w:val="0"/>
              <w:keepLines w:val="0"/>
              <w:pageBreakBefore w:val="0"/>
              <w:wordWrap w:val="0"/>
              <w:overflowPunct/>
              <w:topLinePunct w:val="0"/>
              <w:bidi w:val="0"/>
              <w:spacing w:before="131" w:line="223"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97AE92B">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B23CF5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E835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355B08F">
            <w:pPr>
              <w:keepNext w:val="0"/>
              <w:keepLines w:val="0"/>
              <w:pageBreakBefore w:val="0"/>
              <w:wordWrap w:val="0"/>
              <w:overflowPunct/>
              <w:topLinePunct w:val="0"/>
              <w:bidi w:val="0"/>
              <w:spacing w:before="126" w:line="329" w:lineRule="auto"/>
              <w:ind w:left="117" w:right="1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可能影响行人、交通、电力设施、通讯设施或 其它建、构筑物安全的拆除工程。</w:t>
            </w:r>
          </w:p>
        </w:tc>
        <w:tc>
          <w:tcPr>
            <w:tcW w:w="1294" w:type="dxa"/>
            <w:vAlign w:val="top"/>
          </w:tcPr>
          <w:p w14:paraId="0A9FAFF7">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4B3FB96">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D9904E6">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D0D520C">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50FEA8A">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6C11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0BEE0B8">
            <w:pPr>
              <w:keepNext w:val="0"/>
              <w:keepLines w:val="0"/>
              <w:pageBreakBefore w:val="0"/>
              <w:wordWrap w:val="0"/>
              <w:overflowPunct/>
              <w:topLinePunct w:val="0"/>
              <w:bidi w:val="0"/>
              <w:spacing w:before="126" w:line="221" w:lineRule="auto"/>
              <w:ind w:left="3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六、暗挖工程</w:t>
            </w:r>
          </w:p>
        </w:tc>
        <w:tc>
          <w:tcPr>
            <w:tcW w:w="1294" w:type="dxa"/>
            <w:vAlign w:val="top"/>
          </w:tcPr>
          <w:p w14:paraId="096738AD">
            <w:pPr>
              <w:keepNext w:val="0"/>
              <w:keepLines w:val="0"/>
              <w:pageBreakBefore w:val="0"/>
              <w:wordWrap w:val="0"/>
              <w:overflowPunct/>
              <w:topLinePunct w:val="0"/>
              <w:bidi w:val="0"/>
              <w:spacing w:before="126"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2FCEA97">
            <w:pPr>
              <w:keepNext w:val="0"/>
              <w:keepLines w:val="0"/>
              <w:pageBreakBefore w:val="0"/>
              <w:wordWrap w:val="0"/>
              <w:overflowPunct/>
              <w:topLinePunct w:val="0"/>
              <w:bidi w:val="0"/>
              <w:spacing w:before="126"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EFB7B18">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50D5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DD12E32">
            <w:pPr>
              <w:keepNext w:val="0"/>
              <w:keepLines w:val="0"/>
              <w:pageBreakBefore w:val="0"/>
              <w:wordWrap w:val="0"/>
              <w:overflowPunct/>
              <w:topLinePunct w:val="0"/>
              <w:bidi w:val="0"/>
              <w:spacing w:before="128" w:line="328" w:lineRule="auto"/>
              <w:ind w:left="119" w:right="168" w:hanging="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采用矿山法、盾构法、顶管法施工的隧道、洞 室工程。</w:t>
            </w:r>
          </w:p>
        </w:tc>
        <w:tc>
          <w:tcPr>
            <w:tcW w:w="1294" w:type="dxa"/>
            <w:vAlign w:val="top"/>
          </w:tcPr>
          <w:p w14:paraId="41A2393E">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183CE4F">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B4F68CC">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E79BD64">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A19A2E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B294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FE7E493">
            <w:pPr>
              <w:keepNext w:val="0"/>
              <w:keepLines w:val="0"/>
              <w:pageBreakBefore w:val="0"/>
              <w:wordWrap w:val="0"/>
              <w:overflowPunct/>
              <w:topLinePunct w:val="0"/>
              <w:bidi w:val="0"/>
              <w:spacing w:before="129" w:line="222" w:lineRule="auto"/>
              <w:ind w:left="1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七、其它</w:t>
            </w:r>
          </w:p>
        </w:tc>
        <w:tc>
          <w:tcPr>
            <w:tcW w:w="1294" w:type="dxa"/>
            <w:vAlign w:val="top"/>
          </w:tcPr>
          <w:p w14:paraId="277DB7A9">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5BBDAB4">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9140078">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8706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247EBC8">
            <w:pPr>
              <w:keepNext w:val="0"/>
              <w:keepLines w:val="0"/>
              <w:pageBreakBefore w:val="0"/>
              <w:wordWrap w:val="0"/>
              <w:overflowPunct/>
              <w:topLinePunct w:val="0"/>
              <w:bidi w:val="0"/>
              <w:spacing w:before="128"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（一）建筑幕墙安装工程。</w:t>
            </w:r>
          </w:p>
        </w:tc>
        <w:tc>
          <w:tcPr>
            <w:tcW w:w="1294" w:type="dxa"/>
            <w:vAlign w:val="top"/>
          </w:tcPr>
          <w:p w14:paraId="594F7240">
            <w:pPr>
              <w:keepNext w:val="0"/>
              <w:keepLines w:val="0"/>
              <w:pageBreakBefore w:val="0"/>
              <w:wordWrap w:val="0"/>
              <w:overflowPunct/>
              <w:topLinePunct w:val="0"/>
              <w:bidi w:val="0"/>
              <w:spacing w:before="127"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3358343">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A6B694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0834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6116876">
            <w:pPr>
              <w:keepNext w:val="0"/>
              <w:keepLines w:val="0"/>
              <w:pageBreakBefore w:val="0"/>
              <w:wordWrap w:val="0"/>
              <w:overflowPunct/>
              <w:topLinePunct w:val="0"/>
              <w:bidi w:val="0"/>
              <w:spacing w:before="128" w:line="221"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（二）钢结构、网架和索膜结构安装工程。</w:t>
            </w:r>
          </w:p>
        </w:tc>
        <w:tc>
          <w:tcPr>
            <w:tcW w:w="1294" w:type="dxa"/>
            <w:vAlign w:val="top"/>
          </w:tcPr>
          <w:p w14:paraId="571DD0F6">
            <w:pPr>
              <w:keepNext w:val="0"/>
              <w:keepLines w:val="0"/>
              <w:pageBreakBefore w:val="0"/>
              <w:wordWrap w:val="0"/>
              <w:overflowPunct/>
              <w:topLinePunct w:val="0"/>
              <w:bidi w:val="0"/>
              <w:spacing w:before="12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B1AA7CA">
            <w:pPr>
              <w:keepNext w:val="0"/>
              <w:keepLines w:val="0"/>
              <w:pageBreakBefore w:val="0"/>
              <w:wordWrap w:val="0"/>
              <w:overflowPunct/>
              <w:topLinePunct w:val="0"/>
              <w:bidi w:val="0"/>
              <w:spacing w:before="12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6810C9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E9BE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0279A1D">
            <w:pPr>
              <w:keepNext w:val="0"/>
              <w:keepLines w:val="0"/>
              <w:pageBreakBefore w:val="0"/>
              <w:wordWrap w:val="0"/>
              <w:overflowPunct/>
              <w:topLinePunct w:val="0"/>
              <w:bidi w:val="0"/>
              <w:spacing w:before="128"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（三）人工挖孔桩工程。</w:t>
            </w:r>
          </w:p>
        </w:tc>
        <w:tc>
          <w:tcPr>
            <w:tcW w:w="1294" w:type="dxa"/>
            <w:vAlign w:val="top"/>
          </w:tcPr>
          <w:p w14:paraId="68A4C3FD">
            <w:pPr>
              <w:keepNext w:val="0"/>
              <w:keepLines w:val="0"/>
              <w:pageBreakBefore w:val="0"/>
              <w:wordWrap w:val="0"/>
              <w:overflowPunct/>
              <w:topLinePunct w:val="0"/>
              <w:bidi w:val="0"/>
              <w:spacing w:before="12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D9EDFFA">
            <w:pPr>
              <w:keepNext w:val="0"/>
              <w:keepLines w:val="0"/>
              <w:pageBreakBefore w:val="0"/>
              <w:wordWrap w:val="0"/>
              <w:overflowPunct/>
              <w:topLinePunct w:val="0"/>
              <w:bidi w:val="0"/>
              <w:spacing w:before="12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28B0F19">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8173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7968F35">
            <w:pPr>
              <w:keepNext w:val="0"/>
              <w:keepLines w:val="0"/>
              <w:pageBreakBefore w:val="0"/>
              <w:wordWrap w:val="0"/>
              <w:overflowPunct/>
              <w:topLinePunct w:val="0"/>
              <w:bidi w:val="0"/>
              <w:spacing w:before="129"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（四）水下作业工程。</w:t>
            </w:r>
          </w:p>
        </w:tc>
        <w:tc>
          <w:tcPr>
            <w:tcW w:w="1294" w:type="dxa"/>
            <w:vAlign w:val="top"/>
          </w:tcPr>
          <w:p w14:paraId="5BBFC845">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11E41E3">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287899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CE42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E2EB51E">
            <w:pPr>
              <w:keepNext w:val="0"/>
              <w:keepLines w:val="0"/>
              <w:pageBreakBefore w:val="0"/>
              <w:wordWrap w:val="0"/>
              <w:overflowPunct/>
              <w:topLinePunct w:val="0"/>
              <w:bidi w:val="0"/>
              <w:spacing w:before="129"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（五）装配式建筑混凝土预制构件安装工程。</w:t>
            </w:r>
          </w:p>
        </w:tc>
        <w:tc>
          <w:tcPr>
            <w:tcW w:w="1294" w:type="dxa"/>
            <w:vAlign w:val="top"/>
          </w:tcPr>
          <w:p w14:paraId="0335193E">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88C26DB">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AE26D27">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0BAC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42918A5">
            <w:pPr>
              <w:keepNext w:val="0"/>
              <w:keepLines w:val="0"/>
              <w:pageBreakBefore w:val="0"/>
              <w:wordWrap w:val="0"/>
              <w:overflowPunct/>
              <w:topLinePunct w:val="0"/>
              <w:bidi w:val="0"/>
              <w:spacing w:before="129" w:line="345" w:lineRule="auto"/>
              <w:ind w:left="117" w:right="168" w:firstLine="1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（六）采用新技术、新工艺、新材料、新设备 可能影响工程施工安全，尚无国家、行业及地 方技术标准的分部分项工程。</w:t>
            </w:r>
          </w:p>
        </w:tc>
        <w:tc>
          <w:tcPr>
            <w:tcW w:w="1294" w:type="dxa"/>
            <w:vAlign w:val="top"/>
          </w:tcPr>
          <w:p w14:paraId="496F222B">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BE76F41">
            <w:pPr>
              <w:pStyle w:val="27"/>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39AC87B">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82C1EFD">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FBE4FE4">
            <w:pPr>
              <w:pStyle w:val="27"/>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32EE85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D9EE8AB">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13E8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264981E">
            <w:pPr>
              <w:keepNext w:val="0"/>
              <w:keepLines w:val="0"/>
              <w:pageBreakBefore w:val="0"/>
              <w:wordWrap w:val="0"/>
              <w:overflowPunct/>
              <w:topLinePunct w:val="0"/>
              <w:bidi w:val="0"/>
              <w:spacing w:before="129" w:line="328" w:lineRule="auto"/>
              <w:ind w:left="115" w:right="108" w:firstLine="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二、超过一定规模的危险性较大的分部分项工程清单</w:t>
            </w:r>
          </w:p>
        </w:tc>
        <w:tc>
          <w:tcPr>
            <w:tcW w:w="1294" w:type="dxa"/>
            <w:vAlign w:val="top"/>
          </w:tcPr>
          <w:p w14:paraId="52EDDCE6">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5015D35">
            <w:pPr>
              <w:keepNext w:val="0"/>
              <w:keepLines w:val="0"/>
              <w:pageBreakBefore w:val="0"/>
              <w:wordWrap w:val="0"/>
              <w:overflowPunct/>
              <w:topLinePunct w:val="0"/>
              <w:bidi w:val="0"/>
              <w:spacing w:before="78" w:line="221" w:lineRule="auto"/>
              <w:ind w:left="20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1294" w:type="dxa"/>
            <w:vAlign w:val="top"/>
          </w:tcPr>
          <w:p w14:paraId="7D2CDEE2">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9D2C904">
            <w:pPr>
              <w:keepNext w:val="0"/>
              <w:keepLines w:val="0"/>
              <w:pageBreakBefore w:val="0"/>
              <w:wordWrap w:val="0"/>
              <w:overflowPunct/>
              <w:topLinePunct w:val="0"/>
              <w:bidi w:val="0"/>
              <w:spacing w:before="78" w:line="221" w:lineRule="auto"/>
              <w:ind w:left="11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投标单位</w:t>
            </w:r>
          </w:p>
        </w:tc>
        <w:tc>
          <w:tcPr>
            <w:tcW w:w="2428" w:type="dxa"/>
            <w:vAlign w:val="top"/>
          </w:tcPr>
          <w:p w14:paraId="0E9BBCA9">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62A97E9">
            <w:pPr>
              <w:keepNext w:val="0"/>
              <w:keepLines w:val="0"/>
              <w:pageBreakBefore w:val="0"/>
              <w:wordWrap w:val="0"/>
              <w:overflowPunct/>
              <w:topLinePunct w:val="0"/>
              <w:bidi w:val="0"/>
              <w:spacing w:before="78" w:line="222" w:lineRule="auto"/>
              <w:ind w:left="3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备注</w:t>
            </w:r>
          </w:p>
        </w:tc>
      </w:tr>
      <w:tr w14:paraId="09383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2FC6A74">
            <w:pPr>
              <w:keepNext w:val="0"/>
              <w:keepLines w:val="0"/>
              <w:pageBreakBefore w:val="0"/>
              <w:wordWrap w:val="0"/>
              <w:overflowPunct/>
              <w:topLinePunct w:val="0"/>
              <w:bidi w:val="0"/>
              <w:spacing w:before="129" w:line="221"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一、深基坑工程</w:t>
            </w:r>
          </w:p>
        </w:tc>
        <w:tc>
          <w:tcPr>
            <w:tcW w:w="1294" w:type="dxa"/>
            <w:vAlign w:val="top"/>
          </w:tcPr>
          <w:p w14:paraId="0FD5C757">
            <w:pPr>
              <w:keepNext w:val="0"/>
              <w:keepLines w:val="0"/>
              <w:pageBreakBefore w:val="0"/>
              <w:wordWrap w:val="0"/>
              <w:overflowPunct/>
              <w:topLinePunct w:val="0"/>
              <w:bidi w:val="0"/>
              <w:spacing w:before="129"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15D0C9B">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CBB58B3">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3503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045EE0E">
            <w:pPr>
              <w:keepNext w:val="0"/>
              <w:keepLines w:val="0"/>
              <w:pageBreakBefore w:val="0"/>
              <w:wordWrap w:val="0"/>
              <w:overflowPunct/>
              <w:topLinePunct w:val="0"/>
              <w:bidi w:val="0"/>
              <w:spacing w:before="131" w:line="327" w:lineRule="auto"/>
              <w:ind w:left="117" w:right="1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开挖深度超过 5m（含 5m）的基坑（槽）的土方 开挖、支护、降水工程。</w:t>
            </w:r>
          </w:p>
        </w:tc>
        <w:tc>
          <w:tcPr>
            <w:tcW w:w="1294" w:type="dxa"/>
            <w:vAlign w:val="top"/>
          </w:tcPr>
          <w:p w14:paraId="507AE1DC">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F469623">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21BD327">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1AD1680">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FCDD85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328A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627481A">
            <w:pPr>
              <w:keepNext w:val="0"/>
              <w:keepLines w:val="0"/>
              <w:pageBreakBefore w:val="0"/>
              <w:wordWrap w:val="0"/>
              <w:overflowPunct/>
              <w:topLinePunct w:val="0"/>
              <w:bidi w:val="0"/>
              <w:spacing w:before="130" w:line="219"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二、模板工程及支撑体系</w:t>
            </w:r>
          </w:p>
        </w:tc>
        <w:tc>
          <w:tcPr>
            <w:tcW w:w="1294" w:type="dxa"/>
            <w:vAlign w:val="top"/>
          </w:tcPr>
          <w:p w14:paraId="4297BDAC">
            <w:pPr>
              <w:keepNext w:val="0"/>
              <w:keepLines w:val="0"/>
              <w:pageBreakBefore w:val="0"/>
              <w:wordWrap w:val="0"/>
              <w:overflowPunct/>
              <w:topLinePunct w:val="0"/>
              <w:bidi w:val="0"/>
              <w:spacing w:before="129"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E5FCAEB">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3E9C00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1D0B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D300C9C">
            <w:pPr>
              <w:keepNext w:val="0"/>
              <w:keepLines w:val="0"/>
              <w:pageBreakBefore w:val="0"/>
              <w:wordWrap w:val="0"/>
              <w:overflowPunct/>
              <w:topLinePunct w:val="0"/>
              <w:bidi w:val="0"/>
              <w:spacing w:before="130" w:line="327" w:lineRule="auto"/>
              <w:ind w:left="123" w:right="25" w:firstLine="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（一）各类工具式模板工程：包括滑模、爬模、 飞模、隧道模等工程。</w:t>
            </w:r>
          </w:p>
        </w:tc>
        <w:tc>
          <w:tcPr>
            <w:tcW w:w="1294" w:type="dxa"/>
            <w:vAlign w:val="top"/>
          </w:tcPr>
          <w:p w14:paraId="01D661E1">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DDA3CCD">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4A02DEB">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14A516E">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E381ED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FC89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92E50BC">
            <w:pPr>
              <w:keepNext w:val="0"/>
              <w:keepLines w:val="0"/>
              <w:pageBreakBefore w:val="0"/>
              <w:wordWrap w:val="0"/>
              <w:overflowPunct/>
              <w:topLinePunct w:val="0"/>
              <w:bidi w:val="0"/>
              <w:spacing w:before="132" w:line="353" w:lineRule="auto"/>
              <w:ind w:left="116" w:right="6" w:firstLine="11"/>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（二）混凝土模板支撑工程：搭设高度8m 及以 上，或搭设跨度 18m 及以上，或施工总荷载（设计值）15kN/m2 及以上，或集中线荷载（设计值） 20kN/m 及以上。</w:t>
            </w:r>
          </w:p>
        </w:tc>
        <w:tc>
          <w:tcPr>
            <w:tcW w:w="1294" w:type="dxa"/>
            <w:vAlign w:val="top"/>
          </w:tcPr>
          <w:p w14:paraId="6C626011">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3B16BE2">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DC2A742">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401A348">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D4918F3">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2A75233">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835FC2C">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5FF7A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7B509C14">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18BD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jc w:val="center"/>
        </w:trPr>
        <w:tc>
          <w:tcPr>
            <w:tcW w:w="4864" w:type="dxa"/>
            <w:gridSpan w:val="2"/>
            <w:vAlign w:val="top"/>
          </w:tcPr>
          <w:p w14:paraId="49E32F9C">
            <w:pPr>
              <w:keepNext w:val="0"/>
              <w:keepLines w:val="0"/>
              <w:pageBreakBefore w:val="0"/>
              <w:wordWrap w:val="0"/>
              <w:overflowPunct/>
              <w:topLinePunct w:val="0"/>
              <w:bidi w:val="0"/>
              <w:spacing w:before="131"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（三）承重支撑体系：用于钢结构安装等满堂</w:t>
            </w:r>
          </w:p>
          <w:p w14:paraId="78F9700A">
            <w:pPr>
              <w:keepNext w:val="0"/>
              <w:keepLines w:val="0"/>
              <w:pageBreakBefore w:val="0"/>
              <w:wordWrap w:val="0"/>
              <w:overflowPunct/>
              <w:topLinePunct w:val="0"/>
              <w:bidi w:val="0"/>
              <w:spacing w:before="131" w:line="220" w:lineRule="auto"/>
              <w:ind w:left="1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支撑体系，承受单点集中荷载 7kN 及以上。</w:t>
            </w:r>
          </w:p>
        </w:tc>
        <w:tc>
          <w:tcPr>
            <w:tcW w:w="1294" w:type="dxa"/>
            <w:vAlign w:val="top"/>
          </w:tcPr>
          <w:p w14:paraId="553E2DF0">
            <w:pPr>
              <w:keepNext w:val="0"/>
              <w:keepLines w:val="0"/>
              <w:pageBreakBefore w:val="0"/>
              <w:wordWrap w:val="0"/>
              <w:overflowPunct/>
              <w:topLinePunct w:val="0"/>
              <w:bidi w:val="0"/>
              <w:spacing w:before="131"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C72B68A">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BCEDFE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2615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43B4A7F">
            <w:pPr>
              <w:keepNext w:val="0"/>
              <w:keepLines w:val="0"/>
              <w:pageBreakBefore w:val="0"/>
              <w:wordWrap w:val="0"/>
              <w:overflowPunct/>
              <w:topLinePunct w:val="0"/>
              <w:bidi w:val="0"/>
              <w:spacing w:before="128" w:line="219" w:lineRule="auto"/>
              <w:ind w:left="3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三、起重吊装及起重机械安装拆卸工程</w:t>
            </w:r>
          </w:p>
        </w:tc>
        <w:tc>
          <w:tcPr>
            <w:tcW w:w="1294" w:type="dxa"/>
            <w:vAlign w:val="top"/>
          </w:tcPr>
          <w:p w14:paraId="7C46839F">
            <w:pPr>
              <w:keepNext w:val="0"/>
              <w:keepLines w:val="0"/>
              <w:pageBreakBefore w:val="0"/>
              <w:wordWrap w:val="0"/>
              <w:overflowPunct/>
              <w:topLinePunct w:val="0"/>
              <w:bidi w:val="0"/>
              <w:spacing w:before="127"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E954BA4">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BEF426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8715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8715B81">
            <w:pPr>
              <w:keepNext w:val="0"/>
              <w:keepLines w:val="0"/>
              <w:pageBreakBefore w:val="0"/>
              <w:wordWrap w:val="0"/>
              <w:overflowPunct/>
              <w:topLinePunct w:val="0"/>
              <w:bidi w:val="0"/>
              <w:spacing w:before="129" w:line="328" w:lineRule="auto"/>
              <w:ind w:left="144" w:right="168" w:hanging="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（一）采用非常规起重设备、方法，且单件起 吊重量在 100kN 及以上的起重吊装工程。</w:t>
            </w:r>
          </w:p>
        </w:tc>
        <w:tc>
          <w:tcPr>
            <w:tcW w:w="1294" w:type="dxa"/>
            <w:vAlign w:val="top"/>
          </w:tcPr>
          <w:p w14:paraId="62176862">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8EFCFE9">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23FF28E">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385602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778E792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819C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32EB0C9">
            <w:pPr>
              <w:keepNext w:val="0"/>
              <w:keepLines w:val="0"/>
              <w:pageBreakBefore w:val="0"/>
              <w:wordWrap w:val="0"/>
              <w:overflowPunct/>
              <w:topLinePunct w:val="0"/>
              <w:bidi w:val="0"/>
              <w:spacing w:before="129" w:line="345" w:lineRule="auto"/>
              <w:ind w:left="115" w:right="105" w:firstLine="1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（二）起重量 300kN 及以上，或搭设总高度 200m 及以上，或搭设基础标高在 200m 及以上的起重 机械安装和拆卸工程。</w:t>
            </w:r>
          </w:p>
        </w:tc>
        <w:tc>
          <w:tcPr>
            <w:tcW w:w="1294" w:type="dxa"/>
            <w:vAlign w:val="top"/>
          </w:tcPr>
          <w:p w14:paraId="5762D0E9">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40C634B">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85B83EE">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29E055E">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92B70A0">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C60C1D">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7ACFA6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1C3B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F30D083">
            <w:pPr>
              <w:keepNext w:val="0"/>
              <w:keepLines w:val="0"/>
              <w:pageBreakBefore w:val="0"/>
              <w:wordWrap w:val="0"/>
              <w:overflowPunct/>
              <w:topLinePunct w:val="0"/>
              <w:bidi w:val="0"/>
              <w:spacing w:before="128" w:line="219" w:lineRule="auto"/>
              <w:ind w:left="13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四、脚手架工程</w:t>
            </w:r>
          </w:p>
        </w:tc>
        <w:tc>
          <w:tcPr>
            <w:tcW w:w="1294" w:type="dxa"/>
            <w:vAlign w:val="top"/>
          </w:tcPr>
          <w:p w14:paraId="2881CCAF">
            <w:pPr>
              <w:keepNext w:val="0"/>
              <w:keepLines w:val="0"/>
              <w:pageBreakBefore w:val="0"/>
              <w:wordWrap w:val="0"/>
              <w:overflowPunct/>
              <w:topLinePunct w:val="0"/>
              <w:bidi w:val="0"/>
              <w:spacing w:before="127"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B9B1B91">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0DC304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B14B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8AA96E6">
            <w:pPr>
              <w:keepNext w:val="0"/>
              <w:keepLines w:val="0"/>
              <w:pageBreakBefore w:val="0"/>
              <w:wordWrap w:val="0"/>
              <w:overflowPunct/>
              <w:topLinePunct w:val="0"/>
              <w:bidi w:val="0"/>
              <w:spacing w:before="128" w:line="328"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（一）搭设高度 50m 及以上的落地式钢管脚手 架工程。</w:t>
            </w:r>
          </w:p>
        </w:tc>
        <w:tc>
          <w:tcPr>
            <w:tcW w:w="1294" w:type="dxa"/>
            <w:vAlign w:val="top"/>
          </w:tcPr>
          <w:p w14:paraId="38CA0E74">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4F42D08">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486B799">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9F43BD7">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DCFD44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FA03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DA8149A">
            <w:pPr>
              <w:keepNext w:val="0"/>
              <w:keepLines w:val="0"/>
              <w:pageBreakBefore w:val="0"/>
              <w:wordWrap w:val="0"/>
              <w:overflowPunct/>
              <w:topLinePunct w:val="0"/>
              <w:bidi w:val="0"/>
              <w:spacing w:before="131" w:line="327" w:lineRule="auto"/>
              <w:ind w:left="116" w:right="105" w:firstLine="1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（二）提升高度在 </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450</w:t>
            </w:r>
            <w:r>
              <w:rPr>
                <w:rFonts w:hint="eastAsia" w:ascii="宋体" w:hAnsi="宋体" w:eastAsia="宋体" w:cs="宋体"/>
                <w:color w:val="000000" w:themeColor="text1"/>
                <w:spacing w:val="0"/>
                <w:sz w:val="24"/>
                <w:szCs w:val="24"/>
                <w:highlight w:val="none"/>
                <w14:textFill>
                  <w14:solidFill>
                    <w14:schemeClr w14:val="tx1"/>
                  </w14:solidFill>
                </w14:textFill>
              </w:rPr>
              <w:t>m 及以上的附着式升降脚 手架工程或附着式升降操作平台工程。</w:t>
            </w:r>
          </w:p>
        </w:tc>
        <w:tc>
          <w:tcPr>
            <w:tcW w:w="1294" w:type="dxa"/>
            <w:vAlign w:val="top"/>
          </w:tcPr>
          <w:p w14:paraId="6C44A919">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5C3F305">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14626CA">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7E009A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D10965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BD5D6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B1E5B3D">
            <w:pPr>
              <w:keepNext w:val="0"/>
              <w:keepLines w:val="0"/>
              <w:pageBreakBefore w:val="0"/>
              <w:wordWrap w:val="0"/>
              <w:overflowPunct/>
              <w:topLinePunct w:val="0"/>
              <w:bidi w:val="0"/>
              <w:spacing w:before="129" w:line="328" w:lineRule="auto"/>
              <w:ind w:left="115" w:right="168"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（三）分段架体搭设高度 20m 及以上的悬挑式 脚手架工程。</w:t>
            </w:r>
          </w:p>
        </w:tc>
        <w:tc>
          <w:tcPr>
            <w:tcW w:w="1294" w:type="dxa"/>
            <w:vAlign w:val="top"/>
          </w:tcPr>
          <w:p w14:paraId="4AB79A12">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7005039">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ACFD169">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F5EF920">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62CF69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4E8E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C785A81">
            <w:pPr>
              <w:keepNext w:val="0"/>
              <w:keepLines w:val="0"/>
              <w:pageBreakBefore w:val="0"/>
              <w:wordWrap w:val="0"/>
              <w:overflowPunct/>
              <w:topLinePunct w:val="0"/>
              <w:bidi w:val="0"/>
              <w:spacing w:before="131" w:line="220"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五、拆除工程</w:t>
            </w:r>
          </w:p>
        </w:tc>
        <w:tc>
          <w:tcPr>
            <w:tcW w:w="1294" w:type="dxa"/>
            <w:vAlign w:val="top"/>
          </w:tcPr>
          <w:p w14:paraId="2B410AE1">
            <w:pPr>
              <w:keepNext w:val="0"/>
              <w:keepLines w:val="0"/>
              <w:pageBreakBefore w:val="0"/>
              <w:wordWrap w:val="0"/>
              <w:overflowPunct/>
              <w:topLinePunct w:val="0"/>
              <w:bidi w:val="0"/>
              <w:spacing w:before="158"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7B38F25">
            <w:pPr>
              <w:keepNext w:val="0"/>
              <w:keepLines w:val="0"/>
              <w:pageBreakBefore w:val="0"/>
              <w:wordWrap w:val="0"/>
              <w:overflowPunct/>
              <w:topLinePunct w:val="0"/>
              <w:bidi w:val="0"/>
              <w:spacing w:before="15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8E3645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3198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D620B92">
            <w:pPr>
              <w:keepNext w:val="0"/>
              <w:keepLines w:val="0"/>
              <w:pageBreakBefore w:val="0"/>
              <w:wordWrap w:val="0"/>
              <w:overflowPunct/>
              <w:topLinePunct w:val="0"/>
              <w:bidi w:val="0"/>
              <w:spacing w:before="132" w:line="353" w:lineRule="auto"/>
              <w:ind w:left="115" w:right="168"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（一）码头、桥梁、高架、烟囱、水塔或拆除 中容易引起有毒有害气（液）体或粉尘扩散、 易燃易爆事故发生的特殊建、构筑物的拆除工 程。</w:t>
            </w:r>
          </w:p>
        </w:tc>
        <w:tc>
          <w:tcPr>
            <w:tcW w:w="1294" w:type="dxa"/>
            <w:vAlign w:val="top"/>
          </w:tcPr>
          <w:p w14:paraId="62837129">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E2C6B65">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237685B">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E1C9159">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2F70B0D">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459CE9C">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D26B224">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ABE716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E13D58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7EF3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250F9E3">
            <w:pPr>
              <w:keepNext w:val="0"/>
              <w:keepLines w:val="0"/>
              <w:pageBreakBefore w:val="0"/>
              <w:wordWrap w:val="0"/>
              <w:overflowPunct/>
              <w:topLinePunct w:val="0"/>
              <w:bidi w:val="0"/>
              <w:spacing w:before="131" w:line="327"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（二）文物保护建筑、优秀历史建筑或历史文 化风貌区影响范围内的拆除工程。</w:t>
            </w:r>
          </w:p>
        </w:tc>
        <w:tc>
          <w:tcPr>
            <w:tcW w:w="1294" w:type="dxa"/>
            <w:vAlign w:val="top"/>
          </w:tcPr>
          <w:p w14:paraId="1D4EC9B1">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3A03CFE">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2888C22">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B856F29">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3226493">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AB33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FB23701">
            <w:pPr>
              <w:keepNext w:val="0"/>
              <w:keepLines w:val="0"/>
              <w:pageBreakBefore w:val="0"/>
              <w:wordWrap w:val="0"/>
              <w:overflowPunct/>
              <w:topLinePunct w:val="0"/>
              <w:bidi w:val="0"/>
              <w:spacing w:before="131" w:line="221" w:lineRule="auto"/>
              <w:ind w:left="11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六、暗挖工程</w:t>
            </w:r>
          </w:p>
        </w:tc>
        <w:tc>
          <w:tcPr>
            <w:tcW w:w="1294" w:type="dxa"/>
            <w:vAlign w:val="top"/>
          </w:tcPr>
          <w:p w14:paraId="3B13018B">
            <w:pPr>
              <w:keepNext w:val="0"/>
              <w:keepLines w:val="0"/>
              <w:pageBreakBefore w:val="0"/>
              <w:wordWrap w:val="0"/>
              <w:overflowPunct/>
              <w:topLinePunct w:val="0"/>
              <w:bidi w:val="0"/>
              <w:spacing w:before="140"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1E32A96">
            <w:pPr>
              <w:keepNext w:val="0"/>
              <w:keepLines w:val="0"/>
              <w:pageBreakBefore w:val="0"/>
              <w:wordWrap w:val="0"/>
              <w:overflowPunct/>
              <w:topLinePunct w:val="0"/>
              <w:bidi w:val="0"/>
              <w:spacing w:before="14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BEFE76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5277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C421DB8">
            <w:pPr>
              <w:keepNext w:val="0"/>
              <w:keepLines w:val="0"/>
              <w:pageBreakBefore w:val="0"/>
              <w:wordWrap w:val="0"/>
              <w:overflowPunct/>
              <w:topLinePunct w:val="0"/>
              <w:bidi w:val="0"/>
              <w:spacing w:before="131" w:line="327" w:lineRule="auto"/>
              <w:ind w:left="119" w:right="168" w:hanging="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采用矿山法、盾构法、顶管法施工的隧道、洞 室工程。</w:t>
            </w:r>
          </w:p>
        </w:tc>
        <w:tc>
          <w:tcPr>
            <w:tcW w:w="1294" w:type="dxa"/>
            <w:vAlign w:val="top"/>
          </w:tcPr>
          <w:p w14:paraId="2955C1FF">
            <w:pPr>
              <w:pStyle w:val="27"/>
              <w:keepNext w:val="0"/>
              <w:keepLines w:val="0"/>
              <w:pageBreakBefore w:val="0"/>
              <w:wordWrap w:val="0"/>
              <w:overflowPunct/>
              <w:topLinePunct w:val="0"/>
              <w:bidi w:val="0"/>
              <w:spacing w:line="29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C4C9825">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37FC5FC">
            <w:pPr>
              <w:pStyle w:val="27"/>
              <w:keepNext w:val="0"/>
              <w:keepLines w:val="0"/>
              <w:pageBreakBefore w:val="0"/>
              <w:wordWrap w:val="0"/>
              <w:overflowPunct/>
              <w:topLinePunct w:val="0"/>
              <w:bidi w:val="0"/>
              <w:spacing w:line="29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873351B">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739747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3CBE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F3B8926">
            <w:pPr>
              <w:keepNext w:val="0"/>
              <w:keepLines w:val="0"/>
              <w:pageBreakBefore w:val="0"/>
              <w:wordWrap w:val="0"/>
              <w:overflowPunct/>
              <w:topLinePunct w:val="0"/>
              <w:bidi w:val="0"/>
              <w:spacing w:before="130" w:line="222" w:lineRule="auto"/>
              <w:ind w:left="1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七、其它</w:t>
            </w:r>
          </w:p>
        </w:tc>
        <w:tc>
          <w:tcPr>
            <w:tcW w:w="1294" w:type="dxa"/>
            <w:vAlign w:val="top"/>
          </w:tcPr>
          <w:p w14:paraId="4D77A95B">
            <w:pPr>
              <w:keepNext w:val="0"/>
              <w:keepLines w:val="0"/>
              <w:pageBreakBefore w:val="0"/>
              <w:wordWrap w:val="0"/>
              <w:overflowPunct/>
              <w:topLinePunct w:val="0"/>
              <w:bidi w:val="0"/>
              <w:spacing w:before="130"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185F8E5">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8A326B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6214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FF8FAEC">
            <w:pPr>
              <w:keepNext w:val="0"/>
              <w:keepLines w:val="0"/>
              <w:pageBreakBefore w:val="0"/>
              <w:wordWrap w:val="0"/>
              <w:overflowPunct/>
              <w:topLinePunct w:val="0"/>
              <w:bidi w:val="0"/>
              <w:spacing w:before="130" w:line="327" w:lineRule="auto"/>
              <w:ind w:left="115" w:right="168"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（一）施工高度 50m 及以上的建筑幕墙安装工 程。</w:t>
            </w:r>
          </w:p>
        </w:tc>
        <w:tc>
          <w:tcPr>
            <w:tcW w:w="1294" w:type="dxa"/>
            <w:vAlign w:val="top"/>
          </w:tcPr>
          <w:p w14:paraId="79731486">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B1EF7E">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F023B34">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42A23D">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9FC3417">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255E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5A9370B">
            <w:pPr>
              <w:keepNext w:val="0"/>
              <w:keepLines w:val="0"/>
              <w:pageBreakBefore w:val="0"/>
              <w:wordWrap w:val="0"/>
              <w:overflowPunct/>
              <w:topLinePunct w:val="0"/>
              <w:bidi w:val="0"/>
              <w:spacing w:before="130" w:line="221"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（二）跨度 36m 及以上的钢结构安装工程，或</w:t>
            </w:r>
          </w:p>
        </w:tc>
        <w:tc>
          <w:tcPr>
            <w:tcW w:w="1294" w:type="dxa"/>
            <w:vAlign w:val="top"/>
          </w:tcPr>
          <w:p w14:paraId="0E28B8BF">
            <w:pPr>
              <w:keepNext w:val="0"/>
              <w:keepLines w:val="0"/>
              <w:pageBreakBefore w:val="0"/>
              <w:wordWrap w:val="0"/>
              <w:overflowPunct/>
              <w:topLinePunct w:val="0"/>
              <w:bidi w:val="0"/>
              <w:spacing w:before="130"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5DB057B">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3DB903A">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48D8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41E2AF4">
            <w:pPr>
              <w:keepNext w:val="0"/>
              <w:keepLines w:val="0"/>
              <w:pageBreakBefore w:val="0"/>
              <w:wordWrap w:val="0"/>
              <w:overflowPunct/>
              <w:topLinePunct w:val="0"/>
              <w:bidi w:val="0"/>
              <w:spacing w:before="131" w:line="221" w:lineRule="auto"/>
              <w:ind w:left="11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跨度 60m 及以上的网架和索膜结构安装工程。</w:t>
            </w:r>
          </w:p>
        </w:tc>
        <w:tc>
          <w:tcPr>
            <w:tcW w:w="1294" w:type="dxa"/>
            <w:vAlign w:val="top"/>
          </w:tcPr>
          <w:p w14:paraId="64B9705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294" w:type="dxa"/>
            <w:vAlign w:val="top"/>
          </w:tcPr>
          <w:p w14:paraId="002E0645">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428" w:type="dxa"/>
            <w:vAlign w:val="top"/>
          </w:tcPr>
          <w:p w14:paraId="044C4BA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EB4F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1B8FBFF">
            <w:pPr>
              <w:keepNext w:val="0"/>
              <w:keepLines w:val="0"/>
              <w:pageBreakBefore w:val="0"/>
              <w:wordWrap w:val="0"/>
              <w:overflowPunct/>
              <w:topLinePunct w:val="0"/>
              <w:bidi w:val="0"/>
              <w:spacing w:before="127" w:line="220"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（三）开挖深度 16m 及以上的人工挖孔桩工程。</w:t>
            </w:r>
          </w:p>
        </w:tc>
        <w:tc>
          <w:tcPr>
            <w:tcW w:w="1294" w:type="dxa"/>
            <w:vAlign w:val="top"/>
          </w:tcPr>
          <w:p w14:paraId="62C02099">
            <w:pPr>
              <w:keepNext w:val="0"/>
              <w:keepLines w:val="0"/>
              <w:pageBreakBefore w:val="0"/>
              <w:wordWrap w:val="0"/>
              <w:overflowPunct/>
              <w:topLinePunct w:val="0"/>
              <w:bidi w:val="0"/>
              <w:spacing w:before="127"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41BE568">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B3ECDA4">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A9F4D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C8AFDA4">
            <w:pPr>
              <w:keepNext w:val="0"/>
              <w:keepLines w:val="0"/>
              <w:pageBreakBefore w:val="0"/>
              <w:wordWrap w:val="0"/>
              <w:overflowPunct/>
              <w:topLinePunct w:val="0"/>
              <w:bidi w:val="0"/>
              <w:spacing w:before="129"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（四）水下作业工程。</w:t>
            </w:r>
          </w:p>
        </w:tc>
        <w:tc>
          <w:tcPr>
            <w:tcW w:w="1294" w:type="dxa"/>
            <w:vAlign w:val="top"/>
          </w:tcPr>
          <w:p w14:paraId="3067C02F">
            <w:pPr>
              <w:keepNext w:val="0"/>
              <w:keepLines w:val="0"/>
              <w:pageBreakBefore w:val="0"/>
              <w:wordWrap w:val="0"/>
              <w:overflowPunct/>
              <w:topLinePunct w:val="0"/>
              <w:bidi w:val="0"/>
              <w:spacing w:before="163"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2CEF54C">
            <w:pPr>
              <w:keepNext w:val="0"/>
              <w:keepLines w:val="0"/>
              <w:pageBreakBefore w:val="0"/>
              <w:wordWrap w:val="0"/>
              <w:overflowPunct/>
              <w:topLinePunct w:val="0"/>
              <w:bidi w:val="0"/>
              <w:spacing w:before="163"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B56A10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A1F8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BCC59C5">
            <w:pPr>
              <w:keepNext w:val="0"/>
              <w:keepLines w:val="0"/>
              <w:pageBreakBefore w:val="0"/>
              <w:wordWrap w:val="0"/>
              <w:overflowPunct/>
              <w:topLinePunct w:val="0"/>
              <w:bidi w:val="0"/>
              <w:spacing w:before="130" w:line="327" w:lineRule="auto"/>
              <w:ind w:left="115" w:right="25"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（五）重量 1000kN及以上的大型结构整体顶升、 平移、转体等施工工艺。</w:t>
            </w:r>
          </w:p>
        </w:tc>
        <w:tc>
          <w:tcPr>
            <w:tcW w:w="1294" w:type="dxa"/>
            <w:vAlign w:val="top"/>
          </w:tcPr>
          <w:p w14:paraId="3F86B10F">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DAFD05C">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7CFDEAB">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83652C7">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FC5E233">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6CCF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9C5CBEE">
            <w:pPr>
              <w:keepNext w:val="0"/>
              <w:keepLines w:val="0"/>
              <w:pageBreakBefore w:val="0"/>
              <w:wordWrap w:val="0"/>
              <w:overflowPunct/>
              <w:topLinePunct w:val="0"/>
              <w:bidi w:val="0"/>
              <w:spacing w:before="129" w:line="346" w:lineRule="auto"/>
              <w:ind w:left="117" w:right="168" w:firstLine="1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（六）采用新技术、新工艺、新材料、新设备 可能影响工程施工安全，尚无国家、行业及地 方技术标准的分部分项工程。</w:t>
            </w:r>
          </w:p>
        </w:tc>
        <w:tc>
          <w:tcPr>
            <w:tcW w:w="1294" w:type="dxa"/>
            <w:vAlign w:val="top"/>
          </w:tcPr>
          <w:p w14:paraId="7BFE5A71">
            <w:pPr>
              <w:pStyle w:val="27"/>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6661FE2">
            <w:pPr>
              <w:pStyle w:val="27"/>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1A5B130">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094A60A">
            <w:pPr>
              <w:pStyle w:val="27"/>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8F5358C">
            <w:pPr>
              <w:pStyle w:val="27"/>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33F0501">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B0949F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6E7F6BBB">
      <w:pPr>
        <w:pStyle w:val="5"/>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highlight w:val="none"/>
          <w14:textFill>
            <w14:solidFill>
              <w14:schemeClr w14:val="tx1"/>
            </w14:solidFill>
          </w14:textFill>
        </w:rPr>
      </w:pPr>
    </w:p>
    <w:p w14:paraId="548C332F">
      <w:pPr>
        <w:pStyle w:val="5"/>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highlight w:val="none"/>
          <w14:textFill>
            <w14:solidFill>
              <w14:schemeClr w14:val="tx1"/>
            </w14:solidFill>
          </w14:textFill>
        </w:rPr>
      </w:pPr>
    </w:p>
    <w:p w14:paraId="4D9ADF52">
      <w:pPr>
        <w:keepNext w:val="0"/>
        <w:keepLines w:val="0"/>
        <w:pageBreakBefore w:val="0"/>
        <w:wordWrap w:val="0"/>
        <w:overflowPunct/>
        <w:topLinePunct w:val="0"/>
        <w:bidi w:val="0"/>
        <w:spacing w:before="21" w:line="360" w:lineRule="auto"/>
        <w:ind w:firstLine="420" w:firstLineChars="200"/>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备注：1.根据《危险性较大的分部分项工程安全管理规定》，该《危险性较大的分部分项工程清单及超过一定规模的危险性较大的分部分项工程清单》</w:t>
      </w:r>
      <w:r>
        <w:rPr>
          <w:rFonts w:hint="eastAsia" w:ascii="宋体" w:hAnsi="宋体" w:eastAsia="宋体" w:cs="宋体"/>
          <w:color w:val="000000" w:themeColor="text1"/>
          <w:spacing w:val="0"/>
          <w:sz w:val="21"/>
          <w:szCs w:val="21"/>
          <w:highlight w:val="none"/>
          <w:lang w:eastAsia="zh-CN"/>
          <w14:textFill>
            <w14:solidFill>
              <w14:schemeClr w14:val="tx1"/>
            </w14:solidFill>
          </w14:textFill>
        </w:rPr>
        <w:t>应由建设单位组织勘察、设计等单位在招标文件中“勾选（对应项打“√”标识”危险性较大的分部分项工程）。</w:t>
      </w:r>
    </w:p>
    <w:p w14:paraId="0C4D1AF6">
      <w:pPr>
        <w:keepNext w:val="0"/>
        <w:keepLines w:val="0"/>
        <w:pageBreakBefore w:val="0"/>
        <w:wordWrap w:val="0"/>
        <w:overflowPunct/>
        <w:topLinePunct w:val="0"/>
        <w:bidi w:val="0"/>
        <w:spacing w:before="21" w:line="360" w:lineRule="auto"/>
        <w:ind w:firstLine="420" w:firstLineChars="200"/>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2.该《危险性较大的分部分项工程清单及超过一定规模的危险性较大的分部分项工程清单》在办理建设项目施工许可时必须提供，且各地建设行政主管部门可按照《广东省建设工程项目招标中标后监督 检查办法》相关规定开展检查。</w:t>
      </w:r>
    </w:p>
    <w:p w14:paraId="631FDCC1">
      <w:pPr>
        <w:keepNext w:val="0"/>
        <w:keepLines w:val="0"/>
        <w:pageBreakBefore w:val="0"/>
        <w:wordWrap w:val="0"/>
        <w:overflowPunct/>
        <w:topLinePunct w:val="0"/>
        <w:bidi w:val="0"/>
        <w:spacing w:before="28" w:line="360" w:lineRule="auto"/>
        <w:ind w:left="545" w:leftChars="244" w:hanging="33" w:hangingChars="16"/>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3.如果需要（如需要通过计算编制专项方案，或者需要专家论证），可中标后提供</w:t>
      </w:r>
      <w:r>
        <w:rPr>
          <w:rFonts w:hint="eastAsia" w:ascii="宋体" w:hAnsi="宋体" w:eastAsia="宋体" w:cs="宋体"/>
          <w:color w:val="000000" w:themeColor="text1"/>
          <w:spacing w:val="0"/>
          <w:sz w:val="21"/>
          <w:szCs w:val="21"/>
          <w:highlight w:val="none"/>
          <w:lang w:eastAsia="zh-CN"/>
          <w14:textFill>
            <w14:solidFill>
              <w14:schemeClr w14:val="tx1"/>
            </w14:solidFill>
          </w14:textFill>
        </w:rPr>
        <w:t>详细版。</w:t>
      </w:r>
    </w:p>
    <w:p w14:paraId="4F0F2A5C">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749D726F">
      <w:pPr>
        <w:keepNext w:val="0"/>
        <w:keepLines w:val="0"/>
        <w:pageBreakBefore w:val="0"/>
        <w:wordWrap w:val="0"/>
        <w:overflowPunct/>
        <w:topLinePunct w:val="0"/>
        <w:bidi w:val="0"/>
        <w:spacing w:before="78" w:line="220" w:lineRule="auto"/>
        <w:jc w:val="both"/>
        <w:outlineLvl w:val="2"/>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pPr>
      <w:bookmarkStart w:id="277" w:name="_Toc9289"/>
      <w:r>
        <w:rPr>
          <w:rFonts w:hint="eastAsia" w:ascii="宋体" w:hAnsi="宋体" w:eastAsia="宋体" w:cs="宋体"/>
          <w:b/>
          <w:bCs/>
          <w:color w:val="000000" w:themeColor="text1"/>
          <w:spacing w:val="0"/>
          <w:sz w:val="24"/>
          <w:szCs w:val="24"/>
          <w:highlight w:val="none"/>
          <w14:textFill>
            <w14:solidFill>
              <w14:schemeClr w14:val="tx1"/>
            </w14:solidFill>
          </w14:textFill>
        </w:rPr>
        <w:t>格式十四</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position w:val="3"/>
          <w:sz w:val="21"/>
          <w:szCs w:val="21"/>
          <w:highlight w:val="none"/>
          <w14:textFill>
            <w14:solidFill>
              <w14:schemeClr w14:val="tx1"/>
            </w14:solidFill>
          </w14:textFill>
        </w:rPr>
        <w:t>投标保证金信用承诺函</w:t>
      </w:r>
      <w:bookmarkEnd w:id="277"/>
    </w:p>
    <w:p w14:paraId="0C4BB798">
      <w:pPr>
        <w:keepNext w:val="0"/>
        <w:keepLines w:val="0"/>
        <w:pageBreakBefore w:val="0"/>
        <w:wordWrap w:val="0"/>
        <w:overflowPunct/>
        <w:topLinePunct w:val="0"/>
        <w:bidi w:val="0"/>
        <w:spacing w:before="140" w:line="604" w:lineRule="exact"/>
        <w:jc w:val="center"/>
        <w:rPr>
          <w:rFonts w:hint="eastAsia" w:ascii="宋体" w:hAnsi="宋体" w:eastAsia="宋体" w:cs="宋体"/>
          <w:color w:val="000000" w:themeColor="text1"/>
          <w:spacing w:val="0"/>
          <w:sz w:val="28"/>
          <w:szCs w:val="28"/>
          <w:highlight w:val="none"/>
          <w14:textFill>
            <w14:solidFill>
              <w14:schemeClr w14:val="tx1"/>
            </w14:solidFill>
          </w14:textFill>
        </w:rPr>
      </w:pPr>
      <w:r>
        <w:rPr>
          <w:rFonts w:hint="eastAsia" w:ascii="宋体" w:hAnsi="宋体" w:eastAsia="宋体" w:cs="宋体"/>
          <w:b/>
          <w:bCs/>
          <w:color w:val="000000" w:themeColor="text1"/>
          <w:spacing w:val="0"/>
          <w:position w:val="3"/>
          <w:sz w:val="28"/>
          <w:szCs w:val="28"/>
          <w:highlight w:val="none"/>
          <w14:textFill>
            <w14:solidFill>
              <w14:schemeClr w14:val="tx1"/>
            </w14:solidFill>
          </w14:textFill>
        </w:rPr>
        <w:t>投标保证金信用承诺函</w:t>
      </w:r>
    </w:p>
    <w:p w14:paraId="63DA26AC">
      <w:pPr>
        <w:pStyle w:val="5"/>
        <w:keepNext w:val="0"/>
        <w:keepLines w:val="0"/>
        <w:pageBreakBefore w:val="0"/>
        <w:wordWrap w:val="0"/>
        <w:overflowPunct/>
        <w:topLinePunct w:val="0"/>
        <w:bidi w:val="0"/>
        <w:spacing w:line="408" w:lineRule="auto"/>
        <w:rPr>
          <w:rFonts w:hint="eastAsia" w:ascii="宋体" w:hAnsi="宋体" w:eastAsia="宋体" w:cs="宋体"/>
          <w:color w:val="000000" w:themeColor="text1"/>
          <w:spacing w:val="0"/>
          <w:highlight w:val="none"/>
          <w14:textFill>
            <w14:solidFill>
              <w14:schemeClr w14:val="tx1"/>
            </w14:solidFill>
          </w14:textFill>
        </w:rPr>
      </w:pPr>
    </w:p>
    <w:p w14:paraId="2318544C">
      <w:pPr>
        <w:keepNext w:val="0"/>
        <w:keepLines w:val="0"/>
        <w:pageBreakBefore w:val="0"/>
        <w:wordWrap w:val="0"/>
        <w:overflowPunct/>
        <w:topLinePunct w:val="0"/>
        <w:bidi w:val="0"/>
        <w:spacing w:before="101" w:line="257" w:lineRule="auto"/>
        <w:ind w:left="3" w:firstLine="965"/>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一、</w:t>
      </w:r>
      <w:r>
        <w:rPr>
          <w:rFonts w:hint="eastAsia" w:ascii="宋体" w:hAnsi="宋体" w:eastAsia="宋体" w:cs="宋体"/>
          <w:color w:val="000000" w:themeColor="text1"/>
          <w:spacing w:val="0"/>
          <w:sz w:val="24"/>
          <w:szCs w:val="24"/>
          <w:highlight w:val="none"/>
          <w14:textFill>
            <w14:solidFill>
              <w14:schemeClr w14:val="tx1"/>
            </w14:solidFill>
          </w14:textFill>
        </w:rPr>
        <w:t>我单位参加</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（工程项目名称）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的投标活动，现承诺：将严格按照法律法规规定参与交易活动，按照招标文件要求依法履行投标人义务；我方若出现违反《中华人民共和国招标投标法》、《中华人民共和国招标投标法实施条例》、《电子招标投标办法》等有关法律法规的行为，将于投标有效期内全额付清招标文件规定的投标保证金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元。</w:t>
      </w:r>
    </w:p>
    <w:p w14:paraId="2B9D0EA5">
      <w:pPr>
        <w:keepNext w:val="0"/>
        <w:keepLines w:val="0"/>
        <w:pageBreakBefore w:val="0"/>
        <w:wordWrap w:val="0"/>
        <w:overflowPunct/>
        <w:topLinePunct w:val="0"/>
        <w:bidi w:val="0"/>
        <w:spacing w:before="48" w:line="252" w:lineRule="auto"/>
        <w:ind w:left="1" w:firstLine="64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二、至投标文件提交当天，本公司无严重不良信用记录或存在曾作出虚假承诺的情形，且不属于韶关市建筑市场信用管理平台公布的信用等级为 B 级、C 级、D 级的企业。</w:t>
      </w:r>
    </w:p>
    <w:p w14:paraId="1EFDE8F2">
      <w:pPr>
        <w:keepNext w:val="0"/>
        <w:keepLines w:val="0"/>
        <w:pageBreakBefore w:val="0"/>
        <w:wordWrap w:val="0"/>
        <w:overflowPunct/>
        <w:topLinePunct w:val="0"/>
        <w:bidi w:val="0"/>
        <w:spacing w:before="52" w:line="247" w:lineRule="auto"/>
        <w:ind w:left="6" w:right="2" w:firstLine="63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本企业对以上承诺和声明负责。如有虚假，愿接受行政主管部门作出的处罚，并承担以下后果：</w:t>
      </w:r>
    </w:p>
    <w:p w14:paraId="28F04F87">
      <w:pPr>
        <w:keepNext w:val="0"/>
        <w:keepLines w:val="0"/>
        <w:pageBreakBefore w:val="0"/>
        <w:wordWrap w:val="0"/>
        <w:overflowPunct/>
        <w:topLinePunct w:val="0"/>
        <w:bidi w:val="0"/>
        <w:spacing w:before="48" w:line="225" w:lineRule="auto"/>
        <w:ind w:left="6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（一）取消本单位在本项目中的投标资格或中标资格；</w:t>
      </w:r>
    </w:p>
    <w:p w14:paraId="64420808">
      <w:pPr>
        <w:keepNext w:val="0"/>
        <w:keepLines w:val="0"/>
        <w:pageBreakBefore w:val="0"/>
        <w:wordWrap w:val="0"/>
        <w:overflowPunct/>
        <w:topLinePunct w:val="0"/>
        <w:bidi w:val="0"/>
        <w:spacing w:before="64" w:line="225" w:lineRule="auto"/>
        <w:ind w:left="6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（二）将本单位不良行为纳入信用信息管理系统；</w:t>
      </w:r>
    </w:p>
    <w:p w14:paraId="30729E54">
      <w:pPr>
        <w:keepNext w:val="0"/>
        <w:keepLines w:val="0"/>
        <w:pageBreakBefore w:val="0"/>
        <w:wordWrap w:val="0"/>
        <w:overflowPunct/>
        <w:topLinePunct w:val="0"/>
        <w:bidi w:val="0"/>
        <w:spacing w:before="60" w:line="244" w:lineRule="auto"/>
        <w:ind w:left="41" w:right="2" w:firstLine="6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（三）主动在产生不良行为所在的各县（市、区）行政区域内不参加房建市政工程项目的投标活动一年；</w:t>
      </w:r>
    </w:p>
    <w:p w14:paraId="0761697F">
      <w:pPr>
        <w:keepNext w:val="0"/>
        <w:keepLines w:val="0"/>
        <w:pageBreakBefore w:val="0"/>
        <w:wordWrap w:val="0"/>
        <w:overflowPunct/>
        <w:topLinePunct w:val="0"/>
        <w:bidi w:val="0"/>
        <w:spacing w:before="63" w:line="225" w:lineRule="auto"/>
        <w:ind w:left="6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（四）应付的赔偿责任和相应法律责任。</w:t>
      </w:r>
    </w:p>
    <w:p w14:paraId="71665105">
      <w:pPr>
        <w:pStyle w:val="5"/>
        <w:keepNext w:val="0"/>
        <w:keepLines w:val="0"/>
        <w:pageBreakBefore w:val="0"/>
        <w:wordWrap w:val="0"/>
        <w:overflowPunct/>
        <w:topLinePunct w:val="0"/>
        <w:bidi w:val="0"/>
        <w:spacing w:line="329"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01930B0">
      <w:pPr>
        <w:keepNext w:val="0"/>
        <w:keepLines w:val="0"/>
        <w:pageBreakBefore w:val="0"/>
        <w:wordWrap w:val="0"/>
        <w:overflowPunct/>
        <w:topLinePunct w:val="0"/>
        <w:bidi w:val="0"/>
        <w:spacing w:before="102" w:line="225" w:lineRule="auto"/>
        <w:ind w:left="8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单位名称（公章）：</w:t>
      </w:r>
    </w:p>
    <w:p w14:paraId="2C853675">
      <w:pPr>
        <w:pStyle w:val="5"/>
        <w:keepNext w:val="0"/>
        <w:keepLines w:val="0"/>
        <w:pageBreakBefore w:val="0"/>
        <w:wordWrap w:val="0"/>
        <w:overflowPunct/>
        <w:topLinePunct w:val="0"/>
        <w:bidi w:val="0"/>
        <w:spacing w:line="4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304A271">
      <w:pPr>
        <w:keepNext w:val="0"/>
        <w:keepLines w:val="0"/>
        <w:pageBreakBefore w:val="0"/>
        <w:wordWrap w:val="0"/>
        <w:overflowPunct/>
        <w:topLinePunct w:val="0"/>
        <w:bidi w:val="0"/>
        <w:spacing w:before="100" w:line="225" w:lineRule="auto"/>
        <w:ind w:left="85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统一社会信用代码：</w:t>
      </w:r>
    </w:p>
    <w:p w14:paraId="1892BA66">
      <w:pPr>
        <w:pStyle w:val="5"/>
        <w:keepNext w:val="0"/>
        <w:keepLines w:val="0"/>
        <w:pageBreakBefore w:val="0"/>
        <w:wordWrap w:val="0"/>
        <w:overflowPunct/>
        <w:topLinePunct w:val="0"/>
        <w:bidi w:val="0"/>
        <w:spacing w:line="4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DBB6F71">
      <w:pPr>
        <w:keepNext w:val="0"/>
        <w:keepLines w:val="0"/>
        <w:pageBreakBefore w:val="0"/>
        <w:wordWrap w:val="0"/>
        <w:overflowPunct/>
        <w:topLinePunct w:val="0"/>
        <w:bidi w:val="0"/>
        <w:spacing w:before="102" w:line="543" w:lineRule="auto"/>
        <w:ind w:left="844" w:right="50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法定代表人（签字）：</w:t>
      </w:r>
    </w:p>
    <w:p w14:paraId="2D5FF0AE">
      <w:pPr>
        <w:keepNext w:val="0"/>
        <w:keepLines w:val="0"/>
        <w:pageBreakBefore w:val="0"/>
        <w:wordWrap w:val="0"/>
        <w:overflowPunct/>
        <w:topLinePunct w:val="0"/>
        <w:bidi w:val="0"/>
        <w:spacing w:before="102" w:line="543" w:lineRule="auto"/>
        <w:ind w:left="844" w:right="50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 年   月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日</w:t>
      </w:r>
    </w:p>
    <w:p w14:paraId="0CF3EB86">
      <w:pPr>
        <w:pStyle w:val="13"/>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352EA194">
      <w:pPr>
        <w:pStyle w:val="13"/>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lang w:eastAsia="zh-CN"/>
          <w14:textFill>
            <w14:solidFill>
              <w14:schemeClr w14:val="tx1"/>
            </w14:solidFill>
          </w14:textFill>
        </w:rPr>
        <w:sectPr>
          <w:footerReference r:id="rId2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367075C">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78" w:name="_Toc22197"/>
      <w:r>
        <w:rPr>
          <w:rFonts w:hint="eastAsia" w:ascii="宋体" w:hAnsi="宋体" w:eastAsia="宋体" w:cs="宋体"/>
          <w:b/>
          <w:bCs/>
          <w:color w:val="000000" w:themeColor="text1"/>
          <w:spacing w:val="0"/>
          <w:sz w:val="24"/>
          <w:szCs w:val="24"/>
          <w:highlight w:val="none"/>
          <w14:textFill>
            <w14:solidFill>
              <w14:schemeClr w14:val="tx1"/>
            </w14:solidFill>
          </w14:textFill>
        </w:rPr>
        <w:t>格式十</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五</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原件一览表</w:t>
      </w:r>
      <w:bookmarkEnd w:id="278"/>
    </w:p>
    <w:tbl>
      <w:tblPr>
        <w:tblStyle w:val="14"/>
        <w:tblW w:w="9440"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896"/>
        <w:gridCol w:w="1725"/>
        <w:gridCol w:w="964"/>
        <w:gridCol w:w="719"/>
        <w:gridCol w:w="780"/>
        <w:gridCol w:w="991"/>
        <w:gridCol w:w="1637"/>
      </w:tblGrid>
      <w:tr w14:paraId="5F244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440" w:type="dxa"/>
            <w:gridSpan w:val="8"/>
            <w:vAlign w:val="top"/>
          </w:tcPr>
          <w:p w14:paraId="2B40EF1C">
            <w:pPr>
              <w:keepNext w:val="0"/>
              <w:keepLines w:val="0"/>
              <w:pageBreakBefore w:val="0"/>
              <w:wordWrap w:val="0"/>
              <w:overflowPunct/>
              <w:topLinePunct w:val="0"/>
              <w:bidi w:val="0"/>
              <w:spacing w:before="132" w:line="220" w:lineRule="auto"/>
              <w:ind w:left="39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原件一览表</w:t>
            </w:r>
          </w:p>
        </w:tc>
      </w:tr>
      <w:tr w14:paraId="6C17C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24" w:type="dxa"/>
            <w:gridSpan w:val="2"/>
            <w:vAlign w:val="center"/>
          </w:tcPr>
          <w:p w14:paraId="03FBA86E">
            <w:pPr>
              <w:keepNext w:val="0"/>
              <w:keepLines w:val="0"/>
              <w:pageBreakBefore w:val="0"/>
              <w:wordWrap w:val="0"/>
              <w:overflowPunct/>
              <w:topLinePunct w:val="0"/>
              <w:bidi w:val="0"/>
              <w:spacing w:before="62" w:line="230" w:lineRule="auto"/>
              <w:jc w:val="center"/>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工程名称</w:t>
            </w:r>
          </w:p>
        </w:tc>
        <w:tc>
          <w:tcPr>
            <w:tcW w:w="6816" w:type="dxa"/>
            <w:gridSpan w:val="6"/>
            <w:vAlign w:val="top"/>
          </w:tcPr>
          <w:p w14:paraId="5F792F2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87BE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2624" w:type="dxa"/>
            <w:gridSpan w:val="2"/>
            <w:vAlign w:val="top"/>
          </w:tcPr>
          <w:p w14:paraId="254D3CCA">
            <w:pPr>
              <w:keepNext w:val="0"/>
              <w:keepLines w:val="0"/>
              <w:pageBreakBefore w:val="0"/>
              <w:wordWrap w:val="0"/>
              <w:overflowPunct/>
              <w:topLinePunct w:val="0"/>
              <w:bidi w:val="0"/>
              <w:spacing w:before="150" w:line="230" w:lineRule="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投标人名称(请务必填写单位全称)</w:t>
            </w:r>
          </w:p>
        </w:tc>
        <w:tc>
          <w:tcPr>
            <w:tcW w:w="6816" w:type="dxa"/>
            <w:gridSpan w:val="6"/>
            <w:vAlign w:val="top"/>
          </w:tcPr>
          <w:p w14:paraId="0F353D0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2EC7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24" w:type="dxa"/>
            <w:gridSpan w:val="2"/>
            <w:vAlign w:val="top"/>
          </w:tcPr>
          <w:p w14:paraId="6683BB0E">
            <w:pPr>
              <w:keepNext w:val="0"/>
              <w:keepLines w:val="0"/>
              <w:pageBreakBefore w:val="0"/>
              <w:wordWrap w:val="0"/>
              <w:overflowPunct/>
              <w:topLinePunct w:val="0"/>
              <w:bidi w:val="0"/>
              <w:spacing w:before="151"/>
              <w:ind w:right="14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投标人法定代表人或其委托代理人签名</w:t>
            </w:r>
          </w:p>
        </w:tc>
        <w:tc>
          <w:tcPr>
            <w:tcW w:w="2689" w:type="dxa"/>
            <w:gridSpan w:val="2"/>
            <w:vAlign w:val="top"/>
          </w:tcPr>
          <w:p w14:paraId="7969720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499" w:type="dxa"/>
            <w:gridSpan w:val="2"/>
            <w:vAlign w:val="top"/>
          </w:tcPr>
          <w:p w14:paraId="58C1E63A">
            <w:pPr>
              <w:keepNext w:val="0"/>
              <w:keepLines w:val="0"/>
              <w:pageBreakBefore w:val="0"/>
              <w:wordWrap w:val="0"/>
              <w:overflowPunct/>
              <w:topLinePunct w:val="0"/>
              <w:bidi w:val="0"/>
              <w:spacing w:before="151" w:line="312" w:lineRule="auto"/>
              <w:ind w:right="17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手机号码</w:t>
            </w:r>
          </w:p>
        </w:tc>
        <w:tc>
          <w:tcPr>
            <w:tcW w:w="2628" w:type="dxa"/>
            <w:gridSpan w:val="2"/>
            <w:vAlign w:val="top"/>
          </w:tcPr>
          <w:p w14:paraId="460A230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064F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440" w:type="dxa"/>
            <w:gridSpan w:val="8"/>
            <w:vAlign w:val="top"/>
          </w:tcPr>
          <w:p w14:paraId="5B16BEA7">
            <w:pPr>
              <w:keepNext w:val="0"/>
              <w:keepLines w:val="0"/>
              <w:pageBreakBefore w:val="0"/>
              <w:wordWrap w:val="0"/>
              <w:overflowPunct/>
              <w:topLinePunct w:val="0"/>
              <w:bidi w:val="0"/>
              <w:spacing w:before="62" w:line="228" w:lineRule="auto"/>
              <w:ind w:left="336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递交的证明材料原件如下：</w:t>
            </w:r>
          </w:p>
        </w:tc>
      </w:tr>
      <w:tr w14:paraId="6562FA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28" w:type="dxa"/>
            <w:vAlign w:val="top"/>
          </w:tcPr>
          <w:p w14:paraId="47F8E8A8">
            <w:pPr>
              <w:pStyle w:val="27"/>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022230E">
            <w:pPr>
              <w:keepNext w:val="0"/>
              <w:keepLines w:val="0"/>
              <w:pageBreakBefore w:val="0"/>
              <w:wordWrap w:val="0"/>
              <w:overflowPunct/>
              <w:topLinePunct w:val="0"/>
              <w:bidi w:val="0"/>
              <w:spacing w:before="62" w:line="230" w:lineRule="auto"/>
              <w:ind w:left="15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序号</w:t>
            </w:r>
          </w:p>
        </w:tc>
        <w:tc>
          <w:tcPr>
            <w:tcW w:w="5304" w:type="dxa"/>
            <w:gridSpan w:val="4"/>
            <w:vAlign w:val="top"/>
          </w:tcPr>
          <w:p w14:paraId="35D769FC">
            <w:pPr>
              <w:pStyle w:val="27"/>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EEA02B2">
            <w:pPr>
              <w:keepNext w:val="0"/>
              <w:keepLines w:val="0"/>
              <w:pageBreakBefore w:val="0"/>
              <w:wordWrap w:val="0"/>
              <w:overflowPunct/>
              <w:topLinePunct w:val="0"/>
              <w:bidi w:val="0"/>
              <w:spacing w:before="61" w:line="228" w:lineRule="auto"/>
              <w:ind w:left="17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证明材料原件名称</w:t>
            </w:r>
          </w:p>
        </w:tc>
        <w:tc>
          <w:tcPr>
            <w:tcW w:w="1771" w:type="dxa"/>
            <w:gridSpan w:val="2"/>
            <w:vAlign w:val="top"/>
          </w:tcPr>
          <w:p w14:paraId="66A03B25">
            <w:pPr>
              <w:pStyle w:val="27"/>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92559B5">
            <w:pPr>
              <w:keepNext w:val="0"/>
              <w:keepLines w:val="0"/>
              <w:pageBreakBefore w:val="0"/>
              <w:wordWrap w:val="0"/>
              <w:overflowPunct/>
              <w:topLinePunct w:val="0"/>
              <w:bidi w:val="0"/>
              <w:spacing w:before="62" w:line="230" w:lineRule="auto"/>
              <w:ind w:left="66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单位</w:t>
            </w:r>
          </w:p>
        </w:tc>
        <w:tc>
          <w:tcPr>
            <w:tcW w:w="1637" w:type="dxa"/>
            <w:vAlign w:val="top"/>
          </w:tcPr>
          <w:p w14:paraId="3BEEA542">
            <w:pPr>
              <w:pStyle w:val="27"/>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CE3B1D0">
            <w:pPr>
              <w:keepNext w:val="0"/>
              <w:keepLines w:val="0"/>
              <w:pageBreakBefore w:val="0"/>
              <w:wordWrap w:val="0"/>
              <w:overflowPunct/>
              <w:topLinePunct w:val="0"/>
              <w:bidi w:val="0"/>
              <w:spacing w:before="62" w:line="229" w:lineRule="auto"/>
              <w:ind w:left="5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数量</w:t>
            </w:r>
          </w:p>
        </w:tc>
      </w:tr>
      <w:tr w14:paraId="4F82D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BE58E00">
            <w:pPr>
              <w:keepNext w:val="0"/>
              <w:keepLines w:val="0"/>
              <w:pageBreakBefore w:val="0"/>
              <w:wordWrap w:val="0"/>
              <w:overflowPunct/>
              <w:topLinePunct w:val="0"/>
              <w:bidi w:val="0"/>
              <w:spacing w:before="287" w:line="184" w:lineRule="auto"/>
              <w:ind w:left="3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5304" w:type="dxa"/>
            <w:gridSpan w:val="4"/>
            <w:vAlign w:val="top"/>
          </w:tcPr>
          <w:p w14:paraId="48BEE8B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69FF32C9">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23FE9655">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DB2F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439F9AE2">
            <w:pPr>
              <w:keepNext w:val="0"/>
              <w:keepLines w:val="0"/>
              <w:pageBreakBefore w:val="0"/>
              <w:wordWrap w:val="0"/>
              <w:overflowPunct/>
              <w:topLinePunct w:val="0"/>
              <w:bidi w:val="0"/>
              <w:spacing w:before="288" w:line="183" w:lineRule="auto"/>
              <w:ind w:left="30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5304" w:type="dxa"/>
            <w:gridSpan w:val="4"/>
            <w:vAlign w:val="top"/>
          </w:tcPr>
          <w:p w14:paraId="4F70EA65">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72C3C76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1969C218">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3152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4F34003A">
            <w:pPr>
              <w:keepNext w:val="0"/>
              <w:keepLines w:val="0"/>
              <w:pageBreakBefore w:val="0"/>
              <w:wordWrap w:val="0"/>
              <w:overflowPunct/>
              <w:topLinePunct w:val="0"/>
              <w:bidi w:val="0"/>
              <w:spacing w:before="287" w:line="183" w:lineRule="auto"/>
              <w:ind w:left="30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w:t>
            </w:r>
          </w:p>
        </w:tc>
        <w:tc>
          <w:tcPr>
            <w:tcW w:w="5304" w:type="dxa"/>
            <w:gridSpan w:val="4"/>
            <w:vAlign w:val="top"/>
          </w:tcPr>
          <w:p w14:paraId="32F8469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7AD8029B">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6E7CE753">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0948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36DFC70">
            <w:pPr>
              <w:pStyle w:val="27"/>
              <w:keepNext w:val="0"/>
              <w:keepLines w:val="0"/>
              <w:pageBreakBefore w:val="0"/>
              <w:wordWrap w:val="0"/>
              <w:overflowPunct/>
              <w:topLinePunct w:val="0"/>
              <w:bidi w:val="0"/>
              <w:spacing w:line="34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EBABEED">
            <w:pPr>
              <w:keepNext w:val="0"/>
              <w:keepLines w:val="0"/>
              <w:pageBreakBefore w:val="0"/>
              <w:wordWrap w:val="0"/>
              <w:overflowPunct/>
              <w:topLinePunct w:val="0"/>
              <w:bidi w:val="0"/>
              <w:spacing w:before="78" w:line="99" w:lineRule="exact"/>
              <w:ind w:left="18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1"/>
                <w:sz w:val="24"/>
                <w:szCs w:val="24"/>
                <w:highlight w:val="none"/>
                <w14:textFill>
                  <w14:solidFill>
                    <w14:schemeClr w14:val="tx1"/>
                  </w14:solidFill>
                </w14:textFill>
              </w:rPr>
              <w:t>...</w:t>
            </w:r>
          </w:p>
        </w:tc>
        <w:tc>
          <w:tcPr>
            <w:tcW w:w="5304" w:type="dxa"/>
            <w:gridSpan w:val="4"/>
            <w:vAlign w:val="top"/>
          </w:tcPr>
          <w:p w14:paraId="78AEE5FA">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56A6BE9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15AD4B06">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4067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7" w:hRule="atLeast"/>
        </w:trPr>
        <w:tc>
          <w:tcPr>
            <w:tcW w:w="728" w:type="dxa"/>
            <w:vAlign w:val="top"/>
          </w:tcPr>
          <w:p w14:paraId="5E70F2C3">
            <w:pPr>
              <w:pStyle w:val="27"/>
              <w:keepNext w:val="0"/>
              <w:keepLines w:val="0"/>
              <w:pageBreakBefore w:val="0"/>
              <w:wordWrap w:val="0"/>
              <w:overflowPunct/>
              <w:topLinePunct w:val="0"/>
              <w:bidi w:val="0"/>
              <w:spacing w:line="27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2A84F17">
            <w:pPr>
              <w:pStyle w:val="27"/>
              <w:keepNext w:val="0"/>
              <w:keepLines w:val="0"/>
              <w:pageBreakBefore w:val="0"/>
              <w:wordWrap w:val="0"/>
              <w:overflowPunct/>
              <w:topLinePunct w:val="0"/>
              <w:bidi w:val="0"/>
              <w:spacing w:line="27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DCB2179">
            <w:pPr>
              <w:pStyle w:val="27"/>
              <w:keepNext w:val="0"/>
              <w:keepLines w:val="0"/>
              <w:pageBreakBefore w:val="0"/>
              <w:wordWrap w:val="0"/>
              <w:overflowPunct/>
              <w:topLinePunct w:val="0"/>
              <w:bidi w:val="0"/>
              <w:spacing w:line="27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A613965">
            <w:pPr>
              <w:keepNext w:val="0"/>
              <w:keepLines w:val="0"/>
              <w:pageBreakBefore w:val="0"/>
              <w:wordWrap w:val="0"/>
              <w:overflowPunct/>
              <w:topLinePunct w:val="0"/>
              <w:bidi w:val="0"/>
              <w:spacing w:before="62" w:line="233" w:lineRule="auto"/>
              <w:ind w:left="2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注意：</w:t>
            </w:r>
          </w:p>
        </w:tc>
        <w:tc>
          <w:tcPr>
            <w:tcW w:w="8712" w:type="dxa"/>
            <w:gridSpan w:val="7"/>
            <w:vAlign w:val="top"/>
          </w:tcPr>
          <w:p w14:paraId="04434907">
            <w:pPr>
              <w:keepNext w:val="0"/>
              <w:keepLines w:val="0"/>
              <w:pageBreakBefore w:val="0"/>
              <w:wordWrap w:val="0"/>
              <w:overflowPunct/>
              <w:topLinePunct w:val="0"/>
              <w:bidi w:val="0"/>
              <w:spacing w:before="148"/>
              <w:ind w:left="111" w:right="107" w:firstLine="48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 内容及真实性负责。</w:t>
            </w:r>
          </w:p>
        </w:tc>
      </w:tr>
      <w:tr w14:paraId="1CF26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2624" w:type="dxa"/>
            <w:gridSpan w:val="2"/>
            <w:vAlign w:val="top"/>
          </w:tcPr>
          <w:p w14:paraId="761E9651">
            <w:pPr>
              <w:pStyle w:val="27"/>
              <w:keepNext w:val="0"/>
              <w:keepLines w:val="0"/>
              <w:pageBreakBefore w:val="0"/>
              <w:wordWrap w:val="0"/>
              <w:overflowPunct/>
              <w:topLinePunct w:val="0"/>
              <w:bidi w:val="0"/>
              <w:spacing w:line="24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A419AAE">
            <w:pPr>
              <w:keepNext w:val="0"/>
              <w:keepLines w:val="0"/>
              <w:pageBreakBefore w:val="0"/>
              <w:wordWrap w:val="0"/>
              <w:overflowPunct/>
              <w:topLinePunct w:val="0"/>
              <w:bidi w:val="0"/>
              <w:spacing w:before="61" w:line="240" w:lineRule="auto"/>
              <w:ind w:left="760" w:right="153" w:hanging="6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接收原件经办人</w:t>
            </w:r>
          </w:p>
          <w:p w14:paraId="1690E6DB">
            <w:pPr>
              <w:keepNext w:val="0"/>
              <w:keepLines w:val="0"/>
              <w:pageBreakBefore w:val="0"/>
              <w:wordWrap w:val="0"/>
              <w:overflowPunct/>
              <w:topLinePunct w:val="0"/>
              <w:bidi w:val="0"/>
              <w:spacing w:before="61" w:line="240" w:lineRule="auto"/>
              <w:ind w:left="760" w:right="153" w:hanging="6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(招标代理)：</w:t>
            </w:r>
          </w:p>
        </w:tc>
        <w:tc>
          <w:tcPr>
            <w:tcW w:w="1725" w:type="dxa"/>
            <w:vAlign w:val="top"/>
          </w:tcPr>
          <w:p w14:paraId="275A8985">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83" w:type="dxa"/>
            <w:gridSpan w:val="2"/>
            <w:vAlign w:val="top"/>
          </w:tcPr>
          <w:p w14:paraId="1474D634">
            <w:pPr>
              <w:pStyle w:val="27"/>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DC3DCF2">
            <w:pPr>
              <w:pStyle w:val="27"/>
              <w:keepNext w:val="0"/>
              <w:keepLines w:val="0"/>
              <w:pageBreakBefore w:val="0"/>
              <w:wordWrap w:val="0"/>
              <w:overflowPunct/>
              <w:topLinePunct w:val="0"/>
              <w:bidi w:val="0"/>
              <w:spacing w:line="289"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674EC6F">
            <w:pPr>
              <w:keepNext w:val="0"/>
              <w:keepLines w:val="0"/>
              <w:pageBreakBefore w:val="0"/>
              <w:wordWrap w:val="0"/>
              <w:overflowPunct/>
              <w:topLinePunct w:val="0"/>
              <w:bidi w:val="0"/>
              <w:spacing w:before="62" w:line="229" w:lineRule="auto"/>
              <w:ind w:left="3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接收时间：</w:t>
            </w:r>
          </w:p>
        </w:tc>
        <w:tc>
          <w:tcPr>
            <w:tcW w:w="3408" w:type="dxa"/>
            <w:gridSpan w:val="3"/>
            <w:vAlign w:val="top"/>
          </w:tcPr>
          <w:p w14:paraId="14CF6FE5">
            <w:pPr>
              <w:pStyle w:val="27"/>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D2D58A7">
            <w:pPr>
              <w:pStyle w:val="27"/>
              <w:keepNext w:val="0"/>
              <w:keepLines w:val="0"/>
              <w:pageBreakBefore w:val="0"/>
              <w:wordWrap w:val="0"/>
              <w:overflowPunct/>
              <w:topLinePunct w:val="0"/>
              <w:bidi w:val="0"/>
              <w:spacing w:line="289"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05600D0">
            <w:pPr>
              <w:keepNext w:val="0"/>
              <w:keepLines w:val="0"/>
              <w:pageBreakBefore w:val="0"/>
              <w:wordWrap w:val="0"/>
              <w:overflowPunct/>
              <w:topLinePunct w:val="0"/>
              <w:bidi w:val="0"/>
              <w:spacing w:before="62" w:line="229" w:lineRule="auto"/>
              <w:ind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月   日   时  分</w:t>
            </w:r>
          </w:p>
        </w:tc>
      </w:tr>
      <w:tr w14:paraId="25E6C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624" w:type="dxa"/>
            <w:gridSpan w:val="2"/>
            <w:vAlign w:val="top"/>
          </w:tcPr>
          <w:p w14:paraId="2EB55666">
            <w:pPr>
              <w:keepNext w:val="0"/>
              <w:keepLines w:val="0"/>
              <w:pageBreakBefore w:val="0"/>
              <w:wordWrap w:val="0"/>
              <w:overflowPunct/>
              <w:topLinePunct w:val="0"/>
              <w:bidi w:val="0"/>
              <w:spacing w:before="155" w:line="240" w:lineRule="auto"/>
              <w:ind w:left="861" w:right="153" w:hanging="69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退还原件接收人</w:t>
            </w:r>
          </w:p>
          <w:p w14:paraId="1CDD5251">
            <w:pPr>
              <w:keepNext w:val="0"/>
              <w:keepLines w:val="0"/>
              <w:pageBreakBefore w:val="0"/>
              <w:wordWrap w:val="0"/>
              <w:overflowPunct/>
              <w:topLinePunct w:val="0"/>
              <w:bidi w:val="0"/>
              <w:spacing w:before="155" w:line="240" w:lineRule="auto"/>
              <w:ind w:left="861" w:right="153" w:hanging="69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p>
        </w:tc>
        <w:tc>
          <w:tcPr>
            <w:tcW w:w="1725" w:type="dxa"/>
            <w:vAlign w:val="top"/>
          </w:tcPr>
          <w:p w14:paraId="66FA3EB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83" w:type="dxa"/>
            <w:gridSpan w:val="2"/>
            <w:vAlign w:val="top"/>
          </w:tcPr>
          <w:p w14:paraId="37AC43BC">
            <w:pPr>
              <w:pStyle w:val="27"/>
              <w:keepNext w:val="0"/>
              <w:keepLines w:val="0"/>
              <w:pageBreakBefore w:val="0"/>
              <w:wordWrap w:val="0"/>
              <w:overflowPunct/>
              <w:topLinePunct w:val="0"/>
              <w:bidi w:val="0"/>
              <w:spacing w:line="33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C24FA50">
            <w:pPr>
              <w:keepNext w:val="0"/>
              <w:keepLines w:val="0"/>
              <w:pageBreakBefore w:val="0"/>
              <w:wordWrap w:val="0"/>
              <w:overflowPunct/>
              <w:topLinePunct w:val="0"/>
              <w:bidi w:val="0"/>
              <w:spacing w:before="61" w:line="231" w:lineRule="auto"/>
              <w:ind w:left="3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退还时间：</w:t>
            </w:r>
          </w:p>
        </w:tc>
        <w:tc>
          <w:tcPr>
            <w:tcW w:w="3408" w:type="dxa"/>
            <w:gridSpan w:val="3"/>
            <w:vAlign w:val="top"/>
          </w:tcPr>
          <w:p w14:paraId="7DD435CD">
            <w:pPr>
              <w:pStyle w:val="27"/>
              <w:keepNext w:val="0"/>
              <w:keepLines w:val="0"/>
              <w:pageBreakBefore w:val="0"/>
              <w:wordWrap w:val="0"/>
              <w:overflowPunct/>
              <w:topLinePunct w:val="0"/>
              <w:bidi w:val="0"/>
              <w:spacing w:line="33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83946A7">
            <w:pPr>
              <w:keepNext w:val="0"/>
              <w:keepLines w:val="0"/>
              <w:pageBreakBefore w:val="0"/>
              <w:wordWrap w:val="0"/>
              <w:overflowPunct/>
              <w:topLinePunct w:val="0"/>
              <w:bidi w:val="0"/>
              <w:spacing w:before="62" w:line="229" w:lineRule="auto"/>
              <w:ind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月   日  时   分</w:t>
            </w:r>
          </w:p>
        </w:tc>
      </w:tr>
    </w:tbl>
    <w:p w14:paraId="7FF2268B">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79" w:name="bookmark107"/>
      <w:bookmarkEnd w:id="279"/>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4B0574CF">
      <w:pPr>
        <w:pStyle w:val="53"/>
        <w:snapToGrid w:val="0"/>
        <w:spacing w:line="440" w:lineRule="exact"/>
        <w:ind w:firstLine="0"/>
        <w:outlineLvl w:val="2"/>
        <w:rPr>
          <w:rStyle w:val="26"/>
          <w:rFonts w:hint="eastAsia" w:ascii="Times New Roman" w:hAnsi="宋体"/>
          <w:b/>
          <w:bCs/>
          <w:color w:val="000000" w:themeColor="text1"/>
          <w:sz w:val="21"/>
          <w:szCs w:val="21"/>
          <w:highlight w:val="none"/>
          <w14:textFill>
            <w14:solidFill>
              <w14:schemeClr w14:val="tx1"/>
            </w14:solidFill>
          </w14:textFill>
        </w:rPr>
      </w:pPr>
      <w:bookmarkStart w:id="280" w:name="_Toc29477"/>
      <w:bookmarkStart w:id="281" w:name="_Toc22112"/>
      <w:bookmarkStart w:id="282" w:name="_Toc26133"/>
      <w:bookmarkStart w:id="283" w:name="_Toc26911"/>
      <w:r>
        <w:rPr>
          <w:rStyle w:val="26"/>
          <w:rFonts w:hint="eastAsia" w:ascii="Times New Roman" w:hAnsi="宋体" w:eastAsia="Arial" w:cs="Arial"/>
          <w:b/>
          <w:bCs/>
          <w:snapToGrid w:val="0"/>
          <w:color w:val="000000" w:themeColor="text1"/>
          <w:kern w:val="2"/>
          <w:sz w:val="21"/>
          <w:szCs w:val="21"/>
          <w:highlight w:val="none"/>
          <w:lang w:eastAsia="en-US"/>
          <w14:textFill>
            <w14:solidFill>
              <w14:schemeClr w14:val="tx1"/>
            </w14:solidFill>
          </w14:textFill>
        </w:rPr>
        <w:t>格式十六 定标因素评审资料</w:t>
      </w:r>
      <w:bookmarkEnd w:id="280"/>
      <w:bookmarkEnd w:id="281"/>
      <w:bookmarkEnd w:id="282"/>
      <w:bookmarkEnd w:id="283"/>
    </w:p>
    <w:p w14:paraId="3FDDD85F">
      <w:pPr>
        <w:kinsoku/>
        <w:autoSpaceDE/>
        <w:autoSpaceDN/>
        <w:adjustRightInd/>
        <w:snapToGrid/>
        <w:spacing w:line="500" w:lineRule="exact"/>
        <w:jc w:val="center"/>
        <w:rPr>
          <w:rFonts w:hint="eastAsia" w:ascii="宋体" w:hAnsi="宋体" w:eastAsia="宋体" w:cs="宋体"/>
          <w:b/>
          <w:bCs/>
          <w:snapToGrid/>
          <w:color w:val="000000" w:themeColor="text1"/>
          <w:kern w:val="2"/>
          <w:sz w:val="30"/>
          <w:szCs w:val="30"/>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定标因素评审资料</w:t>
      </w:r>
    </w:p>
    <w:p w14:paraId="6DCF793B">
      <w:pPr>
        <w:kinsoku/>
        <w:autoSpaceDE/>
        <w:autoSpaceDN/>
        <w:adjustRightInd/>
        <w:snapToGrid/>
        <w:spacing w:line="360" w:lineRule="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p>
    <w:p w14:paraId="7AB4D12E">
      <w:pPr>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投标人根据“第一章 第五节 定标规定及细则”载明的定标因素，提交评审资料。</w:t>
      </w:r>
    </w:p>
    <w:p w14:paraId="1A80573E">
      <w:pPr>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3E438A30">
      <w:pPr>
        <w:keepNext w:val="0"/>
        <w:keepLines w:val="0"/>
        <w:pageBreakBefore w:val="0"/>
        <w:wordWrap w:val="0"/>
        <w:overflowPunct/>
        <w:topLinePunct w:val="0"/>
        <w:bidi w:val="0"/>
        <w:spacing w:before="78" w:line="219" w:lineRule="auto"/>
        <w:jc w:val="center"/>
        <w:outlineLvl w:val="1"/>
        <w:rPr>
          <w:rFonts w:hint="eastAsia" w:ascii="宋体" w:hAnsi="宋体" w:eastAsia="宋体" w:cs="宋体"/>
          <w:color w:val="000000" w:themeColor="text1"/>
          <w:spacing w:val="0"/>
          <w:highlight w:val="none"/>
          <w14:textFill>
            <w14:solidFill>
              <w14:schemeClr w14:val="tx1"/>
            </w14:solidFill>
          </w14:textFill>
        </w:rPr>
      </w:pPr>
      <w:bookmarkStart w:id="284" w:name="_Toc8487"/>
      <w:r>
        <w:rPr>
          <w:rFonts w:hint="eastAsia" w:ascii="宋体" w:hAnsi="宋体" w:eastAsia="宋体" w:cs="宋体"/>
          <w:b/>
          <w:bCs/>
          <w:color w:val="000000" w:themeColor="text1"/>
          <w:spacing w:val="0"/>
          <w:sz w:val="24"/>
          <w:szCs w:val="24"/>
          <w:highlight w:val="none"/>
          <w14:textFill>
            <w14:solidFill>
              <w14:schemeClr w14:val="tx1"/>
            </w14:solidFill>
          </w14:textFill>
        </w:rPr>
        <w:t>第七章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建设工程施工合同</w:t>
      </w:r>
      <w:bookmarkEnd w:id="284"/>
    </w:p>
    <w:p w14:paraId="0F14ACDF">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151CC36E">
      <w:pPr>
        <w:keepNext w:val="0"/>
        <w:keepLines w:val="0"/>
        <w:pageBreakBefore w:val="0"/>
        <w:wordWrap w:val="0"/>
        <w:overflowPunct/>
        <w:topLinePunct w:val="0"/>
        <w:bidi w:val="0"/>
        <w:spacing w:before="78" w:line="324" w:lineRule="auto"/>
        <w:ind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（略），按《广东省建设工程标准施工合同》（2009 年版）或《建设工程施工合同（示范文本）》（GF—2017—0201）执行。</w:t>
      </w:r>
    </w:p>
    <w:p w14:paraId="01801F5B">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sectPr>
      <w:footerReference r:id="rId26"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0A288">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6E4AF">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0A77C8">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0A77C8">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A2642">
    <w:pPr>
      <w:spacing w:line="179" w:lineRule="auto"/>
      <w:ind w:left="4353"/>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53644F">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B53644F">
                    <w:pPr>
                      <w:pStyle w:val="9"/>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ascii="宋体" w:hAnsi="宋体" w:eastAsia="宋体" w:cs="宋体"/>
        <w:sz w:val="19"/>
        <w:szCs w:val="19"/>
        <w:lang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6D71C">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4F71FC">
                          <w:pPr>
                            <w:pStyle w:val="9"/>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D4F71FC">
                    <w:pPr>
                      <w:pStyle w:val="9"/>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83137">
    <w:pPr>
      <w:pStyle w:val="9"/>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B65B2D">
                          <w:pPr>
                            <w:pStyle w:val="9"/>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2B65B2D">
                    <w:pPr>
                      <w:pStyle w:val="9"/>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1E147">
    <w:pPr>
      <w:pStyle w:val="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DBAC9">
                          <w:pPr>
                            <w:pStyle w:val="9"/>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40DBAC9">
                    <w:pPr>
                      <w:pStyle w:val="9"/>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BFC2D">
    <w:pPr>
      <w:pStyle w:val="9"/>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091286">
                          <w:pPr>
                            <w:pStyle w:val="9"/>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F091286">
                    <w:pPr>
                      <w:pStyle w:val="9"/>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DF844">
    <w:pPr>
      <w:pStyle w:val="9"/>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DB81C9">
                          <w:pPr>
                            <w:pStyle w:val="9"/>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8DB81C9">
                    <w:pPr>
                      <w:pStyle w:val="9"/>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67EE6">
    <w:pPr>
      <w:pStyle w:val="9"/>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B08799">
                          <w:pPr>
                            <w:pStyle w:val="9"/>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3B08799">
                    <w:pPr>
                      <w:pStyle w:val="9"/>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111AF">
    <w:pPr>
      <w:pStyle w:val="9"/>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EB88D6">
                          <w:pPr>
                            <w:pStyle w:val="9"/>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AEB88D6">
                    <w:pPr>
                      <w:pStyle w:val="9"/>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B3D4B">
    <w:pPr>
      <w:pStyle w:val="9"/>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9540B">
                          <w:pPr>
                            <w:pStyle w:val="9"/>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5C9540B">
                    <w:pPr>
                      <w:pStyle w:val="9"/>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CA7E8">
    <w:pPr>
      <w:pStyle w:val="9"/>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A68BB">
                          <w:pPr>
                            <w:pStyle w:val="9"/>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BFA68BB">
                    <w:pPr>
                      <w:pStyle w:val="9"/>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B6E0A">
    <w:pPr>
      <w:pStyle w:val="9"/>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5CEF52">
                          <w:pPr>
                            <w:pStyle w:val="9"/>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755CEF52">
                    <w:pPr>
                      <w:pStyle w:val="9"/>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D6CBA">
    <w:pPr>
      <w:pStyle w:val="9"/>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93DF6">
                          <w:pPr>
                            <w:pStyle w:val="9"/>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4C393DF6">
                    <w:pPr>
                      <w:pStyle w:val="9"/>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4F25A">
    <w:pPr>
      <w:pStyle w:val="9"/>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58473">
                          <w:pPr>
                            <w:pStyle w:val="9"/>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15158473">
                    <w:pPr>
                      <w:pStyle w:val="9"/>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3A765">
    <w:pPr>
      <w:pStyle w:val="9"/>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68E82C">
                          <w:pPr>
                            <w:pStyle w:val="9"/>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4A68E82C">
                    <w:pPr>
                      <w:pStyle w:val="9"/>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0510">
    <w:pPr>
      <w:pStyle w:val="9"/>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235F8D">
                          <w:pPr>
                            <w:pStyle w:val="9"/>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16235F8D">
                    <w:pPr>
                      <w:pStyle w:val="9"/>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0073A">
    <w:pPr>
      <w:pStyle w:val="9"/>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6AC4E">
                          <w:pPr>
                            <w:pStyle w:val="9"/>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B16AC4E">
                    <w:pPr>
                      <w:pStyle w:val="9"/>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FF30B">
    <w:pPr>
      <w:pStyle w:val="9"/>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8FFB92">
                          <w:pPr>
                            <w:pStyle w:val="9"/>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388FFB92">
                    <w:pPr>
                      <w:pStyle w:val="9"/>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4F5C4">
    <w:pPr>
      <w:pStyle w:val="9"/>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40A844">
                          <w:pPr>
                            <w:pStyle w:val="9"/>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7F40A844">
                    <w:pPr>
                      <w:pStyle w:val="9"/>
                    </w:pPr>
                    <w:r>
                      <w:fldChar w:fldCharType="begin"/>
                    </w:r>
                    <w:r>
                      <w:instrText xml:space="preserve"> PAGE  \* MERGEFORMAT </w:instrText>
                    </w:r>
                    <w:r>
                      <w:fldChar w:fldCharType="separate"/>
                    </w:r>
                    <w:r>
                      <w:t>80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2A64E">
    <w:pPr>
      <w:pStyle w:val="5"/>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A3C7A">
    <w:pPr>
      <w:pStyle w:val="5"/>
      <w:spacing w:line="50"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2D440">
    <w:pPr>
      <w:pStyle w:val="5"/>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978D7">
    <w:pPr>
      <w:pStyle w:val="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C9BDCA"/>
    <w:multiLevelType w:val="singleLevel"/>
    <w:tmpl w:val="E6C9BDC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kZmUxYzUwZTk0YWQ4OWIxZDY5YjRhZmIwMjUzNzMifQ=="/>
  </w:docVars>
  <w:rsids>
    <w:rsidRoot w:val="4F582EF7"/>
    <w:rsid w:val="000D6A89"/>
    <w:rsid w:val="0012211A"/>
    <w:rsid w:val="00215AA4"/>
    <w:rsid w:val="003F512F"/>
    <w:rsid w:val="00473031"/>
    <w:rsid w:val="004F4B45"/>
    <w:rsid w:val="00D61DC8"/>
    <w:rsid w:val="00ED3513"/>
    <w:rsid w:val="00F661CB"/>
    <w:rsid w:val="01073D6F"/>
    <w:rsid w:val="010D6029"/>
    <w:rsid w:val="01110546"/>
    <w:rsid w:val="01203FAE"/>
    <w:rsid w:val="012A2737"/>
    <w:rsid w:val="013F153F"/>
    <w:rsid w:val="013F232E"/>
    <w:rsid w:val="014B09BB"/>
    <w:rsid w:val="014C6B51"/>
    <w:rsid w:val="016471F9"/>
    <w:rsid w:val="01916C5A"/>
    <w:rsid w:val="019A0A09"/>
    <w:rsid w:val="019E647B"/>
    <w:rsid w:val="01B841E6"/>
    <w:rsid w:val="01D95F0B"/>
    <w:rsid w:val="01DB7ED5"/>
    <w:rsid w:val="02337D11"/>
    <w:rsid w:val="026E699E"/>
    <w:rsid w:val="0273635F"/>
    <w:rsid w:val="02AA30B8"/>
    <w:rsid w:val="02B7625C"/>
    <w:rsid w:val="02BF0C55"/>
    <w:rsid w:val="03091250"/>
    <w:rsid w:val="03195159"/>
    <w:rsid w:val="032C4E8C"/>
    <w:rsid w:val="0358304C"/>
    <w:rsid w:val="03696A9E"/>
    <w:rsid w:val="037C563F"/>
    <w:rsid w:val="038667F3"/>
    <w:rsid w:val="039E06FB"/>
    <w:rsid w:val="03B524C9"/>
    <w:rsid w:val="03C5042E"/>
    <w:rsid w:val="03E26ED3"/>
    <w:rsid w:val="04021749"/>
    <w:rsid w:val="041A2998"/>
    <w:rsid w:val="041A2F36"/>
    <w:rsid w:val="04200D92"/>
    <w:rsid w:val="043C0BB8"/>
    <w:rsid w:val="04540333"/>
    <w:rsid w:val="048719B2"/>
    <w:rsid w:val="048B3E34"/>
    <w:rsid w:val="04B51863"/>
    <w:rsid w:val="04B67F25"/>
    <w:rsid w:val="04B86DCC"/>
    <w:rsid w:val="04BF763A"/>
    <w:rsid w:val="04C07235"/>
    <w:rsid w:val="04C52712"/>
    <w:rsid w:val="04C93D12"/>
    <w:rsid w:val="04C95B8C"/>
    <w:rsid w:val="04CE00F8"/>
    <w:rsid w:val="05654685"/>
    <w:rsid w:val="05DD1BF7"/>
    <w:rsid w:val="05E30CAA"/>
    <w:rsid w:val="05E732EC"/>
    <w:rsid w:val="05EC614B"/>
    <w:rsid w:val="05FE0636"/>
    <w:rsid w:val="062E2CC9"/>
    <w:rsid w:val="0633208D"/>
    <w:rsid w:val="06342423"/>
    <w:rsid w:val="063C112F"/>
    <w:rsid w:val="066642EF"/>
    <w:rsid w:val="066C1D20"/>
    <w:rsid w:val="066E18CA"/>
    <w:rsid w:val="069B537E"/>
    <w:rsid w:val="06B156A8"/>
    <w:rsid w:val="06B9200C"/>
    <w:rsid w:val="06C70A28"/>
    <w:rsid w:val="06C929F2"/>
    <w:rsid w:val="06E57385"/>
    <w:rsid w:val="06E67100"/>
    <w:rsid w:val="06EE2458"/>
    <w:rsid w:val="07133987"/>
    <w:rsid w:val="073360BD"/>
    <w:rsid w:val="07477021"/>
    <w:rsid w:val="074B3407"/>
    <w:rsid w:val="07A1396F"/>
    <w:rsid w:val="07A71DAB"/>
    <w:rsid w:val="07B90CB8"/>
    <w:rsid w:val="07CA36B7"/>
    <w:rsid w:val="07EC510E"/>
    <w:rsid w:val="08000695"/>
    <w:rsid w:val="082A5712"/>
    <w:rsid w:val="083D3697"/>
    <w:rsid w:val="08412974"/>
    <w:rsid w:val="089D2EAF"/>
    <w:rsid w:val="08B35707"/>
    <w:rsid w:val="08C55606"/>
    <w:rsid w:val="08CD7283"/>
    <w:rsid w:val="08DB07BA"/>
    <w:rsid w:val="08EB6C4F"/>
    <w:rsid w:val="09023F99"/>
    <w:rsid w:val="0908136C"/>
    <w:rsid w:val="09120B77"/>
    <w:rsid w:val="09151F1E"/>
    <w:rsid w:val="092D5890"/>
    <w:rsid w:val="09310546"/>
    <w:rsid w:val="094817DD"/>
    <w:rsid w:val="09AD381B"/>
    <w:rsid w:val="09C339A8"/>
    <w:rsid w:val="09F06AB0"/>
    <w:rsid w:val="09FA34EB"/>
    <w:rsid w:val="0A182626"/>
    <w:rsid w:val="0A2763AD"/>
    <w:rsid w:val="0A3F51F1"/>
    <w:rsid w:val="0A581BBF"/>
    <w:rsid w:val="0A620AA0"/>
    <w:rsid w:val="0A62467A"/>
    <w:rsid w:val="0A7D4664"/>
    <w:rsid w:val="0AA7676D"/>
    <w:rsid w:val="0AC57974"/>
    <w:rsid w:val="0ACA6F28"/>
    <w:rsid w:val="0AD33307"/>
    <w:rsid w:val="0ADA523C"/>
    <w:rsid w:val="0AEE3BCC"/>
    <w:rsid w:val="0AF8049C"/>
    <w:rsid w:val="0AFB0342"/>
    <w:rsid w:val="0B3866B7"/>
    <w:rsid w:val="0B3B5F5C"/>
    <w:rsid w:val="0B631C3B"/>
    <w:rsid w:val="0B644CDF"/>
    <w:rsid w:val="0B901D30"/>
    <w:rsid w:val="0BD240F7"/>
    <w:rsid w:val="0C120997"/>
    <w:rsid w:val="0C350433"/>
    <w:rsid w:val="0C3D67FB"/>
    <w:rsid w:val="0C4153D2"/>
    <w:rsid w:val="0C4E3A2A"/>
    <w:rsid w:val="0CA07D76"/>
    <w:rsid w:val="0CA247B5"/>
    <w:rsid w:val="0CC032D1"/>
    <w:rsid w:val="0CC51EAD"/>
    <w:rsid w:val="0CE74EA1"/>
    <w:rsid w:val="0CEB3524"/>
    <w:rsid w:val="0CED0068"/>
    <w:rsid w:val="0CFE2CC9"/>
    <w:rsid w:val="0D0364DD"/>
    <w:rsid w:val="0D03679A"/>
    <w:rsid w:val="0D410E67"/>
    <w:rsid w:val="0D786450"/>
    <w:rsid w:val="0DB97443"/>
    <w:rsid w:val="0DCB0DFD"/>
    <w:rsid w:val="0DD203DE"/>
    <w:rsid w:val="0DDC125D"/>
    <w:rsid w:val="0DF525DE"/>
    <w:rsid w:val="0DF61CE0"/>
    <w:rsid w:val="0E122ED0"/>
    <w:rsid w:val="0E1E1875"/>
    <w:rsid w:val="0E54719F"/>
    <w:rsid w:val="0E8230FE"/>
    <w:rsid w:val="0E8E37ED"/>
    <w:rsid w:val="0EAF2E14"/>
    <w:rsid w:val="0EBC0E48"/>
    <w:rsid w:val="0EDB59B8"/>
    <w:rsid w:val="0EEC3721"/>
    <w:rsid w:val="0EF30E7F"/>
    <w:rsid w:val="0F1B4006"/>
    <w:rsid w:val="0F256C33"/>
    <w:rsid w:val="0F312AB7"/>
    <w:rsid w:val="0F4920A4"/>
    <w:rsid w:val="0F693ECA"/>
    <w:rsid w:val="0FB35FED"/>
    <w:rsid w:val="0FB775B8"/>
    <w:rsid w:val="0FF44D8A"/>
    <w:rsid w:val="103425BC"/>
    <w:rsid w:val="10433815"/>
    <w:rsid w:val="10484987"/>
    <w:rsid w:val="105858FC"/>
    <w:rsid w:val="1069143D"/>
    <w:rsid w:val="108156F9"/>
    <w:rsid w:val="108403E2"/>
    <w:rsid w:val="109275A9"/>
    <w:rsid w:val="10945E1E"/>
    <w:rsid w:val="10C15734"/>
    <w:rsid w:val="10E36DA6"/>
    <w:rsid w:val="10F76084"/>
    <w:rsid w:val="110D36CE"/>
    <w:rsid w:val="11183B29"/>
    <w:rsid w:val="11533574"/>
    <w:rsid w:val="11785740"/>
    <w:rsid w:val="117874EE"/>
    <w:rsid w:val="11862732"/>
    <w:rsid w:val="118F278E"/>
    <w:rsid w:val="119105B0"/>
    <w:rsid w:val="11994D85"/>
    <w:rsid w:val="11A47985"/>
    <w:rsid w:val="11D80D88"/>
    <w:rsid w:val="11F50B3F"/>
    <w:rsid w:val="120B3EBE"/>
    <w:rsid w:val="12297E7D"/>
    <w:rsid w:val="12906AB9"/>
    <w:rsid w:val="12B46AE6"/>
    <w:rsid w:val="12C7072D"/>
    <w:rsid w:val="12E7492B"/>
    <w:rsid w:val="12E74FC1"/>
    <w:rsid w:val="12F27F6E"/>
    <w:rsid w:val="12F53397"/>
    <w:rsid w:val="131A26A8"/>
    <w:rsid w:val="132A4818"/>
    <w:rsid w:val="13313DF9"/>
    <w:rsid w:val="133A43BF"/>
    <w:rsid w:val="133D279D"/>
    <w:rsid w:val="13842E04"/>
    <w:rsid w:val="1385172F"/>
    <w:rsid w:val="13A22600"/>
    <w:rsid w:val="13AC5F03"/>
    <w:rsid w:val="13AD4B58"/>
    <w:rsid w:val="13B36C86"/>
    <w:rsid w:val="13C438FA"/>
    <w:rsid w:val="13E34C75"/>
    <w:rsid w:val="140D46BB"/>
    <w:rsid w:val="14141B79"/>
    <w:rsid w:val="148650F4"/>
    <w:rsid w:val="1505553D"/>
    <w:rsid w:val="150D2643"/>
    <w:rsid w:val="15192D96"/>
    <w:rsid w:val="151C1FBA"/>
    <w:rsid w:val="155663AB"/>
    <w:rsid w:val="156706B8"/>
    <w:rsid w:val="15674B8D"/>
    <w:rsid w:val="15811995"/>
    <w:rsid w:val="15BC5601"/>
    <w:rsid w:val="15DC13FE"/>
    <w:rsid w:val="15F3699E"/>
    <w:rsid w:val="16005D04"/>
    <w:rsid w:val="16157A01"/>
    <w:rsid w:val="161F618A"/>
    <w:rsid w:val="16223ECC"/>
    <w:rsid w:val="16351E52"/>
    <w:rsid w:val="16737FC1"/>
    <w:rsid w:val="16C60CFC"/>
    <w:rsid w:val="16DF591A"/>
    <w:rsid w:val="1722468F"/>
    <w:rsid w:val="172C4685"/>
    <w:rsid w:val="173157BB"/>
    <w:rsid w:val="17487240"/>
    <w:rsid w:val="175C172B"/>
    <w:rsid w:val="1767428D"/>
    <w:rsid w:val="1776627E"/>
    <w:rsid w:val="17C50FB3"/>
    <w:rsid w:val="17EA767E"/>
    <w:rsid w:val="17F760DF"/>
    <w:rsid w:val="18023FB5"/>
    <w:rsid w:val="181E51C8"/>
    <w:rsid w:val="18226406"/>
    <w:rsid w:val="182A472E"/>
    <w:rsid w:val="184079AD"/>
    <w:rsid w:val="1862610F"/>
    <w:rsid w:val="18710487"/>
    <w:rsid w:val="18866995"/>
    <w:rsid w:val="188B4D90"/>
    <w:rsid w:val="18AE7C99"/>
    <w:rsid w:val="18C06D07"/>
    <w:rsid w:val="190B3062"/>
    <w:rsid w:val="192D6E10"/>
    <w:rsid w:val="192E77AB"/>
    <w:rsid w:val="19355CC5"/>
    <w:rsid w:val="19597C05"/>
    <w:rsid w:val="1963464B"/>
    <w:rsid w:val="197764F6"/>
    <w:rsid w:val="19E27BFB"/>
    <w:rsid w:val="19FC44C3"/>
    <w:rsid w:val="1A200723"/>
    <w:rsid w:val="1A277D03"/>
    <w:rsid w:val="1A2C70C8"/>
    <w:rsid w:val="1A3A6836"/>
    <w:rsid w:val="1A4A3FE0"/>
    <w:rsid w:val="1A5B5BFF"/>
    <w:rsid w:val="1A6040D2"/>
    <w:rsid w:val="1AB75BA5"/>
    <w:rsid w:val="1AE57555"/>
    <w:rsid w:val="1B2B0B2B"/>
    <w:rsid w:val="1B2B6BCB"/>
    <w:rsid w:val="1BAA0049"/>
    <w:rsid w:val="1BB32838"/>
    <w:rsid w:val="1BC25F36"/>
    <w:rsid w:val="1BC82E20"/>
    <w:rsid w:val="1BCD48DA"/>
    <w:rsid w:val="1BE85270"/>
    <w:rsid w:val="1C116575"/>
    <w:rsid w:val="1C2A3ADB"/>
    <w:rsid w:val="1C324211"/>
    <w:rsid w:val="1C623275"/>
    <w:rsid w:val="1C7F3E27"/>
    <w:rsid w:val="1C977356"/>
    <w:rsid w:val="1CEE68B6"/>
    <w:rsid w:val="1CFE11EF"/>
    <w:rsid w:val="1D126A49"/>
    <w:rsid w:val="1D1C4C74"/>
    <w:rsid w:val="1D4666F2"/>
    <w:rsid w:val="1D526E45"/>
    <w:rsid w:val="1D893503"/>
    <w:rsid w:val="1D8A6E37"/>
    <w:rsid w:val="1DAB6BCE"/>
    <w:rsid w:val="1DED3012"/>
    <w:rsid w:val="1DFB74DD"/>
    <w:rsid w:val="1E02178A"/>
    <w:rsid w:val="1E3B5065"/>
    <w:rsid w:val="1E3B5B2B"/>
    <w:rsid w:val="1E491296"/>
    <w:rsid w:val="1E504393"/>
    <w:rsid w:val="1E5D49E3"/>
    <w:rsid w:val="1E6432D4"/>
    <w:rsid w:val="1E7D3C36"/>
    <w:rsid w:val="1E854FF8"/>
    <w:rsid w:val="1E9F430C"/>
    <w:rsid w:val="1EB53B18"/>
    <w:rsid w:val="1EBD4792"/>
    <w:rsid w:val="1EE461C3"/>
    <w:rsid w:val="1F2962CC"/>
    <w:rsid w:val="1F297E9B"/>
    <w:rsid w:val="1F3C3740"/>
    <w:rsid w:val="1F483CA8"/>
    <w:rsid w:val="1F487665"/>
    <w:rsid w:val="1F4E5D32"/>
    <w:rsid w:val="1F683A66"/>
    <w:rsid w:val="1F793D64"/>
    <w:rsid w:val="1F82221D"/>
    <w:rsid w:val="1FA6791C"/>
    <w:rsid w:val="1FB65DB1"/>
    <w:rsid w:val="1FD50B49"/>
    <w:rsid w:val="1FDA1374"/>
    <w:rsid w:val="20210F16"/>
    <w:rsid w:val="206770AC"/>
    <w:rsid w:val="208714FC"/>
    <w:rsid w:val="209B130E"/>
    <w:rsid w:val="20AD68C4"/>
    <w:rsid w:val="20B41F4E"/>
    <w:rsid w:val="20B73CE8"/>
    <w:rsid w:val="20CB1F07"/>
    <w:rsid w:val="20E76E0C"/>
    <w:rsid w:val="2120725A"/>
    <w:rsid w:val="21244F9D"/>
    <w:rsid w:val="216E1E9C"/>
    <w:rsid w:val="220C2760"/>
    <w:rsid w:val="222C2B90"/>
    <w:rsid w:val="22457E73"/>
    <w:rsid w:val="224726A9"/>
    <w:rsid w:val="2248233E"/>
    <w:rsid w:val="22592440"/>
    <w:rsid w:val="22614D52"/>
    <w:rsid w:val="227D2BB6"/>
    <w:rsid w:val="22910410"/>
    <w:rsid w:val="229E3272"/>
    <w:rsid w:val="22E70030"/>
    <w:rsid w:val="22EC3898"/>
    <w:rsid w:val="22F866E1"/>
    <w:rsid w:val="23260E04"/>
    <w:rsid w:val="233953DA"/>
    <w:rsid w:val="2345488C"/>
    <w:rsid w:val="234F2844"/>
    <w:rsid w:val="235102BE"/>
    <w:rsid w:val="23515DF1"/>
    <w:rsid w:val="237613B4"/>
    <w:rsid w:val="23790749"/>
    <w:rsid w:val="237B2B1D"/>
    <w:rsid w:val="237B4B25"/>
    <w:rsid w:val="23931F66"/>
    <w:rsid w:val="23933B60"/>
    <w:rsid w:val="23C363E4"/>
    <w:rsid w:val="23D332D0"/>
    <w:rsid w:val="24782AD4"/>
    <w:rsid w:val="249C3951"/>
    <w:rsid w:val="249F17D3"/>
    <w:rsid w:val="24A10C0D"/>
    <w:rsid w:val="24C70119"/>
    <w:rsid w:val="251E59E0"/>
    <w:rsid w:val="254479BB"/>
    <w:rsid w:val="254C2D14"/>
    <w:rsid w:val="256D06AE"/>
    <w:rsid w:val="2582242A"/>
    <w:rsid w:val="259077D0"/>
    <w:rsid w:val="25AF7A72"/>
    <w:rsid w:val="25B20381"/>
    <w:rsid w:val="25CB3C39"/>
    <w:rsid w:val="25DB33C1"/>
    <w:rsid w:val="25F25669"/>
    <w:rsid w:val="26031625"/>
    <w:rsid w:val="260357AC"/>
    <w:rsid w:val="26081331"/>
    <w:rsid w:val="260B6FC2"/>
    <w:rsid w:val="264763B7"/>
    <w:rsid w:val="26727723"/>
    <w:rsid w:val="268B2A3A"/>
    <w:rsid w:val="268B3DAD"/>
    <w:rsid w:val="26A61FB0"/>
    <w:rsid w:val="26B13700"/>
    <w:rsid w:val="26E1530D"/>
    <w:rsid w:val="275131CB"/>
    <w:rsid w:val="277025E4"/>
    <w:rsid w:val="27734537"/>
    <w:rsid w:val="279B1E5B"/>
    <w:rsid w:val="27BF3F2A"/>
    <w:rsid w:val="28035CB8"/>
    <w:rsid w:val="280F14ED"/>
    <w:rsid w:val="282B4E63"/>
    <w:rsid w:val="282B6C11"/>
    <w:rsid w:val="28541BD2"/>
    <w:rsid w:val="28884FF7"/>
    <w:rsid w:val="28B30264"/>
    <w:rsid w:val="28B60B0F"/>
    <w:rsid w:val="28E16404"/>
    <w:rsid w:val="28F60FCD"/>
    <w:rsid w:val="290F389D"/>
    <w:rsid w:val="291572CF"/>
    <w:rsid w:val="293033DF"/>
    <w:rsid w:val="293D2CA4"/>
    <w:rsid w:val="293E21D3"/>
    <w:rsid w:val="29567CBD"/>
    <w:rsid w:val="2962542C"/>
    <w:rsid w:val="296F1102"/>
    <w:rsid w:val="297C2ABA"/>
    <w:rsid w:val="298E56BA"/>
    <w:rsid w:val="29982084"/>
    <w:rsid w:val="299D769A"/>
    <w:rsid w:val="29A9794B"/>
    <w:rsid w:val="2A58372E"/>
    <w:rsid w:val="2A7228D5"/>
    <w:rsid w:val="2A97233B"/>
    <w:rsid w:val="2ACA03C4"/>
    <w:rsid w:val="2AD73080"/>
    <w:rsid w:val="2B160E6F"/>
    <w:rsid w:val="2B351DFD"/>
    <w:rsid w:val="2B367172"/>
    <w:rsid w:val="2B784A6E"/>
    <w:rsid w:val="2B9A7B07"/>
    <w:rsid w:val="2BAE2033"/>
    <w:rsid w:val="2BB37649"/>
    <w:rsid w:val="2BB82A63"/>
    <w:rsid w:val="2BC730F4"/>
    <w:rsid w:val="2BE42462"/>
    <w:rsid w:val="2BFA2F81"/>
    <w:rsid w:val="2BFD3113"/>
    <w:rsid w:val="2BFD6B16"/>
    <w:rsid w:val="2C0003B4"/>
    <w:rsid w:val="2C15160E"/>
    <w:rsid w:val="2C191F46"/>
    <w:rsid w:val="2C2422F5"/>
    <w:rsid w:val="2C3A068B"/>
    <w:rsid w:val="2CA156F3"/>
    <w:rsid w:val="2CBA1C4C"/>
    <w:rsid w:val="2D087FC0"/>
    <w:rsid w:val="2D236108"/>
    <w:rsid w:val="2D906B09"/>
    <w:rsid w:val="2D945258"/>
    <w:rsid w:val="2D9577C3"/>
    <w:rsid w:val="2D9C5EBB"/>
    <w:rsid w:val="2DAC0A59"/>
    <w:rsid w:val="2DCE076A"/>
    <w:rsid w:val="2DF314FE"/>
    <w:rsid w:val="2E620EB2"/>
    <w:rsid w:val="2E8A241A"/>
    <w:rsid w:val="2E8E7DCA"/>
    <w:rsid w:val="2E9A689E"/>
    <w:rsid w:val="2ED7388A"/>
    <w:rsid w:val="2EDD4BB1"/>
    <w:rsid w:val="2EE212D0"/>
    <w:rsid w:val="2EF134B4"/>
    <w:rsid w:val="2F1C3757"/>
    <w:rsid w:val="2F2729AC"/>
    <w:rsid w:val="2F3C0F4C"/>
    <w:rsid w:val="2F5A6566"/>
    <w:rsid w:val="2F7259B8"/>
    <w:rsid w:val="2F840E78"/>
    <w:rsid w:val="2FB82F9F"/>
    <w:rsid w:val="2FCC6F2B"/>
    <w:rsid w:val="2FE5383E"/>
    <w:rsid w:val="30083A5D"/>
    <w:rsid w:val="304E08DD"/>
    <w:rsid w:val="305F0957"/>
    <w:rsid w:val="30E67B79"/>
    <w:rsid w:val="30F027A5"/>
    <w:rsid w:val="313C778B"/>
    <w:rsid w:val="319C13AD"/>
    <w:rsid w:val="31BB1005"/>
    <w:rsid w:val="31BF2D37"/>
    <w:rsid w:val="31D9592F"/>
    <w:rsid w:val="32105FF7"/>
    <w:rsid w:val="321A2D0F"/>
    <w:rsid w:val="322E1126"/>
    <w:rsid w:val="324D664C"/>
    <w:rsid w:val="32504AC8"/>
    <w:rsid w:val="32814191"/>
    <w:rsid w:val="32943604"/>
    <w:rsid w:val="32BE6EB2"/>
    <w:rsid w:val="32C616FD"/>
    <w:rsid w:val="32C7154E"/>
    <w:rsid w:val="32D46E8A"/>
    <w:rsid w:val="3317207A"/>
    <w:rsid w:val="331A6B7B"/>
    <w:rsid w:val="33204F95"/>
    <w:rsid w:val="33294383"/>
    <w:rsid w:val="33396D39"/>
    <w:rsid w:val="33643EF5"/>
    <w:rsid w:val="33B107B1"/>
    <w:rsid w:val="33BC3AED"/>
    <w:rsid w:val="33D80BF4"/>
    <w:rsid w:val="33E57C5B"/>
    <w:rsid w:val="34124B0B"/>
    <w:rsid w:val="345705E4"/>
    <w:rsid w:val="346F60D7"/>
    <w:rsid w:val="348F605A"/>
    <w:rsid w:val="34930CEC"/>
    <w:rsid w:val="349E40E0"/>
    <w:rsid w:val="34A357B5"/>
    <w:rsid w:val="34AA1521"/>
    <w:rsid w:val="34B1049E"/>
    <w:rsid w:val="34C22379"/>
    <w:rsid w:val="34CC177B"/>
    <w:rsid w:val="34D80120"/>
    <w:rsid w:val="34EF2E71"/>
    <w:rsid w:val="34F206CA"/>
    <w:rsid w:val="34F51A33"/>
    <w:rsid w:val="351F18AB"/>
    <w:rsid w:val="35233259"/>
    <w:rsid w:val="352769B2"/>
    <w:rsid w:val="353C0959"/>
    <w:rsid w:val="357E4769"/>
    <w:rsid w:val="358636D8"/>
    <w:rsid w:val="35A3428A"/>
    <w:rsid w:val="35B20971"/>
    <w:rsid w:val="35E1465A"/>
    <w:rsid w:val="35F03248"/>
    <w:rsid w:val="361E1B63"/>
    <w:rsid w:val="36546AFC"/>
    <w:rsid w:val="365D08DD"/>
    <w:rsid w:val="36791FB9"/>
    <w:rsid w:val="369F27CF"/>
    <w:rsid w:val="36B60605"/>
    <w:rsid w:val="36C73FA8"/>
    <w:rsid w:val="36CF7301"/>
    <w:rsid w:val="36DB3EF8"/>
    <w:rsid w:val="36F70DBC"/>
    <w:rsid w:val="3701395E"/>
    <w:rsid w:val="3727713D"/>
    <w:rsid w:val="37704A11"/>
    <w:rsid w:val="379538CC"/>
    <w:rsid w:val="379D2F5B"/>
    <w:rsid w:val="37A75B88"/>
    <w:rsid w:val="37C45ACE"/>
    <w:rsid w:val="37DE7F69"/>
    <w:rsid w:val="37E335F2"/>
    <w:rsid w:val="37E76AA3"/>
    <w:rsid w:val="38125B90"/>
    <w:rsid w:val="38131388"/>
    <w:rsid w:val="3835053A"/>
    <w:rsid w:val="384C63F6"/>
    <w:rsid w:val="387463B2"/>
    <w:rsid w:val="38BE1535"/>
    <w:rsid w:val="38D3500A"/>
    <w:rsid w:val="395A2DA3"/>
    <w:rsid w:val="397A7B42"/>
    <w:rsid w:val="39A15914"/>
    <w:rsid w:val="39B4157B"/>
    <w:rsid w:val="39DF785B"/>
    <w:rsid w:val="3A1A0893"/>
    <w:rsid w:val="3A5C534F"/>
    <w:rsid w:val="3A5E69D2"/>
    <w:rsid w:val="3A60099C"/>
    <w:rsid w:val="3A751F07"/>
    <w:rsid w:val="3A8B1791"/>
    <w:rsid w:val="3AA16B06"/>
    <w:rsid w:val="3AC72565"/>
    <w:rsid w:val="3AD969A0"/>
    <w:rsid w:val="3ADB44C6"/>
    <w:rsid w:val="3B111C96"/>
    <w:rsid w:val="3B25718E"/>
    <w:rsid w:val="3B2C2F74"/>
    <w:rsid w:val="3B351E28"/>
    <w:rsid w:val="3B78218B"/>
    <w:rsid w:val="3B8B205B"/>
    <w:rsid w:val="3BA174BE"/>
    <w:rsid w:val="3BAE1FDB"/>
    <w:rsid w:val="3BAE3989"/>
    <w:rsid w:val="3BC05FBD"/>
    <w:rsid w:val="3BC74A4B"/>
    <w:rsid w:val="3BCC3E0F"/>
    <w:rsid w:val="3BD258C9"/>
    <w:rsid w:val="3C123FA5"/>
    <w:rsid w:val="3C242530"/>
    <w:rsid w:val="3C607CD7"/>
    <w:rsid w:val="3C8748FF"/>
    <w:rsid w:val="3C8B7826"/>
    <w:rsid w:val="3C8D17F0"/>
    <w:rsid w:val="3C965E23"/>
    <w:rsid w:val="3CA078D1"/>
    <w:rsid w:val="3CCA02B2"/>
    <w:rsid w:val="3CD243F0"/>
    <w:rsid w:val="3CE62383"/>
    <w:rsid w:val="3CEC7A2A"/>
    <w:rsid w:val="3D0433A8"/>
    <w:rsid w:val="3D15699B"/>
    <w:rsid w:val="3D6600F0"/>
    <w:rsid w:val="3D6A66B2"/>
    <w:rsid w:val="3D867B10"/>
    <w:rsid w:val="3DA07301"/>
    <w:rsid w:val="3DBF44D4"/>
    <w:rsid w:val="3DC207FD"/>
    <w:rsid w:val="3DCE35B6"/>
    <w:rsid w:val="3DD136B5"/>
    <w:rsid w:val="3DD75419"/>
    <w:rsid w:val="3DF14E3C"/>
    <w:rsid w:val="3DFC6C2D"/>
    <w:rsid w:val="3E043D34"/>
    <w:rsid w:val="3E0A3EC6"/>
    <w:rsid w:val="3E0D6740"/>
    <w:rsid w:val="3E2609B2"/>
    <w:rsid w:val="3E502AD5"/>
    <w:rsid w:val="3E6B6B36"/>
    <w:rsid w:val="3E772758"/>
    <w:rsid w:val="3E7F6463"/>
    <w:rsid w:val="3E88735B"/>
    <w:rsid w:val="3EA572C5"/>
    <w:rsid w:val="3EAF459C"/>
    <w:rsid w:val="3ECB4852"/>
    <w:rsid w:val="3EDB4A95"/>
    <w:rsid w:val="3EEB0292"/>
    <w:rsid w:val="3EF142B8"/>
    <w:rsid w:val="3EF313C9"/>
    <w:rsid w:val="3EFA2B3E"/>
    <w:rsid w:val="3F0D3980"/>
    <w:rsid w:val="3F281B00"/>
    <w:rsid w:val="3F4D76DD"/>
    <w:rsid w:val="3F6227AE"/>
    <w:rsid w:val="3F930BE9"/>
    <w:rsid w:val="3F952DC8"/>
    <w:rsid w:val="3FC63CF0"/>
    <w:rsid w:val="3FCD30FD"/>
    <w:rsid w:val="3FE15005"/>
    <w:rsid w:val="3FE77469"/>
    <w:rsid w:val="400E2C48"/>
    <w:rsid w:val="401B4FB0"/>
    <w:rsid w:val="401C11D4"/>
    <w:rsid w:val="402B37FA"/>
    <w:rsid w:val="40324B88"/>
    <w:rsid w:val="403D2804"/>
    <w:rsid w:val="40515615"/>
    <w:rsid w:val="40A56767"/>
    <w:rsid w:val="40B21825"/>
    <w:rsid w:val="40BE641C"/>
    <w:rsid w:val="40C14BE6"/>
    <w:rsid w:val="40E85E9C"/>
    <w:rsid w:val="41173D7E"/>
    <w:rsid w:val="41711C4E"/>
    <w:rsid w:val="417778B2"/>
    <w:rsid w:val="41B50A70"/>
    <w:rsid w:val="41CB2246"/>
    <w:rsid w:val="41DA6A63"/>
    <w:rsid w:val="42056C09"/>
    <w:rsid w:val="42056EE1"/>
    <w:rsid w:val="423242FA"/>
    <w:rsid w:val="428D039F"/>
    <w:rsid w:val="42D77BC6"/>
    <w:rsid w:val="42FC0E58"/>
    <w:rsid w:val="431379ED"/>
    <w:rsid w:val="4315253F"/>
    <w:rsid w:val="43672D9B"/>
    <w:rsid w:val="436C6603"/>
    <w:rsid w:val="437454B8"/>
    <w:rsid w:val="4376670D"/>
    <w:rsid w:val="43947908"/>
    <w:rsid w:val="43AA0EDA"/>
    <w:rsid w:val="43BB6C43"/>
    <w:rsid w:val="43CC2BFE"/>
    <w:rsid w:val="43D25E53"/>
    <w:rsid w:val="43FE0419"/>
    <w:rsid w:val="440138A0"/>
    <w:rsid w:val="44246EDE"/>
    <w:rsid w:val="44384737"/>
    <w:rsid w:val="44692B43"/>
    <w:rsid w:val="44740E09"/>
    <w:rsid w:val="44983428"/>
    <w:rsid w:val="44C32FE7"/>
    <w:rsid w:val="44C47D79"/>
    <w:rsid w:val="44D34460"/>
    <w:rsid w:val="450F07D9"/>
    <w:rsid w:val="451A208F"/>
    <w:rsid w:val="453170D2"/>
    <w:rsid w:val="453E5D7D"/>
    <w:rsid w:val="45464C32"/>
    <w:rsid w:val="45AD2F03"/>
    <w:rsid w:val="45BE2A1A"/>
    <w:rsid w:val="45BE47A3"/>
    <w:rsid w:val="45D60635"/>
    <w:rsid w:val="46053F44"/>
    <w:rsid w:val="460B7B64"/>
    <w:rsid w:val="4612476D"/>
    <w:rsid w:val="46276812"/>
    <w:rsid w:val="462F50FB"/>
    <w:rsid w:val="46617E0B"/>
    <w:rsid w:val="468F5CB4"/>
    <w:rsid w:val="46953618"/>
    <w:rsid w:val="46B73C34"/>
    <w:rsid w:val="46C027C2"/>
    <w:rsid w:val="46E75FA1"/>
    <w:rsid w:val="474820C5"/>
    <w:rsid w:val="47513C75"/>
    <w:rsid w:val="475B13E7"/>
    <w:rsid w:val="475D7F74"/>
    <w:rsid w:val="476B2262"/>
    <w:rsid w:val="477A7EE5"/>
    <w:rsid w:val="477C5396"/>
    <w:rsid w:val="47A0687C"/>
    <w:rsid w:val="47DD7AD0"/>
    <w:rsid w:val="47DF6F81"/>
    <w:rsid w:val="47F0715F"/>
    <w:rsid w:val="47F51E94"/>
    <w:rsid w:val="481D611E"/>
    <w:rsid w:val="4851130F"/>
    <w:rsid w:val="485D476D"/>
    <w:rsid w:val="48665BDE"/>
    <w:rsid w:val="48867F4E"/>
    <w:rsid w:val="48AB008C"/>
    <w:rsid w:val="48B545A9"/>
    <w:rsid w:val="48B979EC"/>
    <w:rsid w:val="48BD5E62"/>
    <w:rsid w:val="48D34790"/>
    <w:rsid w:val="494D6EBA"/>
    <w:rsid w:val="49557B3A"/>
    <w:rsid w:val="498C348F"/>
    <w:rsid w:val="49A34401"/>
    <w:rsid w:val="49BA4655"/>
    <w:rsid w:val="49BC151F"/>
    <w:rsid w:val="49CD757C"/>
    <w:rsid w:val="49DA3B9B"/>
    <w:rsid w:val="49EF5898"/>
    <w:rsid w:val="49FA5FEB"/>
    <w:rsid w:val="4A286278"/>
    <w:rsid w:val="4A30081A"/>
    <w:rsid w:val="4A3C6BE3"/>
    <w:rsid w:val="4A62606A"/>
    <w:rsid w:val="4A6F0787"/>
    <w:rsid w:val="4A7638C4"/>
    <w:rsid w:val="4AA76173"/>
    <w:rsid w:val="4AAE1013"/>
    <w:rsid w:val="4AC9149F"/>
    <w:rsid w:val="4ADE1878"/>
    <w:rsid w:val="4ADE2E23"/>
    <w:rsid w:val="4AE64EED"/>
    <w:rsid w:val="4B380D6F"/>
    <w:rsid w:val="4B5400FE"/>
    <w:rsid w:val="4B675822"/>
    <w:rsid w:val="4B812670"/>
    <w:rsid w:val="4BA47B1F"/>
    <w:rsid w:val="4BBC29D4"/>
    <w:rsid w:val="4C560DCF"/>
    <w:rsid w:val="4C6F4A6E"/>
    <w:rsid w:val="4CA73452"/>
    <w:rsid w:val="4CBE77A4"/>
    <w:rsid w:val="4CC32763"/>
    <w:rsid w:val="4CE17CAE"/>
    <w:rsid w:val="4D0F1621"/>
    <w:rsid w:val="4D24354A"/>
    <w:rsid w:val="4D4E6D7A"/>
    <w:rsid w:val="4D785BA5"/>
    <w:rsid w:val="4DB07781"/>
    <w:rsid w:val="4DEF09C3"/>
    <w:rsid w:val="4DF97234"/>
    <w:rsid w:val="4E157897"/>
    <w:rsid w:val="4E437F61"/>
    <w:rsid w:val="4E4C36AA"/>
    <w:rsid w:val="4E4F6531"/>
    <w:rsid w:val="4EA36C51"/>
    <w:rsid w:val="4EB7021F"/>
    <w:rsid w:val="4EEE25C2"/>
    <w:rsid w:val="4F377967"/>
    <w:rsid w:val="4F411EB6"/>
    <w:rsid w:val="4F42646A"/>
    <w:rsid w:val="4F447BCB"/>
    <w:rsid w:val="4F582EF7"/>
    <w:rsid w:val="4F5D5E43"/>
    <w:rsid w:val="4F5F63A7"/>
    <w:rsid w:val="4FBA24A4"/>
    <w:rsid w:val="4FC77A71"/>
    <w:rsid w:val="4FDA6E22"/>
    <w:rsid w:val="4FFD0EF1"/>
    <w:rsid w:val="50091D29"/>
    <w:rsid w:val="501E0C85"/>
    <w:rsid w:val="501E2A33"/>
    <w:rsid w:val="502F4C40"/>
    <w:rsid w:val="50353716"/>
    <w:rsid w:val="506D7517"/>
    <w:rsid w:val="50AA2519"/>
    <w:rsid w:val="50AC44E3"/>
    <w:rsid w:val="50FD6AED"/>
    <w:rsid w:val="51022209"/>
    <w:rsid w:val="510E3C07"/>
    <w:rsid w:val="512E061B"/>
    <w:rsid w:val="5135755A"/>
    <w:rsid w:val="514F12D7"/>
    <w:rsid w:val="51754B1B"/>
    <w:rsid w:val="517B73AD"/>
    <w:rsid w:val="518A5306"/>
    <w:rsid w:val="518A79B5"/>
    <w:rsid w:val="51A37E3C"/>
    <w:rsid w:val="51B66656"/>
    <w:rsid w:val="51D16F4E"/>
    <w:rsid w:val="51D610EC"/>
    <w:rsid w:val="521045FE"/>
    <w:rsid w:val="52534816"/>
    <w:rsid w:val="52634928"/>
    <w:rsid w:val="52E2243E"/>
    <w:rsid w:val="53277999"/>
    <w:rsid w:val="53353269"/>
    <w:rsid w:val="533B7DA0"/>
    <w:rsid w:val="536746F1"/>
    <w:rsid w:val="53751DF0"/>
    <w:rsid w:val="53764934"/>
    <w:rsid w:val="53A35FB7"/>
    <w:rsid w:val="53B536AF"/>
    <w:rsid w:val="53C80FD0"/>
    <w:rsid w:val="53CE4770"/>
    <w:rsid w:val="53E30294"/>
    <w:rsid w:val="53FD5056"/>
    <w:rsid w:val="540B1521"/>
    <w:rsid w:val="544B3A05"/>
    <w:rsid w:val="5472334E"/>
    <w:rsid w:val="54917718"/>
    <w:rsid w:val="549269FE"/>
    <w:rsid w:val="54A86D6F"/>
    <w:rsid w:val="54F74640"/>
    <w:rsid w:val="550F1330"/>
    <w:rsid w:val="556829A3"/>
    <w:rsid w:val="55782BE6"/>
    <w:rsid w:val="558566E7"/>
    <w:rsid w:val="55B415BA"/>
    <w:rsid w:val="55D46448"/>
    <w:rsid w:val="55FA1006"/>
    <w:rsid w:val="560E3442"/>
    <w:rsid w:val="56111251"/>
    <w:rsid w:val="56193729"/>
    <w:rsid w:val="56252ADC"/>
    <w:rsid w:val="562B0D21"/>
    <w:rsid w:val="56327239"/>
    <w:rsid w:val="56426E9F"/>
    <w:rsid w:val="564725B8"/>
    <w:rsid w:val="56652099"/>
    <w:rsid w:val="56680EAC"/>
    <w:rsid w:val="566D353C"/>
    <w:rsid w:val="569B3338"/>
    <w:rsid w:val="56F269C8"/>
    <w:rsid w:val="57580F21"/>
    <w:rsid w:val="576176AA"/>
    <w:rsid w:val="5765355C"/>
    <w:rsid w:val="57690BD0"/>
    <w:rsid w:val="5779071D"/>
    <w:rsid w:val="57CA1153"/>
    <w:rsid w:val="57EE53E1"/>
    <w:rsid w:val="58460B49"/>
    <w:rsid w:val="584A495B"/>
    <w:rsid w:val="586675E4"/>
    <w:rsid w:val="587162C9"/>
    <w:rsid w:val="58765D26"/>
    <w:rsid w:val="58947716"/>
    <w:rsid w:val="58B66C06"/>
    <w:rsid w:val="58D345D7"/>
    <w:rsid w:val="59152645"/>
    <w:rsid w:val="591E25B4"/>
    <w:rsid w:val="591F4A55"/>
    <w:rsid w:val="59407EBE"/>
    <w:rsid w:val="59495785"/>
    <w:rsid w:val="59816B33"/>
    <w:rsid w:val="599C2C1B"/>
    <w:rsid w:val="59B605EE"/>
    <w:rsid w:val="59BE5287"/>
    <w:rsid w:val="59BF67D8"/>
    <w:rsid w:val="59BF6E54"/>
    <w:rsid w:val="59C96098"/>
    <w:rsid w:val="59CD22DC"/>
    <w:rsid w:val="59F86D18"/>
    <w:rsid w:val="5A2F2D66"/>
    <w:rsid w:val="5A3B2A23"/>
    <w:rsid w:val="5A9467BF"/>
    <w:rsid w:val="5AAE69DB"/>
    <w:rsid w:val="5AB26B9A"/>
    <w:rsid w:val="5AC261B4"/>
    <w:rsid w:val="5AC474BB"/>
    <w:rsid w:val="5AC643F3"/>
    <w:rsid w:val="5ACA056B"/>
    <w:rsid w:val="5AD24795"/>
    <w:rsid w:val="5AEC0684"/>
    <w:rsid w:val="5AF0582F"/>
    <w:rsid w:val="5B1B6AA6"/>
    <w:rsid w:val="5B224E28"/>
    <w:rsid w:val="5B9C02BE"/>
    <w:rsid w:val="5BAF7B56"/>
    <w:rsid w:val="5BF611E3"/>
    <w:rsid w:val="5C0E6052"/>
    <w:rsid w:val="5C313AEE"/>
    <w:rsid w:val="5C7D4F86"/>
    <w:rsid w:val="5C86208C"/>
    <w:rsid w:val="5CAC7619"/>
    <w:rsid w:val="5CAF35B1"/>
    <w:rsid w:val="5CC02210"/>
    <w:rsid w:val="5D072AA1"/>
    <w:rsid w:val="5D211242"/>
    <w:rsid w:val="5D2B49E2"/>
    <w:rsid w:val="5D2E5B27"/>
    <w:rsid w:val="5D3B4FAE"/>
    <w:rsid w:val="5D730EDB"/>
    <w:rsid w:val="5D7C18C6"/>
    <w:rsid w:val="5D902A97"/>
    <w:rsid w:val="5D916BB6"/>
    <w:rsid w:val="5DC32E6C"/>
    <w:rsid w:val="5DCD2F01"/>
    <w:rsid w:val="5DE3467B"/>
    <w:rsid w:val="5E000678"/>
    <w:rsid w:val="5E367A57"/>
    <w:rsid w:val="5E371164"/>
    <w:rsid w:val="5E634018"/>
    <w:rsid w:val="5E7B54F5"/>
    <w:rsid w:val="5EB639EA"/>
    <w:rsid w:val="5F0537AA"/>
    <w:rsid w:val="5F0B5B73"/>
    <w:rsid w:val="5F1267B5"/>
    <w:rsid w:val="5F13572D"/>
    <w:rsid w:val="5F2B3E04"/>
    <w:rsid w:val="5F4A1A8C"/>
    <w:rsid w:val="5F760F40"/>
    <w:rsid w:val="5F813FC0"/>
    <w:rsid w:val="5FC52ECB"/>
    <w:rsid w:val="5FC80DD2"/>
    <w:rsid w:val="5FD21144"/>
    <w:rsid w:val="5FD9212E"/>
    <w:rsid w:val="5FE1785D"/>
    <w:rsid w:val="5FF401AB"/>
    <w:rsid w:val="5FF52077"/>
    <w:rsid w:val="5FFF5CB2"/>
    <w:rsid w:val="600532C8"/>
    <w:rsid w:val="60101E15"/>
    <w:rsid w:val="6049733D"/>
    <w:rsid w:val="60673F83"/>
    <w:rsid w:val="606E1F64"/>
    <w:rsid w:val="60CE0B25"/>
    <w:rsid w:val="61113EEE"/>
    <w:rsid w:val="61241E74"/>
    <w:rsid w:val="61555832"/>
    <w:rsid w:val="6194560C"/>
    <w:rsid w:val="619C4100"/>
    <w:rsid w:val="61A30FEA"/>
    <w:rsid w:val="61BE5E24"/>
    <w:rsid w:val="61D5316E"/>
    <w:rsid w:val="61DB6D9C"/>
    <w:rsid w:val="623C3CCB"/>
    <w:rsid w:val="6277131B"/>
    <w:rsid w:val="62894736"/>
    <w:rsid w:val="62A274F4"/>
    <w:rsid w:val="62A72D5C"/>
    <w:rsid w:val="62DC02C2"/>
    <w:rsid w:val="62EC4C13"/>
    <w:rsid w:val="632E6FDA"/>
    <w:rsid w:val="63381C06"/>
    <w:rsid w:val="6345292E"/>
    <w:rsid w:val="635D5082"/>
    <w:rsid w:val="63964B41"/>
    <w:rsid w:val="63CD05A1"/>
    <w:rsid w:val="63F26259"/>
    <w:rsid w:val="6410048D"/>
    <w:rsid w:val="64234664"/>
    <w:rsid w:val="64421F3D"/>
    <w:rsid w:val="64487C27"/>
    <w:rsid w:val="647838E3"/>
    <w:rsid w:val="647C3D75"/>
    <w:rsid w:val="648570CD"/>
    <w:rsid w:val="64AD03D2"/>
    <w:rsid w:val="64B66E59"/>
    <w:rsid w:val="64CC5E52"/>
    <w:rsid w:val="650F4B9B"/>
    <w:rsid w:val="654E657D"/>
    <w:rsid w:val="65864EAB"/>
    <w:rsid w:val="65AC2438"/>
    <w:rsid w:val="65AE5BBD"/>
    <w:rsid w:val="65B768E4"/>
    <w:rsid w:val="65BF216B"/>
    <w:rsid w:val="65C57872"/>
    <w:rsid w:val="65D8147F"/>
    <w:rsid w:val="65DA0D53"/>
    <w:rsid w:val="65EF0F14"/>
    <w:rsid w:val="65FB4B21"/>
    <w:rsid w:val="6601664A"/>
    <w:rsid w:val="66042274"/>
    <w:rsid w:val="66043DF1"/>
    <w:rsid w:val="6614083B"/>
    <w:rsid w:val="661D46CA"/>
    <w:rsid w:val="667B0788"/>
    <w:rsid w:val="66887A48"/>
    <w:rsid w:val="669F48C5"/>
    <w:rsid w:val="66A10636"/>
    <w:rsid w:val="66B94E0C"/>
    <w:rsid w:val="66BB1AFB"/>
    <w:rsid w:val="66C8643E"/>
    <w:rsid w:val="66CA0DC7"/>
    <w:rsid w:val="66F0707E"/>
    <w:rsid w:val="66F20D2E"/>
    <w:rsid w:val="66F95B50"/>
    <w:rsid w:val="6720747F"/>
    <w:rsid w:val="673D6A15"/>
    <w:rsid w:val="67492634"/>
    <w:rsid w:val="67960780"/>
    <w:rsid w:val="67B86C37"/>
    <w:rsid w:val="67BB2DBB"/>
    <w:rsid w:val="682E5386"/>
    <w:rsid w:val="683F57E5"/>
    <w:rsid w:val="68415A7C"/>
    <w:rsid w:val="688D47A2"/>
    <w:rsid w:val="68B27D65"/>
    <w:rsid w:val="68BF3CEC"/>
    <w:rsid w:val="68CD623B"/>
    <w:rsid w:val="68FD36D6"/>
    <w:rsid w:val="694D7A8E"/>
    <w:rsid w:val="69562DE6"/>
    <w:rsid w:val="696012B6"/>
    <w:rsid w:val="69642093"/>
    <w:rsid w:val="6985191D"/>
    <w:rsid w:val="69BD2E65"/>
    <w:rsid w:val="69CA6B08"/>
    <w:rsid w:val="69E95A08"/>
    <w:rsid w:val="6A042666"/>
    <w:rsid w:val="6A8F00D2"/>
    <w:rsid w:val="6A9736F0"/>
    <w:rsid w:val="6AB214EC"/>
    <w:rsid w:val="6AB26742"/>
    <w:rsid w:val="6ADE08A2"/>
    <w:rsid w:val="6AF44665"/>
    <w:rsid w:val="6AF97ECD"/>
    <w:rsid w:val="6B680BAF"/>
    <w:rsid w:val="6B6C68F1"/>
    <w:rsid w:val="6B8D0FD1"/>
    <w:rsid w:val="6BA17D14"/>
    <w:rsid w:val="6BCC55E2"/>
    <w:rsid w:val="6BD25936"/>
    <w:rsid w:val="6BE41292"/>
    <w:rsid w:val="6BF43D6E"/>
    <w:rsid w:val="6BF43F27"/>
    <w:rsid w:val="6C3A781B"/>
    <w:rsid w:val="6C884442"/>
    <w:rsid w:val="6C8D4D71"/>
    <w:rsid w:val="6CD15DD8"/>
    <w:rsid w:val="6CDC3602"/>
    <w:rsid w:val="6CF25FA0"/>
    <w:rsid w:val="6CF3094C"/>
    <w:rsid w:val="6CF3436B"/>
    <w:rsid w:val="6D257FA0"/>
    <w:rsid w:val="6D5B6316"/>
    <w:rsid w:val="6D77157D"/>
    <w:rsid w:val="6D9143ED"/>
    <w:rsid w:val="6DC40A12"/>
    <w:rsid w:val="6DC74A88"/>
    <w:rsid w:val="6DDD7C5D"/>
    <w:rsid w:val="6DDE1B2C"/>
    <w:rsid w:val="6DEA2117"/>
    <w:rsid w:val="6E050A29"/>
    <w:rsid w:val="6E113780"/>
    <w:rsid w:val="6E2178BF"/>
    <w:rsid w:val="6E62222D"/>
    <w:rsid w:val="6E6C4C84"/>
    <w:rsid w:val="6E8C1058"/>
    <w:rsid w:val="6EBF142E"/>
    <w:rsid w:val="6F0F5F11"/>
    <w:rsid w:val="6F120DB6"/>
    <w:rsid w:val="6F2946DA"/>
    <w:rsid w:val="6F550DE0"/>
    <w:rsid w:val="6F8929B2"/>
    <w:rsid w:val="6F9836F2"/>
    <w:rsid w:val="6FD1766A"/>
    <w:rsid w:val="6FEA2615"/>
    <w:rsid w:val="70294E19"/>
    <w:rsid w:val="703A6FBE"/>
    <w:rsid w:val="70531E2E"/>
    <w:rsid w:val="70637DEC"/>
    <w:rsid w:val="707443AD"/>
    <w:rsid w:val="70990122"/>
    <w:rsid w:val="70A50A55"/>
    <w:rsid w:val="70AC7790"/>
    <w:rsid w:val="70AE36D8"/>
    <w:rsid w:val="70C60851"/>
    <w:rsid w:val="70CE7706"/>
    <w:rsid w:val="70D00980"/>
    <w:rsid w:val="70DD3DED"/>
    <w:rsid w:val="70E51DA8"/>
    <w:rsid w:val="70F96E79"/>
    <w:rsid w:val="71213150"/>
    <w:rsid w:val="712D267F"/>
    <w:rsid w:val="712F47EA"/>
    <w:rsid w:val="713C6679"/>
    <w:rsid w:val="713E70F6"/>
    <w:rsid w:val="714802B0"/>
    <w:rsid w:val="71812600"/>
    <w:rsid w:val="71946BA2"/>
    <w:rsid w:val="719C15B2"/>
    <w:rsid w:val="71A843FB"/>
    <w:rsid w:val="71A9542C"/>
    <w:rsid w:val="71D82792"/>
    <w:rsid w:val="71E35433"/>
    <w:rsid w:val="71F94EA8"/>
    <w:rsid w:val="71FE401B"/>
    <w:rsid w:val="721E450C"/>
    <w:rsid w:val="72514A93"/>
    <w:rsid w:val="7262278F"/>
    <w:rsid w:val="72BC63B0"/>
    <w:rsid w:val="730C2768"/>
    <w:rsid w:val="7329331A"/>
    <w:rsid w:val="732A300A"/>
    <w:rsid w:val="733A0A1E"/>
    <w:rsid w:val="73A429A0"/>
    <w:rsid w:val="73B93EE5"/>
    <w:rsid w:val="73BE1CB4"/>
    <w:rsid w:val="73CC7691"/>
    <w:rsid w:val="73D85A6B"/>
    <w:rsid w:val="740A6CA7"/>
    <w:rsid w:val="74AE1D28"/>
    <w:rsid w:val="74B84D2D"/>
    <w:rsid w:val="74C2331D"/>
    <w:rsid w:val="74CF1255"/>
    <w:rsid w:val="74E7523A"/>
    <w:rsid w:val="74F24A8E"/>
    <w:rsid w:val="74FB54A4"/>
    <w:rsid w:val="751610E2"/>
    <w:rsid w:val="751A7B05"/>
    <w:rsid w:val="751C63E4"/>
    <w:rsid w:val="7521643E"/>
    <w:rsid w:val="753A180E"/>
    <w:rsid w:val="75611CC1"/>
    <w:rsid w:val="756215FB"/>
    <w:rsid w:val="756248C1"/>
    <w:rsid w:val="75822D61"/>
    <w:rsid w:val="759233F8"/>
    <w:rsid w:val="75C71154"/>
    <w:rsid w:val="75D25EEA"/>
    <w:rsid w:val="75DD731F"/>
    <w:rsid w:val="764B039C"/>
    <w:rsid w:val="766641C7"/>
    <w:rsid w:val="766656C3"/>
    <w:rsid w:val="76740D50"/>
    <w:rsid w:val="768014A2"/>
    <w:rsid w:val="768D4B1F"/>
    <w:rsid w:val="76B352F7"/>
    <w:rsid w:val="76BD4AAB"/>
    <w:rsid w:val="76C22210"/>
    <w:rsid w:val="76CA7E5A"/>
    <w:rsid w:val="770A59BD"/>
    <w:rsid w:val="77120FDD"/>
    <w:rsid w:val="7741479F"/>
    <w:rsid w:val="775C2950"/>
    <w:rsid w:val="77610F13"/>
    <w:rsid w:val="776B3787"/>
    <w:rsid w:val="778C37F8"/>
    <w:rsid w:val="77903967"/>
    <w:rsid w:val="779D7E32"/>
    <w:rsid w:val="77B12E34"/>
    <w:rsid w:val="77B32EDF"/>
    <w:rsid w:val="77BF5FFA"/>
    <w:rsid w:val="77CA451A"/>
    <w:rsid w:val="77D46CD2"/>
    <w:rsid w:val="77D83D50"/>
    <w:rsid w:val="77EF6F6D"/>
    <w:rsid w:val="77F50340"/>
    <w:rsid w:val="78056103"/>
    <w:rsid w:val="780F6F82"/>
    <w:rsid w:val="781D0CC1"/>
    <w:rsid w:val="7823193A"/>
    <w:rsid w:val="782E61C7"/>
    <w:rsid w:val="7836235A"/>
    <w:rsid w:val="783B33E4"/>
    <w:rsid w:val="78534B66"/>
    <w:rsid w:val="787B0197"/>
    <w:rsid w:val="787E1A12"/>
    <w:rsid w:val="78A00DCC"/>
    <w:rsid w:val="78BE10F6"/>
    <w:rsid w:val="78BF6934"/>
    <w:rsid w:val="78C25DA2"/>
    <w:rsid w:val="78D43D28"/>
    <w:rsid w:val="78FD502C"/>
    <w:rsid w:val="790E2D96"/>
    <w:rsid w:val="792275BE"/>
    <w:rsid w:val="793F4A83"/>
    <w:rsid w:val="794672BF"/>
    <w:rsid w:val="794F79D4"/>
    <w:rsid w:val="79532E9E"/>
    <w:rsid w:val="79797086"/>
    <w:rsid w:val="797A5F8B"/>
    <w:rsid w:val="798D4602"/>
    <w:rsid w:val="7A170370"/>
    <w:rsid w:val="7A3C1D44"/>
    <w:rsid w:val="7A401675"/>
    <w:rsid w:val="7A666C01"/>
    <w:rsid w:val="7A8B158A"/>
    <w:rsid w:val="7ABB0CFB"/>
    <w:rsid w:val="7AD647F1"/>
    <w:rsid w:val="7ADD5362"/>
    <w:rsid w:val="7AE069B4"/>
    <w:rsid w:val="7B1A0118"/>
    <w:rsid w:val="7B302174"/>
    <w:rsid w:val="7B62386D"/>
    <w:rsid w:val="7B6E2211"/>
    <w:rsid w:val="7BD217F3"/>
    <w:rsid w:val="7C277454"/>
    <w:rsid w:val="7C37432E"/>
    <w:rsid w:val="7C594C70"/>
    <w:rsid w:val="7C7C270C"/>
    <w:rsid w:val="7C85264B"/>
    <w:rsid w:val="7CB63E70"/>
    <w:rsid w:val="7CC266CE"/>
    <w:rsid w:val="7CC76395"/>
    <w:rsid w:val="7D00333D"/>
    <w:rsid w:val="7D677B9D"/>
    <w:rsid w:val="7D7A30EF"/>
    <w:rsid w:val="7D906276"/>
    <w:rsid w:val="7D9D293A"/>
    <w:rsid w:val="7DB41364"/>
    <w:rsid w:val="7DE44A0D"/>
    <w:rsid w:val="7DEC55B6"/>
    <w:rsid w:val="7E17093E"/>
    <w:rsid w:val="7E1E7F1F"/>
    <w:rsid w:val="7E2F667A"/>
    <w:rsid w:val="7E321E60"/>
    <w:rsid w:val="7E493D4F"/>
    <w:rsid w:val="7E51149B"/>
    <w:rsid w:val="7E5356EF"/>
    <w:rsid w:val="7E7358B0"/>
    <w:rsid w:val="7E916B3D"/>
    <w:rsid w:val="7E9B65C0"/>
    <w:rsid w:val="7EA95725"/>
    <w:rsid w:val="7EDC55C4"/>
    <w:rsid w:val="7F1205F3"/>
    <w:rsid w:val="7F43729D"/>
    <w:rsid w:val="7F52551F"/>
    <w:rsid w:val="7F69341C"/>
    <w:rsid w:val="7F6B3277"/>
    <w:rsid w:val="7F7C3A97"/>
    <w:rsid w:val="7F8F2756"/>
    <w:rsid w:val="7FFA6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3">
    <w:name w:val="heading 4"/>
    <w:basedOn w:val="1"/>
    <w:next w:val="1"/>
    <w:qFormat/>
    <w:uiPriority w:val="0"/>
    <w:pPr>
      <w:keepNext/>
      <w:keepLines/>
      <w:spacing w:line="374" w:lineRule="auto"/>
      <w:outlineLvl w:val="3"/>
    </w:pPr>
    <w:rPr>
      <w:rFonts w:ascii="Arial" w:hAnsi="Arial"/>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next w:val="1"/>
    <w:qFormat/>
    <w:uiPriority w:val="0"/>
    <w:pPr>
      <w:adjustRightInd w:val="0"/>
      <w:spacing w:line="360" w:lineRule="atLeast"/>
      <w:jc w:val="left"/>
      <w:textAlignment w:val="baseline"/>
    </w:pPr>
    <w:rPr>
      <w:kern w:val="0"/>
    </w:rPr>
  </w:style>
  <w:style w:type="paragraph" w:styleId="5">
    <w:name w:val="Body Text"/>
    <w:basedOn w:val="1"/>
    <w:next w:val="6"/>
    <w:semiHidden/>
    <w:qFormat/>
    <w:uiPriority w:val="0"/>
    <w:rPr>
      <w:rFonts w:ascii="Arial" w:hAnsi="Arial" w:eastAsia="Arial" w:cs="Arial"/>
      <w:sz w:val="21"/>
      <w:szCs w:val="21"/>
      <w:lang w:val="en-US" w:eastAsia="en-US" w:bidi="ar-SA"/>
    </w:rPr>
  </w:style>
  <w:style w:type="paragraph" w:styleId="6">
    <w:name w:val="Body Text 2"/>
    <w:basedOn w:val="1"/>
    <w:next w:val="5"/>
    <w:qFormat/>
    <w:uiPriority w:val="0"/>
    <w:pPr>
      <w:spacing w:line="500" w:lineRule="exact"/>
    </w:pPr>
    <w:rPr>
      <w:rFonts w:ascii="宋体"/>
      <w:sz w:val="24"/>
    </w:rPr>
  </w:style>
  <w:style w:type="paragraph" w:styleId="7">
    <w:name w:val="toc 3"/>
    <w:basedOn w:val="1"/>
    <w:next w:val="1"/>
    <w:qFormat/>
    <w:uiPriority w:val="0"/>
    <w:pPr>
      <w:ind w:left="840" w:leftChars="400"/>
    </w:pPr>
  </w:style>
  <w:style w:type="paragraph" w:styleId="8">
    <w:name w:val="Plain Text"/>
    <w:basedOn w:val="1"/>
    <w:qFormat/>
    <w:uiPriority w:val="0"/>
    <w:rPr>
      <w:rFonts w:ascii="宋体" w:hAnsi="Courier New"/>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qFormat/>
    <w:uiPriority w:val="99"/>
    <w:pPr>
      <w:spacing w:line="240" w:lineRule="auto"/>
      <w:ind w:firstLine="420" w:firstLineChars="100"/>
    </w:pPr>
    <w:rPr>
      <w:rFonts w:ascii="Times New Roman" w:cs="Times New Roman"/>
      <w:sz w:val="20"/>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FollowedHyperlink"/>
    <w:basedOn w:val="16"/>
    <w:qFormat/>
    <w:uiPriority w:val="0"/>
    <w:rPr>
      <w:color w:val="333333"/>
      <w:u w:val="none"/>
    </w:rPr>
  </w:style>
  <w:style w:type="character" w:styleId="19">
    <w:name w:val="Emphasis"/>
    <w:basedOn w:val="16"/>
    <w:qFormat/>
    <w:uiPriority w:val="0"/>
    <w:rPr>
      <w:i/>
    </w:rPr>
  </w:style>
  <w:style w:type="character" w:styleId="20">
    <w:name w:val="HTML Variable"/>
    <w:basedOn w:val="16"/>
    <w:qFormat/>
    <w:uiPriority w:val="0"/>
    <w:rPr>
      <w:i/>
    </w:rPr>
  </w:style>
  <w:style w:type="character" w:styleId="21">
    <w:name w:val="Hyperlink"/>
    <w:basedOn w:val="16"/>
    <w:qFormat/>
    <w:uiPriority w:val="0"/>
    <w:rPr>
      <w:color w:val="333333"/>
      <w:u w:val="none"/>
    </w:rPr>
  </w:style>
  <w:style w:type="character" w:styleId="22">
    <w:name w:val="HTML Code"/>
    <w:basedOn w:val="16"/>
    <w:qFormat/>
    <w:uiPriority w:val="0"/>
    <w:rPr>
      <w:rFonts w:ascii="Courier New" w:hAnsi="Courier New"/>
      <w:sz w:val="20"/>
    </w:rPr>
  </w:style>
  <w:style w:type="character" w:styleId="23">
    <w:name w:val="HTML Cite"/>
    <w:basedOn w:val="16"/>
    <w:qFormat/>
    <w:uiPriority w:val="0"/>
    <w:rPr>
      <w:i/>
    </w:rPr>
  </w:style>
  <w:style w:type="paragraph" w:customStyle="1" w:styleId="24">
    <w:name w:val="样式 宋体 行距: 1.5 倍行距"/>
    <w:next w:val="1"/>
    <w:qFormat/>
    <w:uiPriority w:val="99"/>
    <w:pPr>
      <w:widowControl w:val="0"/>
      <w:jc w:val="center"/>
    </w:pPr>
    <w:rPr>
      <w:rFonts w:ascii="Times New Roman" w:hAnsi="Calibri" w:eastAsia="宋体" w:cs="Times New Roman"/>
      <w:b/>
      <w:bCs/>
      <w:kern w:val="2"/>
      <w:sz w:val="21"/>
      <w:szCs w:val="24"/>
      <w:lang w:val="en-US" w:eastAsia="zh-CN" w:bidi="ar-SA"/>
    </w:rPr>
  </w:style>
  <w:style w:type="paragraph" w:customStyle="1" w:styleId="25">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26">
    <w:name w:val="NormalCharacter"/>
    <w:qFormat/>
    <w:uiPriority w:val="99"/>
  </w:style>
  <w:style w:type="paragraph" w:customStyle="1" w:styleId="27">
    <w:name w:val="Table Text"/>
    <w:basedOn w:val="1"/>
    <w:semiHidden/>
    <w:qFormat/>
    <w:uiPriority w:val="0"/>
    <w:rPr>
      <w:rFonts w:ascii="Arial" w:hAnsi="Arial" w:eastAsia="Arial" w:cs="Arial"/>
      <w:sz w:val="21"/>
      <w:szCs w:val="21"/>
      <w:lang w:val="en-US" w:eastAsia="en-US" w:bidi="ar-SA"/>
    </w:rPr>
  </w:style>
  <w:style w:type="paragraph" w:customStyle="1" w:styleId="28">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正文缩进1"/>
    <w:basedOn w:val="1"/>
    <w:qFormat/>
    <w:uiPriority w:val="0"/>
    <w:pPr>
      <w:widowControl/>
      <w:ind w:firstLine="420"/>
      <w:jc w:val="left"/>
    </w:pPr>
    <w:rPr>
      <w:kern w:val="0"/>
    </w:rPr>
  </w:style>
  <w:style w:type="paragraph" w:customStyle="1" w:styleId="30">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1">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2">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3">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4">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5">
    <w:name w:val="Heading2"/>
    <w:basedOn w:val="1"/>
    <w:next w:val="1"/>
    <w:qFormat/>
    <w:uiPriority w:val="99"/>
    <w:pPr>
      <w:jc w:val="left"/>
    </w:pPr>
    <w:rPr>
      <w:kern w:val="0"/>
    </w:rPr>
  </w:style>
  <w:style w:type="paragraph" w:customStyle="1" w:styleId="36">
    <w:name w:val="AnnotationText"/>
    <w:basedOn w:val="1"/>
    <w:qFormat/>
    <w:uiPriority w:val="99"/>
    <w:pPr>
      <w:spacing w:line="360" w:lineRule="atLeast"/>
      <w:jc w:val="left"/>
    </w:pPr>
    <w:rPr>
      <w:kern w:val="0"/>
    </w:rPr>
  </w:style>
  <w:style w:type="paragraph" w:customStyle="1" w:styleId="37">
    <w:name w:val="UserStyle_44"/>
    <w:basedOn w:val="38"/>
    <w:qFormat/>
    <w:uiPriority w:val="99"/>
    <w:rPr>
      <w:sz w:val="24"/>
      <w:szCs w:val="24"/>
    </w:rPr>
  </w:style>
  <w:style w:type="paragraph" w:customStyle="1" w:styleId="38">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9">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40">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41">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42">
    <w:name w:val="BodyText"/>
    <w:basedOn w:val="1"/>
    <w:next w:val="43"/>
    <w:qFormat/>
    <w:uiPriority w:val="99"/>
    <w:pPr>
      <w:spacing w:after="120"/>
    </w:pPr>
  </w:style>
  <w:style w:type="paragraph" w:customStyle="1" w:styleId="43">
    <w:name w:val="BodyText2"/>
    <w:basedOn w:val="1"/>
    <w:qFormat/>
    <w:uiPriority w:val="99"/>
    <w:pPr>
      <w:spacing w:line="500" w:lineRule="exact"/>
    </w:pPr>
  </w:style>
  <w:style w:type="paragraph" w:customStyle="1" w:styleId="44">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5">
    <w:name w:val="正文缩进 New"/>
    <w:basedOn w:val="46"/>
    <w:qFormat/>
    <w:uiPriority w:val="0"/>
    <w:pPr>
      <w:widowControl/>
      <w:ind w:firstLine="420"/>
      <w:jc w:val="left"/>
    </w:pPr>
    <w:rPr>
      <w:kern w:val="0"/>
      <w:sz w:val="20"/>
    </w:rPr>
  </w:style>
  <w:style w:type="paragraph" w:customStyle="1" w:styleId="46">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47">
    <w:name w:val="正文文本 (2) + 间距 0 pt3"/>
    <w:basedOn w:val="16"/>
    <w:qFormat/>
    <w:uiPriority w:val="0"/>
    <w:rPr>
      <w:rFonts w:ascii="MingLiU" w:hAnsi="Times New Roman" w:eastAsia="MingLiU" w:cs="MingLiU"/>
      <w:spacing w:val="0"/>
      <w:sz w:val="22"/>
      <w:szCs w:val="22"/>
      <w:u w:val="none"/>
    </w:rPr>
  </w:style>
  <w:style w:type="character" w:customStyle="1" w:styleId="48">
    <w:name w:val="hover21"/>
    <w:basedOn w:val="16"/>
    <w:qFormat/>
    <w:uiPriority w:val="0"/>
    <w:rPr>
      <w:color w:val="5FB878"/>
    </w:rPr>
  </w:style>
  <w:style w:type="character" w:customStyle="1" w:styleId="49">
    <w:name w:val="hover22"/>
    <w:basedOn w:val="16"/>
    <w:qFormat/>
    <w:uiPriority w:val="0"/>
    <w:rPr>
      <w:color w:val="FFFFFF"/>
    </w:rPr>
  </w:style>
  <w:style w:type="character" w:customStyle="1" w:styleId="50">
    <w:name w:val="hover23"/>
    <w:basedOn w:val="16"/>
    <w:qFormat/>
    <w:uiPriority w:val="0"/>
    <w:rPr>
      <w:color w:val="5FB878"/>
    </w:rPr>
  </w:style>
  <w:style w:type="paragraph" w:customStyle="1" w:styleId="5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24"/>
    <w:qFormat/>
    <w:uiPriority w:val="0"/>
    <w:pPr>
      <w:widowControl w:val="0"/>
      <w:jc w:val="both"/>
    </w:pPr>
    <w:rPr>
      <w:rFonts w:ascii="Calibri" w:hAnsi="Calibri" w:eastAsia="宋体" w:cs="黑体"/>
      <w:kern w:val="2"/>
      <w:sz w:val="21"/>
      <w:szCs w:val="24"/>
      <w:lang w:val="en-US" w:eastAsia="zh-CN" w:bidi="ar-SA"/>
    </w:rPr>
  </w:style>
  <w:style w:type="paragraph" w:customStyle="1" w:styleId="52">
    <w:name w:val="Default"/>
    <w:qFormat/>
    <w:uiPriority w:val="0"/>
    <w:pPr>
      <w:widowControl w:val="0"/>
      <w:autoSpaceDE w:val="0"/>
      <w:autoSpaceDN w:val="0"/>
      <w:adjustRightInd w:val="0"/>
    </w:pPr>
    <w:rPr>
      <w:rFonts w:hint="eastAsia" w:ascii="仿宋" w:hAnsi="仿宋" w:eastAsia="仿宋" w:cs="Times New Roman"/>
      <w:color w:val="000000"/>
      <w:sz w:val="24"/>
      <w:lang w:val="en-US" w:eastAsia="zh-CN" w:bidi="ar-SA"/>
    </w:rPr>
  </w:style>
  <w:style w:type="paragraph" w:customStyle="1" w:styleId="53">
    <w:name w:val="UserStyle_76"/>
    <w:qFormat/>
    <w:uiPriority w:val="0"/>
    <w:pPr>
      <w:spacing w:line="360" w:lineRule="auto"/>
      <w:ind w:firstLine="420"/>
      <w:jc w:val="left"/>
      <w:textAlignment w:val="baseline"/>
    </w:pPr>
    <w:rPr>
      <w:rFonts w:ascii="宋体" w:hAnsi="Times New Roman" w:eastAsia="宋体" w:cs="宋体"/>
      <w:kern w:val="0"/>
      <w:sz w:val="20"/>
      <w:szCs w:val="20"/>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1" Type="http://schemas.openxmlformats.org/officeDocument/2006/relationships/fontTable" Target="fontTable.xml"/><Relationship Id="rId60" Type="http://schemas.openxmlformats.org/officeDocument/2006/relationships/numbering" Target="numbering.xml"/><Relationship Id="rId6" Type="http://schemas.openxmlformats.org/officeDocument/2006/relationships/footer" Target="footer2.xml"/><Relationship Id="rId59" Type="http://schemas.openxmlformats.org/officeDocument/2006/relationships/customXml" Target="../customXml/item1.xml"/><Relationship Id="rId58" Type="http://schemas.openxmlformats.org/officeDocument/2006/relationships/image" Target="media/image19.png"/><Relationship Id="rId57" Type="http://schemas.openxmlformats.org/officeDocument/2006/relationships/image" Target="media/image18.jpeg"/><Relationship Id="rId56" Type="http://schemas.openxmlformats.org/officeDocument/2006/relationships/image" Target="media/image17.png"/><Relationship Id="rId55" Type="http://schemas.openxmlformats.org/officeDocument/2006/relationships/image" Target="media/image16.png"/><Relationship Id="rId54" Type="http://schemas.openxmlformats.org/officeDocument/2006/relationships/image" Target="media/image15.wmf"/><Relationship Id="rId53" Type="http://schemas.openxmlformats.org/officeDocument/2006/relationships/oleObject" Target="embeddings/oleObject12.bin"/><Relationship Id="rId52" Type="http://schemas.openxmlformats.org/officeDocument/2006/relationships/image" Target="media/image14.wmf"/><Relationship Id="rId51" Type="http://schemas.openxmlformats.org/officeDocument/2006/relationships/oleObject" Target="embeddings/oleObject11.bin"/><Relationship Id="rId50" Type="http://schemas.openxmlformats.org/officeDocument/2006/relationships/image" Target="media/image13.wmf"/><Relationship Id="rId5" Type="http://schemas.openxmlformats.org/officeDocument/2006/relationships/footer" Target="footer1.xml"/><Relationship Id="rId49" Type="http://schemas.openxmlformats.org/officeDocument/2006/relationships/oleObject" Target="embeddings/oleObject10.bin"/><Relationship Id="rId48" Type="http://schemas.openxmlformats.org/officeDocument/2006/relationships/image" Target="media/image12.wmf"/><Relationship Id="rId47" Type="http://schemas.openxmlformats.org/officeDocument/2006/relationships/oleObject" Target="embeddings/oleObject9.bin"/><Relationship Id="rId46" Type="http://schemas.openxmlformats.org/officeDocument/2006/relationships/image" Target="media/image11.wmf"/><Relationship Id="rId45" Type="http://schemas.openxmlformats.org/officeDocument/2006/relationships/oleObject" Target="embeddings/oleObject8.bin"/><Relationship Id="rId44" Type="http://schemas.openxmlformats.org/officeDocument/2006/relationships/image" Target="media/image10.wmf"/><Relationship Id="rId43" Type="http://schemas.openxmlformats.org/officeDocument/2006/relationships/oleObject" Target="embeddings/oleObject7.bin"/><Relationship Id="rId42" Type="http://schemas.openxmlformats.org/officeDocument/2006/relationships/image" Target="media/image9.wmf"/><Relationship Id="rId41" Type="http://schemas.openxmlformats.org/officeDocument/2006/relationships/oleObject" Target="embeddings/oleObject6.bin"/><Relationship Id="rId40" Type="http://schemas.openxmlformats.org/officeDocument/2006/relationships/image" Target="media/image8.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7.wmf"/><Relationship Id="rId37" Type="http://schemas.openxmlformats.org/officeDocument/2006/relationships/oleObject" Target="embeddings/oleObject4.bin"/><Relationship Id="rId36" Type="http://schemas.openxmlformats.org/officeDocument/2006/relationships/image" Target="media/image6.wmf"/><Relationship Id="rId35" Type="http://schemas.openxmlformats.org/officeDocument/2006/relationships/oleObject" Target="embeddings/oleObject3.bin"/><Relationship Id="rId34" Type="http://schemas.openxmlformats.org/officeDocument/2006/relationships/image" Target="media/image5.wmf"/><Relationship Id="rId33" Type="http://schemas.openxmlformats.org/officeDocument/2006/relationships/oleObject" Target="embeddings/oleObject2.bin"/><Relationship Id="rId32" Type="http://schemas.openxmlformats.org/officeDocument/2006/relationships/image" Target="media/image4.wmf"/><Relationship Id="rId31" Type="http://schemas.openxmlformats.org/officeDocument/2006/relationships/oleObject" Target="embeddings/oleObject1.bin"/><Relationship Id="rId30" Type="http://schemas.openxmlformats.org/officeDocument/2006/relationships/image" Target="media/image3.png"/><Relationship Id="rId3" Type="http://schemas.openxmlformats.org/officeDocument/2006/relationships/header" Target="header1.xml"/><Relationship Id="rId29" Type="http://schemas.openxmlformats.org/officeDocument/2006/relationships/image" Target="media/image2.png"/><Relationship Id="rId28" Type="http://schemas.openxmlformats.org/officeDocument/2006/relationships/image" Target="media/image1.png"/><Relationship Id="rId27" Type="http://schemas.openxmlformats.org/officeDocument/2006/relationships/theme" Target="theme/theme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91</Pages>
  <Words>33671</Words>
  <Characters>36109</Characters>
  <Lines>0</Lines>
  <Paragraphs>0</Paragraphs>
  <TotalTime>2</TotalTime>
  <ScaleCrop>false</ScaleCrop>
  <LinksUpToDate>false</LinksUpToDate>
  <CharactersWithSpaces>36893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2024-09-28T04:36:00Z</dcterms:created>
  <dc:creator>Administrator</dc:creator>
  <cp:lastModifiedBy>琼楼笑望</cp:lastModifiedBy>
  <cp:lastPrinted>2024-09-29T01:33:00Z</cp:lastPrinted>
  <dcterms:modified xsi:type="dcterms:W3CDTF">2026-09-29T04:08:57Z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FA6F3D7CC40442FEA48298AF602B2B63_11</vt:lpwstr>
  </property>
  <property fmtid="{D5CDD505-2E9C-101B-9397-08002B2CF9AE}" pid="4" name="KSOTemplateDocerSaveRecord">
    <vt:lpwstr>eyJoZGlkIjoiMjUwNTI0NDYxZjI1YTM1OTc0YmRhZjI0YTk3MzBhOTIiLCJ1c2VySWQiOiI1NTkzMzQ0ODMifQ==</vt:lpwstr>
  </property>
</Properties>
</file>