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06B3DC9">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7077953A">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lang w:eastAsia="zh-CN"/>
        </w:rPr>
        <w:sectPr>
          <w:headerReference r:id="rId3" w:type="default"/>
          <w:footerReference r:id="rId4"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b/>
          <w:bCs/>
          <w:color w:val="auto"/>
          <w:spacing w:val="0"/>
          <w:sz w:val="28"/>
          <w:szCs w:val="28"/>
          <w:highlight w:val="none"/>
          <w:lang w:eastAsia="zh-CN"/>
        </w:rPr>
        <w:drawing>
          <wp:inline distT="0" distB="0" distL="114300" distR="114300">
            <wp:extent cx="6590665" cy="8488680"/>
            <wp:effectExtent l="0" t="0" r="635" b="7620"/>
            <wp:docPr id="6" name="图片 6" descr="封面 (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封面 (2)_01"/>
                    <pic:cNvPicPr>
                      <a:picLocks noChangeAspect="1"/>
                    </pic:cNvPicPr>
                  </pic:nvPicPr>
                  <pic:blipFill>
                    <a:blip r:embed="rId26"/>
                    <a:srcRect l="2909" t="11584"/>
                    <a:stretch>
                      <a:fillRect/>
                    </a:stretch>
                  </pic:blipFill>
                  <pic:spPr>
                    <a:xfrm>
                      <a:off x="0" y="0"/>
                      <a:ext cx="6590665" cy="8488680"/>
                    </a:xfrm>
                    <a:prstGeom prst="rect">
                      <a:avLst/>
                    </a:prstGeom>
                  </pic:spPr>
                </pic:pic>
              </a:graphicData>
            </a:graphic>
          </wp:inline>
        </w:drawing>
      </w:r>
    </w:p>
    <w:p w14:paraId="088BE4E2">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485925C9">
      <w:pPr>
        <w:pStyle w:val="10"/>
        <w:tabs>
          <w:tab w:val="right" w:leader="dot" w:pos="9746"/>
        </w:tabs>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_Toc29781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tab/>
      </w:r>
      <w:r>
        <w:fldChar w:fldCharType="begin"/>
      </w:r>
      <w:r>
        <w:instrText xml:space="preserve"> PAGEREF _Toc29781 \h </w:instrText>
      </w:r>
      <w:r>
        <w:fldChar w:fldCharType="separate"/>
      </w:r>
      <w:r>
        <w:t>2</w:t>
      </w:r>
      <w:r>
        <w:fldChar w:fldCharType="end"/>
      </w:r>
      <w:r>
        <w:rPr>
          <w:rFonts w:hint="eastAsia" w:ascii="宋体" w:hAnsi="宋体" w:eastAsia="宋体" w:cs="宋体"/>
          <w:color w:val="auto"/>
          <w:spacing w:val="0"/>
          <w:szCs w:val="24"/>
          <w:highlight w:val="none"/>
        </w:rPr>
        <w:fldChar w:fldCharType="end"/>
      </w:r>
    </w:p>
    <w:p w14:paraId="0579D9DC">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_Toc25557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tab/>
      </w:r>
      <w:r>
        <w:fldChar w:fldCharType="begin"/>
      </w:r>
      <w:r>
        <w:instrText xml:space="preserve"> PAGEREF _Toc25557 \h </w:instrText>
      </w:r>
      <w:r>
        <w:fldChar w:fldCharType="separate"/>
      </w:r>
      <w:r>
        <w:t>2</w:t>
      </w:r>
      <w:r>
        <w:fldChar w:fldCharType="end"/>
      </w:r>
      <w:r>
        <w:rPr>
          <w:rFonts w:hint="eastAsia" w:ascii="宋体" w:hAnsi="宋体" w:eastAsia="宋体" w:cs="宋体"/>
          <w:color w:val="auto"/>
          <w:spacing w:val="0"/>
          <w:szCs w:val="24"/>
          <w:highlight w:val="none"/>
        </w:rPr>
        <w:fldChar w:fldCharType="end"/>
      </w:r>
    </w:p>
    <w:p w14:paraId="40AF92EA">
      <w:pPr>
        <w:pStyle w:val="11"/>
        <w:tabs>
          <w:tab w:val="right" w:leader="dot" w:pos="9746"/>
        </w:tabs>
      </w:pPr>
      <w:bookmarkStart w:id="252" w:name="_GoBack"/>
      <w:bookmarkEnd w:id="252"/>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_Toc19706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tab/>
      </w:r>
      <w:r>
        <w:fldChar w:fldCharType="begin"/>
      </w:r>
      <w:r>
        <w:instrText xml:space="preserve"> PAGEREF _Toc19706 \h </w:instrText>
      </w:r>
      <w:r>
        <w:fldChar w:fldCharType="separate"/>
      </w:r>
      <w:r>
        <w:t>8</w:t>
      </w:r>
      <w:r>
        <w:fldChar w:fldCharType="end"/>
      </w:r>
      <w:r>
        <w:rPr>
          <w:rFonts w:hint="eastAsia" w:ascii="宋体" w:hAnsi="宋体" w:eastAsia="宋体" w:cs="宋体"/>
          <w:color w:val="auto"/>
          <w:spacing w:val="0"/>
          <w:szCs w:val="24"/>
          <w:highlight w:val="none"/>
        </w:rPr>
        <w:fldChar w:fldCharType="end"/>
      </w:r>
    </w:p>
    <w:p w14:paraId="43D6F7A8">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_Toc877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tab/>
      </w:r>
      <w:r>
        <w:fldChar w:fldCharType="begin"/>
      </w:r>
      <w:r>
        <w:instrText xml:space="preserve"> PAGEREF _Toc877 \h </w:instrText>
      </w:r>
      <w:r>
        <w:fldChar w:fldCharType="separate"/>
      </w:r>
      <w:r>
        <w:t>9</w:t>
      </w:r>
      <w:r>
        <w:fldChar w:fldCharType="end"/>
      </w:r>
      <w:r>
        <w:rPr>
          <w:rFonts w:hint="eastAsia" w:ascii="宋体" w:hAnsi="宋体" w:eastAsia="宋体" w:cs="宋体"/>
          <w:color w:val="auto"/>
          <w:spacing w:val="0"/>
          <w:szCs w:val="24"/>
          <w:highlight w:val="none"/>
        </w:rPr>
        <w:fldChar w:fldCharType="end"/>
      </w:r>
    </w:p>
    <w:p w14:paraId="19B1F7F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_Toc17027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tab/>
      </w:r>
      <w:r>
        <w:fldChar w:fldCharType="begin"/>
      </w:r>
      <w:r>
        <w:instrText xml:space="preserve"> PAGEREF _Toc17027 \h </w:instrText>
      </w:r>
      <w:r>
        <w:fldChar w:fldCharType="separate"/>
      </w:r>
      <w:r>
        <w:t>34</w:t>
      </w:r>
      <w:r>
        <w:fldChar w:fldCharType="end"/>
      </w:r>
      <w:r>
        <w:rPr>
          <w:rFonts w:hint="eastAsia" w:ascii="宋体" w:hAnsi="宋体" w:eastAsia="宋体" w:cs="宋体"/>
          <w:color w:val="auto"/>
          <w:spacing w:val="0"/>
          <w:szCs w:val="24"/>
          <w:highlight w:val="none"/>
        </w:rPr>
        <w:fldChar w:fldCharType="end"/>
      </w:r>
    </w:p>
    <w:p w14:paraId="3A9F304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_Toc21726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17</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rPr>
          <w:rFonts w:hint="eastAsia" w:ascii="宋体" w:hAnsi="宋体" w:eastAsia="宋体" w:cs="宋体"/>
          <w:bCs/>
          <w:spacing w:val="0"/>
          <w:szCs w:val="24"/>
          <w:highlight w:val="none"/>
          <w:lang w:val="en-US" w:eastAsia="zh-CN"/>
        </w:rPr>
        <w:t>结果</w:t>
      </w:r>
      <w:r>
        <w:rPr>
          <w:rFonts w:hint="eastAsia" w:ascii="宋体" w:hAnsi="宋体" w:eastAsia="宋体" w:cs="宋体"/>
          <w:bCs/>
          <w:spacing w:val="0"/>
          <w:szCs w:val="24"/>
          <w:highlight w:val="none"/>
        </w:rPr>
        <w:t>公示</w:t>
      </w:r>
      <w:r>
        <w:tab/>
      </w:r>
      <w:r>
        <w:fldChar w:fldCharType="begin"/>
      </w:r>
      <w:r>
        <w:instrText xml:space="preserve"> PAGEREF _Toc21726 \h </w:instrText>
      </w:r>
      <w:r>
        <w:fldChar w:fldCharType="separate"/>
      </w:r>
      <w:r>
        <w:t>36</w:t>
      </w:r>
      <w:r>
        <w:fldChar w:fldCharType="end"/>
      </w:r>
      <w:r>
        <w:rPr>
          <w:rFonts w:hint="eastAsia" w:ascii="宋体" w:hAnsi="宋体" w:eastAsia="宋体" w:cs="宋体"/>
          <w:color w:val="auto"/>
          <w:spacing w:val="0"/>
          <w:szCs w:val="24"/>
          <w:highlight w:val="none"/>
        </w:rPr>
        <w:fldChar w:fldCharType="end"/>
      </w:r>
    </w:p>
    <w:p w14:paraId="6E93E62E">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tab/>
      </w:r>
      <w:r>
        <w:fldChar w:fldCharType="begin"/>
      </w:r>
      <w:r>
        <w:instrText xml:space="preserve"> PAGEREF _Toc2600 \h </w:instrText>
      </w:r>
      <w:r>
        <w:fldChar w:fldCharType="separate"/>
      </w:r>
      <w:r>
        <w:t>37</w:t>
      </w:r>
      <w:r>
        <w:fldChar w:fldCharType="end"/>
      </w:r>
      <w:r>
        <w:rPr>
          <w:rFonts w:hint="eastAsia" w:ascii="宋体" w:hAnsi="宋体" w:eastAsia="宋体" w:cs="宋体"/>
          <w:color w:val="auto"/>
          <w:spacing w:val="0"/>
          <w:szCs w:val="24"/>
          <w:highlight w:val="none"/>
        </w:rPr>
        <w:fldChar w:fldCharType="end"/>
      </w:r>
    </w:p>
    <w:p w14:paraId="43331C9B">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_Toc21422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tab/>
      </w:r>
      <w:r>
        <w:fldChar w:fldCharType="begin"/>
      </w:r>
      <w:r>
        <w:instrText xml:space="preserve"> PAGEREF _Toc21422 \h </w:instrText>
      </w:r>
      <w:r>
        <w:fldChar w:fldCharType="separate"/>
      </w:r>
      <w:r>
        <w:t>37</w:t>
      </w:r>
      <w:r>
        <w:fldChar w:fldCharType="end"/>
      </w:r>
      <w:r>
        <w:rPr>
          <w:rFonts w:hint="eastAsia" w:ascii="宋体" w:hAnsi="宋体" w:eastAsia="宋体" w:cs="宋体"/>
          <w:color w:val="auto"/>
          <w:spacing w:val="0"/>
          <w:szCs w:val="24"/>
          <w:highlight w:val="none"/>
        </w:rPr>
        <w:fldChar w:fldCharType="end"/>
      </w:r>
    </w:p>
    <w:p w14:paraId="1DADFA2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_Toc28571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tab/>
      </w:r>
      <w:r>
        <w:fldChar w:fldCharType="begin"/>
      </w:r>
      <w:r>
        <w:instrText xml:space="preserve"> PAGEREF _Toc28571 \h </w:instrText>
      </w:r>
      <w:r>
        <w:fldChar w:fldCharType="separate"/>
      </w:r>
      <w:r>
        <w:t>38</w:t>
      </w:r>
      <w:r>
        <w:fldChar w:fldCharType="end"/>
      </w:r>
      <w:r>
        <w:rPr>
          <w:rFonts w:hint="eastAsia" w:ascii="宋体" w:hAnsi="宋体" w:eastAsia="宋体" w:cs="宋体"/>
          <w:color w:val="auto"/>
          <w:spacing w:val="0"/>
          <w:szCs w:val="24"/>
          <w:highlight w:val="none"/>
        </w:rPr>
        <w:fldChar w:fldCharType="end"/>
      </w:r>
    </w:p>
    <w:p w14:paraId="688DB2C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_Toc21573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tab/>
      </w:r>
      <w:r>
        <w:fldChar w:fldCharType="begin"/>
      </w:r>
      <w:r>
        <w:instrText xml:space="preserve"> PAGEREF _Toc21573 \h </w:instrText>
      </w:r>
      <w:r>
        <w:fldChar w:fldCharType="separate"/>
      </w:r>
      <w:r>
        <w:t>38</w:t>
      </w:r>
      <w:r>
        <w:fldChar w:fldCharType="end"/>
      </w:r>
      <w:r>
        <w:rPr>
          <w:rFonts w:hint="eastAsia" w:ascii="宋体" w:hAnsi="宋体" w:eastAsia="宋体" w:cs="宋体"/>
          <w:color w:val="auto"/>
          <w:spacing w:val="0"/>
          <w:szCs w:val="24"/>
          <w:highlight w:val="none"/>
        </w:rPr>
        <w:fldChar w:fldCharType="end"/>
      </w:r>
    </w:p>
    <w:p w14:paraId="1CDC948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_Toc22309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tab/>
      </w:r>
      <w:r>
        <w:fldChar w:fldCharType="begin"/>
      </w:r>
      <w:r>
        <w:instrText xml:space="preserve"> PAGEREF _Toc22309 \h </w:instrText>
      </w:r>
      <w:r>
        <w:fldChar w:fldCharType="separate"/>
      </w:r>
      <w:r>
        <w:t>39</w:t>
      </w:r>
      <w:r>
        <w:fldChar w:fldCharType="end"/>
      </w:r>
      <w:r>
        <w:rPr>
          <w:rFonts w:hint="eastAsia" w:ascii="宋体" w:hAnsi="宋体" w:eastAsia="宋体" w:cs="宋体"/>
          <w:color w:val="auto"/>
          <w:spacing w:val="0"/>
          <w:szCs w:val="24"/>
          <w:highlight w:val="none"/>
        </w:rPr>
        <w:fldChar w:fldCharType="end"/>
      </w:r>
    </w:p>
    <w:p w14:paraId="2FEA0420">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_Toc27997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tab/>
      </w:r>
      <w:r>
        <w:fldChar w:fldCharType="begin"/>
      </w:r>
      <w:r>
        <w:instrText xml:space="preserve"> PAGEREF _Toc27997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3C5186A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_Toc31198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tab/>
      </w:r>
      <w:r>
        <w:fldChar w:fldCharType="begin"/>
      </w:r>
      <w:r>
        <w:instrText xml:space="preserve"> PAGEREF _Toc31198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4E4DD7F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_Toc9163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．中标结果公示</w:t>
      </w:r>
      <w:r>
        <w:tab/>
      </w:r>
      <w:r>
        <w:fldChar w:fldCharType="begin"/>
      </w:r>
      <w:r>
        <w:instrText xml:space="preserve"> PAGEREF _Toc9163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6DF741C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_Toc16611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tab/>
      </w:r>
      <w:r>
        <w:fldChar w:fldCharType="begin"/>
      </w:r>
      <w:r>
        <w:instrText xml:space="preserve"> PAGEREF _Toc16611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480664E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_Toc15730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tab/>
      </w:r>
      <w:r>
        <w:fldChar w:fldCharType="begin"/>
      </w:r>
      <w:r>
        <w:instrText xml:space="preserve"> PAGEREF _Toc15730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19732E56">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_Toc7925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 ．放弃中标的处理</w:t>
      </w:r>
      <w:r>
        <w:tab/>
      </w:r>
      <w:r>
        <w:fldChar w:fldCharType="begin"/>
      </w:r>
      <w:r>
        <w:instrText xml:space="preserve"> PAGEREF _Toc7925 \h </w:instrText>
      </w:r>
      <w:r>
        <w:fldChar w:fldCharType="separate"/>
      </w:r>
      <w:r>
        <w:t>42</w:t>
      </w:r>
      <w:r>
        <w:fldChar w:fldCharType="end"/>
      </w:r>
      <w:r>
        <w:rPr>
          <w:rFonts w:hint="eastAsia" w:ascii="宋体" w:hAnsi="宋体" w:eastAsia="宋体" w:cs="宋体"/>
          <w:color w:val="auto"/>
          <w:spacing w:val="0"/>
          <w:szCs w:val="24"/>
          <w:highlight w:val="none"/>
        </w:rPr>
        <w:fldChar w:fldCharType="end"/>
      </w:r>
    </w:p>
    <w:p w14:paraId="0C57D843">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_Toc15559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tab/>
      </w:r>
      <w:r>
        <w:fldChar w:fldCharType="begin"/>
      </w:r>
      <w:r>
        <w:instrText xml:space="preserve"> PAGEREF _Toc15559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56B1B6E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．工程承包方式</w:t>
      </w:r>
      <w:r>
        <w:tab/>
      </w:r>
      <w:r>
        <w:fldChar w:fldCharType="begin"/>
      </w:r>
      <w:r>
        <w:instrText xml:space="preserve"> PAGEREF _Toc1132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6453B3F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_Toc20891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．工程结算原则</w:t>
      </w:r>
      <w:r>
        <w:tab/>
      </w:r>
      <w:r>
        <w:fldChar w:fldCharType="begin"/>
      </w:r>
      <w:r>
        <w:instrText xml:space="preserve"> PAGEREF _Toc20891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366B0F6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_Toc10083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工程付款办法</w:t>
      </w:r>
      <w:r>
        <w:tab/>
      </w:r>
      <w:r>
        <w:fldChar w:fldCharType="begin"/>
      </w:r>
      <w:r>
        <w:instrText xml:space="preserve"> PAGEREF _Toc10083 \h </w:instrText>
      </w:r>
      <w:r>
        <w:fldChar w:fldCharType="separate"/>
      </w:r>
      <w:r>
        <w:t>49</w:t>
      </w:r>
      <w:r>
        <w:fldChar w:fldCharType="end"/>
      </w:r>
      <w:r>
        <w:rPr>
          <w:rFonts w:hint="eastAsia" w:ascii="宋体" w:hAnsi="宋体" w:eastAsia="宋体" w:cs="宋体"/>
          <w:color w:val="auto"/>
          <w:spacing w:val="0"/>
          <w:szCs w:val="24"/>
          <w:highlight w:val="none"/>
        </w:rPr>
        <w:fldChar w:fldCharType="end"/>
      </w:r>
    </w:p>
    <w:p w14:paraId="48E9C64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_Toc12545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．其他专用合同条款</w:t>
      </w:r>
      <w:r>
        <w:tab/>
      </w:r>
      <w:r>
        <w:fldChar w:fldCharType="begin"/>
      </w:r>
      <w:r>
        <w:instrText xml:space="preserve"> PAGEREF _Toc12545 \h </w:instrText>
      </w:r>
      <w:r>
        <w:fldChar w:fldCharType="separate"/>
      </w:r>
      <w:r>
        <w:t>50</w:t>
      </w:r>
      <w:r>
        <w:fldChar w:fldCharType="end"/>
      </w:r>
      <w:r>
        <w:rPr>
          <w:rFonts w:hint="eastAsia" w:ascii="宋体" w:hAnsi="宋体" w:eastAsia="宋体" w:cs="宋体"/>
          <w:color w:val="auto"/>
          <w:spacing w:val="0"/>
          <w:szCs w:val="24"/>
          <w:highlight w:val="none"/>
        </w:rPr>
        <w:fldChar w:fldCharType="end"/>
      </w:r>
    </w:p>
    <w:p w14:paraId="188A1C2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_Toc27258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tab/>
      </w:r>
      <w:r>
        <w:fldChar w:fldCharType="begin"/>
      </w:r>
      <w:r>
        <w:instrText xml:space="preserve"> PAGEREF _Toc27258 \h </w:instrText>
      </w:r>
      <w:r>
        <w:fldChar w:fldCharType="separate"/>
      </w:r>
      <w:r>
        <w:t>58</w:t>
      </w:r>
      <w:r>
        <w:fldChar w:fldCharType="end"/>
      </w:r>
      <w:r>
        <w:rPr>
          <w:rFonts w:hint="eastAsia" w:ascii="宋体" w:hAnsi="宋体" w:eastAsia="宋体" w:cs="宋体"/>
          <w:color w:val="auto"/>
          <w:spacing w:val="0"/>
          <w:szCs w:val="24"/>
          <w:highlight w:val="none"/>
        </w:rPr>
        <w:fldChar w:fldCharType="end"/>
      </w:r>
    </w:p>
    <w:p w14:paraId="2719494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_Toc5508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tab/>
      </w:r>
      <w:r>
        <w:fldChar w:fldCharType="begin"/>
      </w:r>
      <w:r>
        <w:instrText xml:space="preserve"> PAGEREF _Toc5508 \h </w:instrText>
      </w:r>
      <w:r>
        <w:fldChar w:fldCharType="separate"/>
      </w:r>
      <w:r>
        <w:t>58</w:t>
      </w:r>
      <w:r>
        <w:fldChar w:fldCharType="end"/>
      </w:r>
      <w:r>
        <w:rPr>
          <w:rFonts w:hint="eastAsia" w:ascii="宋体" w:hAnsi="宋体" w:eastAsia="宋体" w:cs="宋体"/>
          <w:color w:val="auto"/>
          <w:spacing w:val="0"/>
          <w:szCs w:val="24"/>
          <w:highlight w:val="none"/>
        </w:rPr>
        <w:fldChar w:fldCharType="end"/>
      </w:r>
    </w:p>
    <w:p w14:paraId="297464B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_Toc16055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tab/>
      </w:r>
      <w:r>
        <w:fldChar w:fldCharType="begin"/>
      </w:r>
      <w:r>
        <w:instrText xml:space="preserve"> PAGEREF _Toc16055 \h </w:instrText>
      </w:r>
      <w:r>
        <w:fldChar w:fldCharType="separate"/>
      </w:r>
      <w:r>
        <w:t>58</w:t>
      </w:r>
      <w:r>
        <w:fldChar w:fldCharType="end"/>
      </w:r>
      <w:r>
        <w:rPr>
          <w:rFonts w:hint="eastAsia" w:ascii="宋体" w:hAnsi="宋体" w:eastAsia="宋体" w:cs="宋体"/>
          <w:color w:val="auto"/>
          <w:spacing w:val="0"/>
          <w:szCs w:val="24"/>
          <w:highlight w:val="none"/>
        </w:rPr>
        <w:fldChar w:fldCharType="end"/>
      </w:r>
    </w:p>
    <w:p w14:paraId="4E8620D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_Toc29206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tab/>
      </w:r>
      <w:r>
        <w:fldChar w:fldCharType="begin"/>
      </w:r>
      <w:r>
        <w:instrText xml:space="preserve"> PAGEREF _Toc29206 \h </w:instrText>
      </w:r>
      <w:r>
        <w:fldChar w:fldCharType="separate"/>
      </w:r>
      <w:r>
        <w:t>59</w:t>
      </w:r>
      <w:r>
        <w:fldChar w:fldCharType="end"/>
      </w:r>
      <w:r>
        <w:rPr>
          <w:rFonts w:hint="eastAsia" w:ascii="宋体" w:hAnsi="宋体" w:eastAsia="宋体" w:cs="宋体"/>
          <w:color w:val="auto"/>
          <w:spacing w:val="0"/>
          <w:szCs w:val="24"/>
          <w:highlight w:val="none"/>
        </w:rPr>
        <w:fldChar w:fldCharType="end"/>
      </w:r>
    </w:p>
    <w:p w14:paraId="0307EF94">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tab/>
      </w:r>
      <w:r>
        <w:fldChar w:fldCharType="begin"/>
      </w:r>
      <w:r>
        <w:instrText xml:space="preserve"> PAGEREF _Toc321 \h </w:instrText>
      </w:r>
      <w:r>
        <w:fldChar w:fldCharType="separate"/>
      </w:r>
      <w:r>
        <w:t>60</w:t>
      </w:r>
      <w:r>
        <w:fldChar w:fldCharType="end"/>
      </w:r>
      <w:r>
        <w:rPr>
          <w:rFonts w:hint="eastAsia" w:ascii="宋体" w:hAnsi="宋体" w:eastAsia="宋体" w:cs="宋体"/>
          <w:color w:val="auto"/>
          <w:spacing w:val="0"/>
          <w:szCs w:val="24"/>
          <w:highlight w:val="none"/>
        </w:rPr>
        <w:fldChar w:fldCharType="end"/>
      </w:r>
    </w:p>
    <w:p w14:paraId="2856C77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_Toc30038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tab/>
      </w:r>
      <w:r>
        <w:fldChar w:fldCharType="begin"/>
      </w:r>
      <w:r>
        <w:instrText xml:space="preserve"> PAGEREF _Toc30038 \h </w:instrText>
      </w:r>
      <w:r>
        <w:fldChar w:fldCharType="separate"/>
      </w:r>
      <w:r>
        <w:t>60</w:t>
      </w:r>
      <w:r>
        <w:fldChar w:fldCharType="end"/>
      </w:r>
      <w:r>
        <w:rPr>
          <w:rFonts w:hint="eastAsia" w:ascii="宋体" w:hAnsi="宋体" w:eastAsia="宋体" w:cs="宋体"/>
          <w:color w:val="auto"/>
          <w:spacing w:val="0"/>
          <w:szCs w:val="24"/>
          <w:highlight w:val="none"/>
        </w:rPr>
        <w:fldChar w:fldCharType="end"/>
      </w:r>
    </w:p>
    <w:p w14:paraId="17A2C0F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_Toc7174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tab/>
      </w:r>
      <w:r>
        <w:fldChar w:fldCharType="begin"/>
      </w:r>
      <w:r>
        <w:instrText xml:space="preserve"> PAGEREF _Toc7174 \h </w:instrText>
      </w:r>
      <w:r>
        <w:fldChar w:fldCharType="separate"/>
      </w:r>
      <w:r>
        <w:t>60</w:t>
      </w:r>
      <w:r>
        <w:fldChar w:fldCharType="end"/>
      </w:r>
      <w:r>
        <w:rPr>
          <w:rFonts w:hint="eastAsia" w:ascii="宋体" w:hAnsi="宋体" w:eastAsia="宋体" w:cs="宋体"/>
          <w:color w:val="auto"/>
          <w:spacing w:val="0"/>
          <w:szCs w:val="24"/>
          <w:highlight w:val="none"/>
        </w:rPr>
        <w:fldChar w:fldCharType="end"/>
      </w:r>
    </w:p>
    <w:p w14:paraId="6F52CDB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_Toc10270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tab/>
      </w:r>
      <w:r>
        <w:fldChar w:fldCharType="begin"/>
      </w:r>
      <w:r>
        <w:instrText xml:space="preserve"> PAGEREF _Toc10270 \h </w:instrText>
      </w:r>
      <w:r>
        <w:fldChar w:fldCharType="separate"/>
      </w:r>
      <w:r>
        <w:t>61</w:t>
      </w:r>
      <w:r>
        <w:fldChar w:fldCharType="end"/>
      </w:r>
      <w:r>
        <w:rPr>
          <w:rFonts w:hint="eastAsia" w:ascii="宋体" w:hAnsi="宋体" w:eastAsia="宋体" w:cs="宋体"/>
          <w:color w:val="auto"/>
          <w:spacing w:val="0"/>
          <w:szCs w:val="24"/>
          <w:highlight w:val="none"/>
        </w:rPr>
        <w:fldChar w:fldCharType="end"/>
      </w:r>
    </w:p>
    <w:p w14:paraId="7B794B3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_Toc10384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tab/>
      </w:r>
      <w:r>
        <w:fldChar w:fldCharType="begin"/>
      </w:r>
      <w:r>
        <w:instrText xml:space="preserve"> PAGEREF _Toc10384 \h </w:instrText>
      </w:r>
      <w:r>
        <w:fldChar w:fldCharType="separate"/>
      </w:r>
      <w:r>
        <w:t>61</w:t>
      </w:r>
      <w:r>
        <w:fldChar w:fldCharType="end"/>
      </w:r>
      <w:r>
        <w:rPr>
          <w:rFonts w:hint="eastAsia" w:ascii="宋体" w:hAnsi="宋体" w:eastAsia="宋体" w:cs="宋体"/>
          <w:color w:val="auto"/>
          <w:spacing w:val="0"/>
          <w:szCs w:val="24"/>
          <w:highlight w:val="none"/>
        </w:rPr>
        <w:fldChar w:fldCharType="end"/>
      </w:r>
    </w:p>
    <w:p w14:paraId="7C6BE61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tab/>
      </w:r>
      <w:r>
        <w:fldChar w:fldCharType="begin"/>
      </w:r>
      <w:r>
        <w:instrText xml:space="preserve"> PAGEREF _Toc2430 \h </w:instrText>
      </w:r>
      <w:r>
        <w:fldChar w:fldCharType="separate"/>
      </w:r>
      <w:r>
        <w:t>62</w:t>
      </w:r>
      <w:r>
        <w:fldChar w:fldCharType="end"/>
      </w:r>
      <w:r>
        <w:rPr>
          <w:rFonts w:hint="eastAsia" w:ascii="宋体" w:hAnsi="宋体" w:eastAsia="宋体" w:cs="宋体"/>
          <w:color w:val="auto"/>
          <w:spacing w:val="0"/>
          <w:szCs w:val="24"/>
          <w:highlight w:val="none"/>
        </w:rPr>
        <w:fldChar w:fldCharType="end"/>
      </w:r>
    </w:p>
    <w:p w14:paraId="1F3F52B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_Toc3736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tab/>
      </w:r>
      <w:r>
        <w:fldChar w:fldCharType="begin"/>
      </w:r>
      <w:r>
        <w:instrText xml:space="preserve"> PAGEREF _Toc3736 \h </w:instrText>
      </w:r>
      <w:r>
        <w:fldChar w:fldCharType="separate"/>
      </w:r>
      <w:r>
        <w:t>63</w:t>
      </w:r>
      <w:r>
        <w:fldChar w:fldCharType="end"/>
      </w:r>
      <w:r>
        <w:rPr>
          <w:rFonts w:hint="eastAsia" w:ascii="宋体" w:hAnsi="宋体" w:eastAsia="宋体" w:cs="宋体"/>
          <w:color w:val="auto"/>
          <w:spacing w:val="0"/>
          <w:szCs w:val="24"/>
          <w:highlight w:val="none"/>
        </w:rPr>
        <w:fldChar w:fldCharType="end"/>
      </w:r>
    </w:p>
    <w:p w14:paraId="7A147EE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_Toc23435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tab/>
      </w:r>
      <w:r>
        <w:fldChar w:fldCharType="begin"/>
      </w:r>
      <w:r>
        <w:instrText xml:space="preserve"> PAGEREF _Toc23435 \h </w:instrText>
      </w:r>
      <w:r>
        <w:fldChar w:fldCharType="separate"/>
      </w:r>
      <w:r>
        <w:t>65</w:t>
      </w:r>
      <w:r>
        <w:fldChar w:fldCharType="end"/>
      </w:r>
      <w:r>
        <w:rPr>
          <w:rFonts w:hint="eastAsia" w:ascii="宋体" w:hAnsi="宋体" w:eastAsia="宋体" w:cs="宋体"/>
          <w:color w:val="auto"/>
          <w:spacing w:val="0"/>
          <w:szCs w:val="24"/>
          <w:highlight w:val="none"/>
        </w:rPr>
        <w:fldChar w:fldCharType="end"/>
      </w:r>
    </w:p>
    <w:p w14:paraId="03727DF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_Toc9240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tab/>
      </w:r>
      <w:r>
        <w:fldChar w:fldCharType="begin"/>
      </w:r>
      <w:r>
        <w:instrText xml:space="preserve"> PAGEREF _Toc9240 \h </w:instrText>
      </w:r>
      <w:r>
        <w:fldChar w:fldCharType="separate"/>
      </w:r>
      <w:r>
        <w:t>66</w:t>
      </w:r>
      <w:r>
        <w:fldChar w:fldCharType="end"/>
      </w:r>
      <w:r>
        <w:rPr>
          <w:rFonts w:hint="eastAsia" w:ascii="宋体" w:hAnsi="宋体" w:eastAsia="宋体" w:cs="宋体"/>
          <w:color w:val="auto"/>
          <w:spacing w:val="0"/>
          <w:szCs w:val="24"/>
          <w:highlight w:val="none"/>
        </w:rPr>
        <w:fldChar w:fldCharType="end"/>
      </w:r>
    </w:p>
    <w:p w14:paraId="6D9427C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_Toc12207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rFonts w:hint="eastAsia" w:ascii="宋体" w:hAnsi="宋体" w:eastAsia="宋体" w:cs="宋体"/>
          <w:bCs/>
          <w:spacing w:val="0"/>
          <w:szCs w:val="24"/>
          <w:highlight w:val="none"/>
          <w:lang w:eastAsia="zh-CN"/>
        </w:rPr>
        <w:t>（</w:t>
      </w:r>
      <w:r>
        <w:rPr>
          <w:rFonts w:hint="eastAsia" w:ascii="宋体" w:hAnsi="宋体" w:eastAsia="宋体" w:cs="宋体"/>
          <w:bCs/>
          <w:spacing w:val="0"/>
          <w:szCs w:val="24"/>
          <w:highlight w:val="none"/>
          <w:lang w:val="en-US" w:eastAsia="zh-CN"/>
        </w:rPr>
        <w:t>如有</w:t>
      </w:r>
      <w:r>
        <w:rPr>
          <w:rFonts w:hint="eastAsia" w:ascii="宋体" w:hAnsi="宋体" w:eastAsia="宋体" w:cs="宋体"/>
          <w:bCs/>
          <w:spacing w:val="0"/>
          <w:szCs w:val="24"/>
          <w:highlight w:val="none"/>
          <w:lang w:eastAsia="zh-CN"/>
        </w:rPr>
        <w:t>）</w:t>
      </w:r>
      <w:r>
        <w:tab/>
      </w:r>
      <w:r>
        <w:fldChar w:fldCharType="begin"/>
      </w:r>
      <w:r>
        <w:instrText xml:space="preserve"> PAGEREF _Toc12207 \h </w:instrText>
      </w:r>
      <w:r>
        <w:fldChar w:fldCharType="separate"/>
      </w:r>
      <w:r>
        <w:t>67</w:t>
      </w:r>
      <w:r>
        <w:fldChar w:fldCharType="end"/>
      </w:r>
      <w:r>
        <w:rPr>
          <w:rFonts w:hint="eastAsia" w:ascii="宋体" w:hAnsi="宋体" w:eastAsia="宋体" w:cs="宋体"/>
          <w:color w:val="auto"/>
          <w:spacing w:val="0"/>
          <w:szCs w:val="24"/>
          <w:highlight w:val="none"/>
        </w:rPr>
        <w:fldChar w:fldCharType="end"/>
      </w:r>
    </w:p>
    <w:p w14:paraId="58EF92A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_Toc17122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tab/>
      </w:r>
      <w:r>
        <w:fldChar w:fldCharType="begin"/>
      </w:r>
      <w:r>
        <w:instrText xml:space="preserve"> PAGEREF _Toc17122 \h </w:instrText>
      </w:r>
      <w:r>
        <w:fldChar w:fldCharType="separate"/>
      </w:r>
      <w:r>
        <w:t>68</w:t>
      </w:r>
      <w:r>
        <w:fldChar w:fldCharType="end"/>
      </w:r>
      <w:r>
        <w:rPr>
          <w:rFonts w:hint="eastAsia" w:ascii="宋体" w:hAnsi="宋体" w:eastAsia="宋体" w:cs="宋体"/>
          <w:color w:val="auto"/>
          <w:spacing w:val="0"/>
          <w:szCs w:val="24"/>
          <w:highlight w:val="none"/>
        </w:rPr>
        <w:fldChar w:fldCharType="end"/>
      </w:r>
    </w:p>
    <w:p w14:paraId="219AE2F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_Toc30292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tab/>
      </w:r>
      <w:r>
        <w:fldChar w:fldCharType="begin"/>
      </w:r>
      <w:r>
        <w:instrText xml:space="preserve"> PAGEREF _Toc30292 \h </w:instrText>
      </w:r>
      <w:r>
        <w:fldChar w:fldCharType="separate"/>
      </w:r>
      <w:r>
        <w:t>69</w:t>
      </w:r>
      <w:r>
        <w:fldChar w:fldCharType="end"/>
      </w:r>
      <w:r>
        <w:rPr>
          <w:rFonts w:hint="eastAsia" w:ascii="宋体" w:hAnsi="宋体" w:eastAsia="宋体" w:cs="宋体"/>
          <w:color w:val="auto"/>
          <w:spacing w:val="0"/>
          <w:szCs w:val="24"/>
          <w:highlight w:val="none"/>
        </w:rPr>
        <w:fldChar w:fldCharType="end"/>
      </w:r>
    </w:p>
    <w:p w14:paraId="5379C60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_Toc10251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tab/>
      </w:r>
      <w:r>
        <w:fldChar w:fldCharType="begin"/>
      </w:r>
      <w:r>
        <w:instrText xml:space="preserve"> PAGEREF _Toc10251 \h </w:instrText>
      </w:r>
      <w:r>
        <w:fldChar w:fldCharType="separate"/>
      </w:r>
      <w:r>
        <w:t>70</w:t>
      </w:r>
      <w:r>
        <w:fldChar w:fldCharType="end"/>
      </w:r>
      <w:r>
        <w:rPr>
          <w:rFonts w:hint="eastAsia" w:ascii="宋体" w:hAnsi="宋体" w:eastAsia="宋体" w:cs="宋体"/>
          <w:color w:val="auto"/>
          <w:spacing w:val="0"/>
          <w:szCs w:val="24"/>
          <w:highlight w:val="none"/>
        </w:rPr>
        <w:fldChar w:fldCharType="end"/>
      </w:r>
    </w:p>
    <w:p w14:paraId="1BC5536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_Toc13610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tab/>
      </w:r>
      <w:r>
        <w:fldChar w:fldCharType="begin"/>
      </w:r>
      <w:r>
        <w:instrText xml:space="preserve"> PAGEREF _Toc13610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78C1061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_Toc21428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tab/>
      </w:r>
      <w:r>
        <w:fldChar w:fldCharType="begin"/>
      </w:r>
      <w:r>
        <w:instrText xml:space="preserve"> PAGEREF _Toc21428 \h </w:instrText>
      </w:r>
      <w:r>
        <w:fldChar w:fldCharType="separate"/>
      </w:r>
      <w:r>
        <w:t>72</w:t>
      </w:r>
      <w:r>
        <w:fldChar w:fldCharType="end"/>
      </w:r>
      <w:r>
        <w:rPr>
          <w:rFonts w:hint="eastAsia" w:ascii="宋体" w:hAnsi="宋体" w:eastAsia="宋体" w:cs="宋体"/>
          <w:color w:val="auto"/>
          <w:spacing w:val="0"/>
          <w:szCs w:val="24"/>
          <w:highlight w:val="none"/>
        </w:rPr>
        <w:fldChar w:fldCharType="end"/>
      </w:r>
    </w:p>
    <w:p w14:paraId="2969E94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_Toc24660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val="en-US" w:eastAsia="zh-CN"/>
        </w:rPr>
        <w:t xml:space="preserve">二  </w:t>
      </w:r>
      <w:r>
        <w:rPr>
          <w:rFonts w:hint="eastAsia" w:ascii="宋体" w:hAnsi="宋体" w:eastAsia="宋体" w:cs="宋体"/>
          <w:bCs/>
          <w:spacing w:val="0"/>
          <w:position w:val="3"/>
          <w:szCs w:val="21"/>
          <w:highlight w:val="none"/>
        </w:rPr>
        <w:t>投标保证金信用承诺函</w:t>
      </w:r>
      <w:r>
        <w:tab/>
      </w:r>
      <w:r>
        <w:fldChar w:fldCharType="begin"/>
      </w:r>
      <w:r>
        <w:instrText xml:space="preserve"> PAGEREF _Toc24660 \h </w:instrText>
      </w:r>
      <w:r>
        <w:fldChar w:fldCharType="separate"/>
      </w:r>
      <w:r>
        <w:t>75</w:t>
      </w:r>
      <w:r>
        <w:fldChar w:fldCharType="end"/>
      </w:r>
      <w:r>
        <w:rPr>
          <w:rFonts w:hint="eastAsia" w:ascii="宋体" w:hAnsi="宋体" w:eastAsia="宋体" w:cs="宋体"/>
          <w:color w:val="auto"/>
          <w:spacing w:val="0"/>
          <w:szCs w:val="24"/>
          <w:highlight w:val="none"/>
        </w:rPr>
        <w:fldChar w:fldCharType="end"/>
      </w:r>
    </w:p>
    <w:p w14:paraId="0EDBC6A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_Toc5098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val="en-US" w:eastAsia="zh-CN"/>
        </w:rPr>
        <w:t>三</w:t>
      </w:r>
      <w:r>
        <w:rPr>
          <w:rFonts w:hint="eastAsia" w:ascii="宋体" w:hAnsi="宋体" w:eastAsia="宋体" w:cs="宋体"/>
          <w:bCs/>
          <w:spacing w:val="0"/>
          <w:szCs w:val="24"/>
          <w:highlight w:val="none"/>
        </w:rPr>
        <w:t xml:space="preserve">  原件一览表</w:t>
      </w:r>
      <w:r>
        <w:tab/>
      </w:r>
      <w:r>
        <w:fldChar w:fldCharType="begin"/>
      </w:r>
      <w:r>
        <w:instrText xml:space="preserve"> PAGEREF _Toc5098 \h </w:instrText>
      </w:r>
      <w:r>
        <w:fldChar w:fldCharType="separate"/>
      </w:r>
      <w:r>
        <w:t>76</w:t>
      </w:r>
      <w:r>
        <w:fldChar w:fldCharType="end"/>
      </w:r>
      <w:r>
        <w:rPr>
          <w:rFonts w:hint="eastAsia" w:ascii="宋体" w:hAnsi="宋体" w:eastAsia="宋体" w:cs="宋体"/>
          <w:color w:val="auto"/>
          <w:spacing w:val="0"/>
          <w:szCs w:val="24"/>
          <w:highlight w:val="none"/>
        </w:rPr>
        <w:fldChar w:fldCharType="end"/>
      </w:r>
    </w:p>
    <w:p w14:paraId="5F74E26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_Toc30269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十四</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定标文件</w:t>
      </w:r>
      <w:r>
        <w:rPr>
          <w:rFonts w:hint="eastAsia" w:ascii="宋体" w:hAnsi="宋体" w:eastAsia="宋体" w:cs="宋体"/>
          <w:bCs/>
          <w:spacing w:val="0"/>
          <w:szCs w:val="24"/>
          <w:highlight w:val="none"/>
        </w:rPr>
        <w:t>封面</w:t>
      </w:r>
      <w:r>
        <w:tab/>
      </w:r>
      <w:r>
        <w:fldChar w:fldCharType="begin"/>
      </w:r>
      <w:r>
        <w:instrText xml:space="preserve"> PAGEREF _Toc30269 \h </w:instrText>
      </w:r>
      <w:r>
        <w:fldChar w:fldCharType="separate"/>
      </w:r>
      <w:r>
        <w:t>77</w:t>
      </w:r>
      <w:r>
        <w:fldChar w:fldCharType="end"/>
      </w:r>
      <w:r>
        <w:rPr>
          <w:rFonts w:hint="eastAsia" w:ascii="宋体" w:hAnsi="宋体" w:eastAsia="宋体" w:cs="宋体"/>
          <w:color w:val="auto"/>
          <w:spacing w:val="0"/>
          <w:szCs w:val="24"/>
          <w:highlight w:val="none"/>
        </w:rPr>
        <w:fldChar w:fldCharType="end"/>
      </w:r>
    </w:p>
    <w:p w14:paraId="1553E0F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_Toc31668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十五</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zCs w:val="30"/>
          <w:highlight w:val="none"/>
          <w:lang w:eastAsia="zh-CN"/>
        </w:rPr>
        <w:t>定标因素评审资料</w:t>
      </w:r>
      <w:r>
        <w:tab/>
      </w:r>
      <w:r>
        <w:fldChar w:fldCharType="begin"/>
      </w:r>
      <w:r>
        <w:instrText xml:space="preserve"> PAGEREF _Toc31668 \h </w:instrText>
      </w:r>
      <w:r>
        <w:fldChar w:fldCharType="separate"/>
      </w:r>
      <w:r>
        <w:t>78</w:t>
      </w:r>
      <w:r>
        <w:fldChar w:fldCharType="end"/>
      </w:r>
      <w:r>
        <w:rPr>
          <w:rFonts w:hint="eastAsia" w:ascii="宋体" w:hAnsi="宋体" w:eastAsia="宋体" w:cs="宋体"/>
          <w:color w:val="auto"/>
          <w:spacing w:val="0"/>
          <w:szCs w:val="24"/>
          <w:highlight w:val="none"/>
        </w:rPr>
        <w:fldChar w:fldCharType="end"/>
      </w:r>
    </w:p>
    <w:p w14:paraId="136FE191">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_Toc15085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tab/>
      </w:r>
      <w:r>
        <w:fldChar w:fldCharType="begin"/>
      </w:r>
      <w:r>
        <w:instrText xml:space="preserve"> PAGEREF _Toc15085 \h </w:instrText>
      </w:r>
      <w:r>
        <w:fldChar w:fldCharType="separate"/>
      </w:r>
      <w:r>
        <w:t>79</w:t>
      </w:r>
      <w:r>
        <w:fldChar w:fldCharType="end"/>
      </w:r>
      <w:r>
        <w:rPr>
          <w:rFonts w:hint="eastAsia" w:ascii="宋体" w:hAnsi="宋体" w:eastAsia="宋体" w:cs="宋体"/>
          <w:color w:val="auto"/>
          <w:spacing w:val="0"/>
          <w:szCs w:val="24"/>
          <w:highlight w:val="none"/>
        </w:rPr>
        <w:fldChar w:fldCharType="end"/>
      </w:r>
    </w:p>
    <w:p w14:paraId="7CE8F2FC">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footerReference r:id="rId5"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73063668">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9639CDB">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29781"/>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0C219C57">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25557"/>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451443B4">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758577E">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7B8ED52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0575BA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6E81DB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62C2E40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color w:val="auto"/>
                <w:highlight w:val="none"/>
                <w:lang w:eastAsia="zh-CN"/>
              </w:rPr>
              <w:t>石峡遗址已发掘区展示利用项目施工（</w:t>
            </w:r>
            <w:r>
              <w:rPr>
                <w:rFonts w:hint="eastAsia" w:asciiTheme="minorEastAsia" w:hAnsiTheme="minorEastAsia" w:eastAsiaTheme="minorEastAsia" w:cstheme="minorEastAsia"/>
                <w:color w:val="auto"/>
                <w:highlight w:val="none"/>
                <w:lang w:val="en-US" w:eastAsia="zh-CN"/>
              </w:rPr>
              <w:t>第二次</w:t>
            </w:r>
            <w:r>
              <w:rPr>
                <w:rFonts w:hint="eastAsia" w:asciiTheme="minorEastAsia" w:hAnsiTheme="minorEastAsia" w:eastAsiaTheme="minorEastAsia" w:cstheme="minorEastAsia"/>
                <w:color w:val="auto"/>
                <w:highlight w:val="none"/>
                <w:lang w:eastAsia="zh-CN"/>
              </w:rPr>
              <w:t>）</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28FBECF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6B4C0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31041B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574" w:type="dxa"/>
            <w:vAlign w:val="center"/>
          </w:tcPr>
          <w:p w14:paraId="141A5A40">
            <w:pPr>
              <w:keepNext w:val="0"/>
              <w:keepLines w:val="0"/>
              <w:pageBreakBefore w:val="0"/>
              <w:widowControl w:val="0"/>
              <w:kinsoku/>
              <w:wordWrap w:val="0"/>
              <w:overflowPunct/>
              <w:topLinePunct w:val="0"/>
              <w:autoSpaceDE/>
              <w:autoSpaceDN/>
              <w:bidi w:val="0"/>
              <w:adjustRightInd w:val="0"/>
              <w:snapToGrid w:val="0"/>
              <w:spacing w:line="400" w:lineRule="exact"/>
              <w:ind w:left="210" w:leftChars="100" w:firstLine="0" w:firstLineChars="0"/>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国家文物局、广东省文物局</w:t>
            </w:r>
            <w:r>
              <w:rPr>
                <w:rFonts w:hint="eastAsia" w:asciiTheme="minorEastAsia" w:hAnsiTheme="minorEastAsia" w:eastAsiaTheme="minorEastAsia" w:cstheme="minorEastAsia"/>
                <w:snapToGrid w:val="0"/>
                <w:color w:val="auto"/>
                <w:spacing w:val="0"/>
                <w:kern w:val="0"/>
                <w:sz w:val="21"/>
                <w:szCs w:val="21"/>
                <w:highlight w:val="none"/>
                <w:lang w:val="en-US" w:eastAsia="zh-CN"/>
              </w:rPr>
              <w:br w:type="textWrapping"/>
            </w:r>
            <w:r>
              <w:rPr>
                <w:rFonts w:hint="eastAsia" w:asciiTheme="minorEastAsia" w:hAnsiTheme="minorEastAsia" w:eastAsiaTheme="minorEastAsia" w:cstheme="minorEastAsia"/>
                <w:snapToGrid w:val="0"/>
                <w:color w:val="auto"/>
                <w:spacing w:val="0"/>
                <w:kern w:val="0"/>
                <w:sz w:val="21"/>
                <w:szCs w:val="21"/>
                <w:highlight w:val="none"/>
                <w:lang w:val="en-US" w:eastAsia="zh-CN"/>
              </w:rPr>
              <w:t>文物考函（2023）1111号、粤文物审（2024）112号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2161DF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tcMar>
              <w:top w:w="0" w:type="dxa"/>
              <w:left w:w="0" w:type="dxa"/>
              <w:bottom w:w="0" w:type="dxa"/>
              <w:right w:w="0" w:type="dxa"/>
            </w:tcMar>
            <w:vAlign w:val="center"/>
          </w:tcPr>
          <w:p w14:paraId="17B62E4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马坝镇狮岩路68号马坝人-石峡遗址</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4E051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vAlign w:val="center"/>
          </w:tcPr>
          <w:p w14:paraId="168A8C90">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2512-440205-04-01-909776</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54684E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01683227">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国家文物保护专项资金100%。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1395956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2D9D595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35B8FC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7B44CAF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2173F8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363B6A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待定</w:t>
            </w:r>
          </w:p>
        </w:tc>
      </w:tr>
      <w:bookmarkEnd w:id="4"/>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2495ED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6BD3EE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10845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0067EC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526340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5C660F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4FDA63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7E68E26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场地平整及绿化、遗址发掘区地表模拟及标识基础、展示道路、遗址展示亭、展陈设施、服务设施、电气给排水等。</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15BC852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051183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项目概算总投资777.00万元。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58FC5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2CC19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56FA5F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5B21AC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20F526C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2ACB4A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730个日历天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320C3C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730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4BF2E4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35D8577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3D418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416E216C">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529D0ED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7B9EFA3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Merge w:val="restart"/>
            <w:vAlign w:val="center"/>
          </w:tcPr>
          <w:p w14:paraId="684E171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5B0CC98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37B161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114EAAC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208620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0F7CD5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523371B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4D336B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7FEA00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Align w:val="center"/>
          </w:tcPr>
          <w:p w14:paraId="649F4D0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7FB08D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6A6F9E6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7329718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23CFF5B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08D2DAC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73FF3F4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b w:val="0"/>
                <w:bCs/>
                <w:color w:val="auto"/>
                <w:sz w:val="21"/>
                <w:szCs w:val="21"/>
                <w:highlight w:val="none"/>
              </w:rPr>
              <w:t>本次招标项目招标控制价为人民币(大写)：柒佰贰拾玖万柒仟陆佰零捌元伍角</w:t>
            </w:r>
            <w:r>
              <w:rPr>
                <w:rFonts w:hint="eastAsia" w:ascii="宋体" w:hAnsi="宋体" w:eastAsia="宋体" w:cs="宋体"/>
                <w:b w:val="0"/>
                <w:bCs/>
                <w:color w:val="auto"/>
                <w:sz w:val="21"/>
                <w:szCs w:val="21"/>
                <w:highlight w:val="none"/>
                <w:u w:val="none"/>
              </w:rPr>
              <w:t>（</w:t>
            </w:r>
            <w:r>
              <w:rPr>
                <w:rFonts w:hint="eastAsia" w:ascii="宋体" w:hAnsi="宋体" w:eastAsia="宋体" w:cs="宋体"/>
                <w:b w:val="0"/>
                <w:bCs/>
                <w:color w:val="auto"/>
                <w:sz w:val="21"/>
                <w:szCs w:val="21"/>
                <w:highlight w:val="none"/>
                <w:u w:val="none"/>
                <w:lang w:eastAsia="zh-CN"/>
              </w:rPr>
              <w:t>￥</w:t>
            </w:r>
            <w:r>
              <w:rPr>
                <w:rFonts w:hint="eastAsia" w:ascii="宋体" w:hAnsi="宋体" w:cs="宋体"/>
                <w:b w:val="0"/>
                <w:bCs/>
                <w:color w:val="auto"/>
                <w:sz w:val="21"/>
                <w:szCs w:val="21"/>
                <w:highlight w:val="none"/>
                <w:u w:val="none"/>
                <w:lang w:val="en-US" w:eastAsia="zh-CN"/>
              </w:rPr>
              <w:t>7297608.50</w:t>
            </w:r>
            <w:r>
              <w:rPr>
                <w:rFonts w:hint="eastAsia" w:ascii="宋体" w:hAnsi="宋体" w:eastAsia="宋体" w:cs="宋体"/>
                <w:b w:val="0"/>
                <w:bCs/>
                <w:color w:val="auto"/>
                <w:sz w:val="21"/>
                <w:szCs w:val="21"/>
                <w:highlight w:val="none"/>
                <w:u w:val="none"/>
              </w:rPr>
              <w:t>元）</w:t>
            </w:r>
            <w:r>
              <w:rPr>
                <w:rFonts w:hint="eastAsia" w:ascii="宋体" w:hAnsi="宋体" w:eastAsia="宋体" w:cs="宋体"/>
                <w:b w:val="0"/>
                <w:bCs/>
                <w:color w:val="auto"/>
                <w:sz w:val="21"/>
                <w:szCs w:val="21"/>
                <w:highlight w:val="none"/>
              </w:rPr>
              <w:t>。其中：</w:t>
            </w:r>
            <w:r>
              <w:rPr>
                <w:rFonts w:hint="eastAsia" w:ascii="宋体" w:hAnsi="宋体" w:cs="宋体"/>
                <w:b w:val="0"/>
                <w:bCs/>
                <w:color w:val="auto"/>
                <w:sz w:val="21"/>
                <w:szCs w:val="21"/>
                <w:highlight w:val="none"/>
                <w:lang w:val="en-US" w:eastAsia="zh-CN"/>
              </w:rPr>
              <w:t>暂列金</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302721.33</w:t>
            </w:r>
            <w:r>
              <w:rPr>
                <w:rFonts w:hint="eastAsia" w:ascii="宋体" w:hAnsi="宋体" w:eastAsia="宋体" w:cs="宋体"/>
                <w:b w:val="0"/>
                <w:bCs/>
                <w:color w:val="auto"/>
                <w:sz w:val="21"/>
                <w:szCs w:val="21"/>
                <w:highlight w:val="none"/>
              </w:rPr>
              <w:t>元</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暂估价</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278368.85</w:t>
            </w:r>
            <w:r>
              <w:rPr>
                <w:rFonts w:hint="eastAsia" w:ascii="宋体" w:hAnsi="宋体" w:eastAsia="宋体" w:cs="宋体"/>
                <w:b w:val="0"/>
                <w:bCs/>
                <w:color w:val="auto"/>
                <w:sz w:val="21"/>
                <w:szCs w:val="21"/>
                <w:highlight w:val="none"/>
              </w:rPr>
              <w:t>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绿色施工安全防护措施费</w:t>
            </w:r>
            <w:r>
              <w:rPr>
                <w:rFonts w:hint="eastAsia" w:ascii="宋体" w:hAnsi="宋体" w:cs="宋体"/>
                <w:b w:val="0"/>
                <w:bCs/>
                <w:color w:val="auto"/>
                <w:sz w:val="21"/>
                <w:szCs w:val="21"/>
                <w:highlight w:val="none"/>
                <w:lang w:val="en-US" w:eastAsia="zh-CN"/>
              </w:rPr>
              <w:t>（不得低于）</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274341.78</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eastAsia="zh-CN"/>
              </w:rPr>
              <w:br w:type="textWrapping"/>
            </w:r>
            <w:r>
              <w:rPr>
                <w:rFonts w:hint="eastAsia" w:ascii="宋体" w:hAnsi="宋体" w:eastAsia="宋体" w:cs="宋体"/>
                <w:b/>
                <w:bCs/>
                <w:i w:val="0"/>
                <w:iCs w:val="0"/>
                <w:caps w:val="0"/>
                <w:spacing w:val="0"/>
                <w:sz w:val="24"/>
                <w:szCs w:val="24"/>
                <w:shd w:val="clear" w:color="auto" w:fill="FFFFFF"/>
              </w:rPr>
              <w:t>注：本项目招标控制价由韶关市曲江区投资评审中心提供。</w:t>
            </w:r>
            <w:r>
              <w:rPr>
                <w:rFonts w:hint="eastAsia" w:ascii="宋体" w:hAnsi="宋体" w:eastAsia="宋体" w:cs="宋体"/>
                <w:b/>
                <w:bCs/>
                <w:i w:val="0"/>
                <w:iCs w:val="0"/>
                <w:caps w:val="0"/>
                <w:spacing w:val="0"/>
                <w:sz w:val="24"/>
                <w:szCs w:val="24"/>
                <w:shd w:val="clear" w:color="auto" w:fill="FFFFFF"/>
                <w:lang w:val="en-US" w:eastAsia="zh-CN"/>
              </w:rPr>
              <w:t>招标控制价已按韶曲府办【2025】8号文规定</w:t>
            </w:r>
            <w:r>
              <w:rPr>
                <w:rFonts w:hint="eastAsia" w:ascii="宋体" w:hAnsi="宋体" w:eastAsia="宋体" w:cs="宋体"/>
                <w:b/>
                <w:bCs/>
                <w:i w:val="0"/>
                <w:iCs w:val="0"/>
                <w:caps w:val="0"/>
                <w:spacing w:val="0"/>
                <w:sz w:val="24"/>
                <w:szCs w:val="24"/>
                <w:shd w:val="clear" w:color="auto" w:fill="FFFFFF"/>
              </w:rPr>
              <w:t>土建工程下浮5%</w:t>
            </w:r>
            <w:r>
              <w:rPr>
                <w:rFonts w:hint="eastAsia" w:ascii="宋体" w:hAnsi="宋体" w:eastAsia="宋体" w:cs="宋体"/>
                <w:b/>
                <w:bCs/>
                <w:i w:val="0"/>
                <w:iCs w:val="0"/>
                <w:caps w:val="0"/>
                <w:spacing w:val="0"/>
                <w:sz w:val="24"/>
                <w:szCs w:val="24"/>
                <w:shd w:val="clear" w:color="auto" w:fill="FFFFFF"/>
                <w:lang w:eastAsia="zh-CN"/>
              </w:rPr>
              <w:t>，</w:t>
            </w:r>
            <w:r>
              <w:rPr>
                <w:rFonts w:hint="eastAsia" w:ascii="宋体" w:hAnsi="宋体" w:eastAsia="宋体" w:cs="宋体"/>
                <w:b/>
                <w:bCs/>
                <w:i w:val="0"/>
                <w:iCs w:val="0"/>
                <w:caps w:val="0"/>
                <w:spacing w:val="0"/>
                <w:sz w:val="24"/>
                <w:szCs w:val="24"/>
                <w:shd w:val="clear" w:color="auto" w:fill="FFFFFF"/>
                <w:lang w:val="en-US" w:eastAsia="zh-CN"/>
              </w:rPr>
              <w:t>绿化、</w:t>
            </w:r>
            <w:r>
              <w:rPr>
                <w:rFonts w:hint="eastAsia" w:ascii="宋体" w:hAnsi="宋体" w:eastAsia="宋体" w:cs="宋体"/>
                <w:b/>
                <w:bCs/>
                <w:i w:val="0"/>
                <w:iCs w:val="0"/>
                <w:caps w:val="0"/>
                <w:spacing w:val="0"/>
                <w:sz w:val="24"/>
                <w:szCs w:val="24"/>
                <w:shd w:val="clear" w:color="auto" w:fill="FFFFFF"/>
              </w:rPr>
              <w:t>安装工程下浮8%作为本项目招标控制价，投标人自行考虑报价。</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14D57F0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4EDFFA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449D52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270EDC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□其他：</w:t>
            </w:r>
          </w:p>
          <w:p w14:paraId="134467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78D804F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75D5610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09F129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AE8FF5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☑人工费、材料费、机具费、管理费、利润、措施项目费（不含安全生产措施费费）投标人漏报或不报，招标人视为有关费用 已包括在工程量清单项目的其它单价及合价中不予另外增加。</w:t>
            </w:r>
          </w:p>
          <w:p w14:paraId="1D4B24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2BDA8B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2A703940">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169F8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6A66A4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39B3D20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728110B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471E7B1F">
            <w:pPr>
              <w:wordWrap w:val="0"/>
              <w:adjustRightInd w:val="0"/>
              <w:snapToGrid w:val="0"/>
              <w:spacing w:line="400" w:lineRule="exact"/>
              <w:ind w:firstLine="210" w:firstLineChars="100"/>
              <w:rPr>
                <w:rFonts w:hint="eastAsia" w:ascii="宋体" w:hAnsi="宋体" w:eastAsia="宋体" w:cs="宋体"/>
                <w:snapToGrid w:val="0"/>
                <w:color w:val="auto"/>
                <w:kern w:val="0"/>
                <w:sz w:val="21"/>
                <w:szCs w:val="24"/>
                <w:highlight w:val="none"/>
              </w:rPr>
            </w:pPr>
            <w:r>
              <w:rPr>
                <w:rFonts w:hint="eastAsia" w:ascii="宋体" w:hAnsi="宋体" w:eastAsia="宋体" w:cs="宋体"/>
                <w:snapToGrid w:val="0"/>
                <w:color w:val="auto"/>
                <w:kern w:val="0"/>
                <w:sz w:val="21"/>
                <w:szCs w:val="24"/>
                <w:highlight w:val="none"/>
              </w:rPr>
              <w:t>1．本次招标</w:t>
            </w:r>
            <w:r>
              <w:rPr>
                <w:rFonts w:hint="eastAsia" w:ascii="宋体" w:hAnsi="宋体" w:eastAsia="宋体" w:cs="宋体"/>
                <w:b/>
                <w:bCs/>
                <w:snapToGrid w:val="0"/>
                <w:color w:val="auto"/>
                <w:kern w:val="0"/>
                <w:sz w:val="21"/>
                <w:szCs w:val="24"/>
                <w:highlight w:val="none"/>
                <w:u w:val="single"/>
              </w:rPr>
              <w:t>不接受</w:t>
            </w:r>
            <w:r>
              <w:rPr>
                <w:rFonts w:hint="eastAsia" w:ascii="宋体" w:hAnsi="宋体" w:eastAsia="宋体" w:cs="宋体"/>
                <w:snapToGrid w:val="0"/>
                <w:color w:val="auto"/>
                <w:kern w:val="0"/>
                <w:sz w:val="21"/>
                <w:szCs w:val="24"/>
                <w:highlight w:val="none"/>
              </w:rPr>
              <w:t>联合体投标。</w:t>
            </w:r>
          </w:p>
          <w:p w14:paraId="60C45748">
            <w:pPr>
              <w:wordWrap w:val="0"/>
              <w:adjustRightInd w:val="0"/>
              <w:snapToGrid w:val="0"/>
              <w:spacing w:line="400" w:lineRule="exact"/>
              <w:ind w:firstLine="211" w:firstLineChars="100"/>
              <w:jc w:val="left"/>
              <w:rPr>
                <w:rFonts w:hint="eastAsia" w:ascii="宋体" w:hAnsi="宋体" w:eastAsia="宋体" w:cs="宋体"/>
                <w:b/>
                <w:bCs/>
                <w:snapToGrid w:val="0"/>
                <w:color w:val="auto"/>
                <w:kern w:val="0"/>
                <w:sz w:val="21"/>
                <w:highlight w:val="none"/>
              </w:rPr>
            </w:pPr>
            <w:r>
              <w:rPr>
                <w:rFonts w:hint="eastAsia" w:ascii="宋体" w:hAnsi="宋体" w:eastAsia="宋体" w:cs="宋体"/>
                <w:b/>
                <w:bCs/>
                <w:snapToGrid w:val="0"/>
                <w:color w:val="auto"/>
                <w:kern w:val="0"/>
                <w:sz w:val="21"/>
                <w:highlight w:val="none"/>
              </w:rPr>
              <w:t>2．</w:t>
            </w:r>
            <w:r>
              <w:rPr>
                <w:rFonts w:hint="eastAsia" w:ascii="宋体" w:hAnsi="宋体" w:eastAsia="宋体" w:cs="宋体"/>
                <w:b/>
                <w:bCs/>
                <w:color w:val="auto"/>
                <w:sz w:val="21"/>
                <w:szCs w:val="21"/>
                <w:highlight w:val="none"/>
              </w:rPr>
              <w:t>资格资质要求</w:t>
            </w:r>
          </w:p>
          <w:p w14:paraId="6639B8BC">
            <w:pPr>
              <w:wordWrap w:val="0"/>
              <w:adjustRightInd w:val="0"/>
              <w:snapToGrid w:val="0"/>
              <w:spacing w:line="360" w:lineRule="auto"/>
              <w:ind w:firstLine="210" w:firstLineChars="100"/>
              <w:jc w:val="left"/>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2.1 投标人须具备独立法人资格，按国家法律经营。</w:t>
            </w:r>
          </w:p>
          <w:p w14:paraId="218E3E09">
            <w:pPr>
              <w:wordWrap w:val="0"/>
              <w:adjustRightInd w:val="0"/>
              <w:snapToGrid w:val="0"/>
              <w:spacing w:line="360" w:lineRule="auto"/>
              <w:ind w:firstLine="210" w:firstLineChars="100"/>
              <w:jc w:val="left"/>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2.2 投标人须持有</w:t>
            </w:r>
            <w:r>
              <w:rPr>
                <w:rFonts w:hint="eastAsia" w:ascii="宋体" w:hAnsi="宋体" w:eastAsia="宋体" w:cs="宋体"/>
                <w:snapToGrid w:val="0"/>
                <w:color w:val="auto"/>
                <w:kern w:val="0"/>
                <w:sz w:val="21"/>
                <w:highlight w:val="none"/>
                <w:lang w:val="en-US" w:eastAsia="zh-CN"/>
              </w:rPr>
              <w:t>文物主管部门颁发的其企业资质证书以及</w:t>
            </w:r>
            <w:r>
              <w:rPr>
                <w:rFonts w:hint="eastAsia" w:ascii="宋体" w:hAnsi="宋体" w:eastAsia="宋体" w:cs="宋体"/>
                <w:snapToGrid w:val="0"/>
                <w:color w:val="auto"/>
                <w:kern w:val="0"/>
                <w:sz w:val="21"/>
                <w:highlight w:val="none"/>
              </w:rPr>
              <w:t>建设行政主管部门颁发的安全生产许可证。</w:t>
            </w:r>
          </w:p>
          <w:p w14:paraId="481B81ED">
            <w:pPr>
              <w:pStyle w:val="2"/>
              <w:spacing w:line="360" w:lineRule="auto"/>
              <w:ind w:left="210" w:leftChars="100" w:firstLine="0" w:firstLineChars="0"/>
              <w:rPr>
                <w:rFonts w:hint="eastAsia"/>
                <w:color w:val="auto"/>
                <w:highlight w:val="none"/>
              </w:rPr>
            </w:pPr>
            <w:bookmarkStart w:id="5" w:name="_Toc2187"/>
            <w:r>
              <w:rPr>
                <w:rFonts w:hint="eastAsia" w:ascii="宋体" w:hAnsi="宋体" w:eastAsia="宋体" w:cs="宋体"/>
                <w:snapToGrid w:val="0"/>
                <w:color w:val="auto"/>
                <w:kern w:val="0"/>
                <w:sz w:val="21"/>
                <w:highlight w:val="none"/>
              </w:rPr>
              <w:t>2.3</w:t>
            </w:r>
            <w:r>
              <w:rPr>
                <w:rFonts w:hint="eastAsia" w:ascii="宋体" w:hAnsi="宋体" w:eastAsia="宋体" w:cs="宋体"/>
                <w:color w:val="auto"/>
                <w:sz w:val="21"/>
                <w:szCs w:val="21"/>
                <w:highlight w:val="none"/>
              </w:rPr>
              <w:t>投标人须具</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备以下资质：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①</w:t>
            </w:r>
            <w:r>
              <w:rPr>
                <w:rFonts w:hint="eastAsia" w:ascii="宋体" w:hAnsi="宋体" w:eastAsia="宋体" w:cs="宋体"/>
                <w:b/>
                <w:bCs/>
                <w:snapToGrid w:val="0"/>
                <w:color w:val="auto"/>
                <w:kern w:val="0"/>
                <w:sz w:val="21"/>
                <w:szCs w:val="21"/>
                <w:highlight w:val="none"/>
                <w:u w:val="single"/>
                <w:lang w:val="en-US" w:eastAsia="en-US" w:bidi="ar-SA"/>
              </w:rPr>
              <w:t>文物保护工程施工一级资质（业务范围须包括：古文化遗址古墓葬）</w:t>
            </w:r>
            <w:bookmarkEnd w:id="5"/>
          </w:p>
          <w:p w14:paraId="1415A5E4">
            <w:pPr>
              <w:wordWrap w:val="0"/>
              <w:adjustRightInd w:val="0"/>
              <w:snapToGrid w:val="0"/>
              <w:spacing w:line="360" w:lineRule="auto"/>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BEAED63">
            <w:pPr>
              <w:wordWrap w:val="0"/>
              <w:adjustRightInd w:val="0"/>
              <w:snapToGrid w:val="0"/>
              <w:spacing w:line="400" w:lineRule="exact"/>
              <w:ind w:firstLine="210" w:firstLineChars="100"/>
              <w:rPr>
                <w:rFonts w:hint="eastAsia" w:ascii="宋体" w:hAnsi="宋体" w:eastAsia="宋体" w:cs="宋体"/>
                <w:snapToGrid w:val="0"/>
                <w:color w:val="auto"/>
                <w:kern w:val="0"/>
                <w:sz w:val="21"/>
                <w:highlight w:val="none"/>
                <w:lang w:eastAsia="zh-CN"/>
              </w:rPr>
            </w:pPr>
            <w:r>
              <w:rPr>
                <w:rFonts w:hint="eastAsia" w:ascii="宋体" w:hAnsi="宋体" w:eastAsia="宋体" w:cs="宋体"/>
                <w:snapToGrid w:val="0"/>
                <w:color w:val="auto"/>
                <w:kern w:val="0"/>
                <w:sz w:val="21"/>
                <w:highlight w:val="none"/>
              </w:rPr>
              <w:t>3．相关人员要求</w:t>
            </w:r>
          </w:p>
          <w:p w14:paraId="1C33C7C4">
            <w:pPr>
              <w:wordWrap w:val="0"/>
              <w:adjustRightInd w:val="0"/>
              <w:snapToGrid w:val="0"/>
              <w:spacing w:line="400" w:lineRule="exact"/>
              <w:ind w:left="210" w:leftChars="100" w:firstLine="0" w:firstLineChars="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3.1 拟派项目经理</w:t>
            </w:r>
            <w:r>
              <w:rPr>
                <w:rFonts w:hint="eastAsia" w:ascii="宋体" w:hAnsi="宋体" w:eastAsia="宋体" w:cs="宋体"/>
                <w:snapToGrid w:val="0"/>
                <w:color w:val="auto"/>
                <w:kern w:val="0"/>
                <w:sz w:val="21"/>
                <w:highlight w:val="none"/>
                <w:lang w:val="en-US" w:eastAsia="zh-CN"/>
              </w:rPr>
              <w:t>须具备</w:t>
            </w:r>
            <w:r>
              <w:rPr>
                <w:rFonts w:hint="eastAsia" w:ascii="宋体" w:hAnsi="宋体" w:eastAsia="宋体" w:cs="宋体"/>
                <w:snapToGrid w:val="0"/>
                <w:color w:val="auto"/>
                <w:kern w:val="0"/>
                <w:sz w:val="21"/>
                <w:highlight w:val="none"/>
              </w:rPr>
              <w:t>文物保护工程责任工程师（业务范围须包括：</w:t>
            </w:r>
            <w:r>
              <w:rPr>
                <w:rFonts w:hint="eastAsia" w:ascii="宋体" w:hAnsi="宋体" w:eastAsia="宋体" w:cs="宋体"/>
                <w:b/>
                <w:bCs/>
                <w:snapToGrid w:val="0"/>
                <w:color w:val="auto"/>
                <w:kern w:val="0"/>
                <w:sz w:val="21"/>
                <w:highlight w:val="none"/>
              </w:rPr>
              <w:t>古文化遗址古墓葬</w:t>
            </w:r>
            <w:r>
              <w:rPr>
                <w:rFonts w:hint="eastAsia" w:ascii="宋体" w:hAnsi="宋体" w:eastAsia="宋体" w:cs="宋体"/>
                <w:snapToGrid w:val="0"/>
                <w:color w:val="auto"/>
                <w:kern w:val="0"/>
                <w:sz w:val="21"/>
                <w:highlight w:val="none"/>
              </w:rPr>
              <w:t>）</w:t>
            </w:r>
            <w:r>
              <w:rPr>
                <w:rFonts w:hint="eastAsia" w:ascii="宋体" w:hAnsi="宋体" w:eastAsia="宋体" w:cs="宋体"/>
                <w:snapToGrid w:val="0"/>
                <w:color w:val="auto"/>
                <w:kern w:val="0"/>
                <w:sz w:val="21"/>
                <w:highlight w:val="none"/>
                <w:lang w:eastAsia="zh-CN"/>
              </w:rPr>
              <w:t>。</w:t>
            </w:r>
          </w:p>
          <w:p w14:paraId="34CC57DF">
            <w:pPr>
              <w:wordWrap w:val="0"/>
              <w:adjustRightInd w:val="0"/>
              <w:snapToGrid w:val="0"/>
              <w:spacing w:line="400" w:lineRule="exact"/>
              <w:ind w:left="210" w:leftChars="100" w:firstLine="0" w:firstLineChars="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3.2 拟派项目技术负责人须</w:t>
            </w:r>
            <w:r>
              <w:rPr>
                <w:rFonts w:hint="eastAsia" w:ascii="宋体" w:hAnsi="宋体" w:eastAsia="宋体" w:cs="宋体"/>
                <w:snapToGrid w:val="0"/>
                <w:color w:val="auto"/>
                <w:kern w:val="0"/>
                <w:sz w:val="21"/>
                <w:highlight w:val="none"/>
                <w:lang w:val="en-US" w:eastAsia="zh-CN"/>
              </w:rPr>
              <w:t>同时</w:t>
            </w:r>
            <w:r>
              <w:rPr>
                <w:rFonts w:hint="eastAsia" w:ascii="宋体" w:hAnsi="宋体" w:eastAsia="宋体" w:cs="宋体"/>
                <w:snapToGrid w:val="0"/>
                <w:color w:val="auto"/>
                <w:kern w:val="0"/>
                <w:sz w:val="21"/>
                <w:highlight w:val="none"/>
              </w:rPr>
              <w:t>具备</w:t>
            </w:r>
            <w:r>
              <w:rPr>
                <w:rFonts w:hint="eastAsia" w:ascii="宋体" w:hAnsi="宋体" w:eastAsia="宋体" w:cs="宋体"/>
                <w:b/>
                <w:bCs/>
                <w:snapToGrid w:val="0"/>
                <w:color w:val="auto"/>
                <w:kern w:val="0"/>
                <w:sz w:val="21"/>
                <w:highlight w:val="none"/>
                <w:u w:val="single"/>
              </w:rPr>
              <w:t>工程</w:t>
            </w:r>
            <w:r>
              <w:rPr>
                <w:rFonts w:hint="eastAsia" w:ascii="宋体" w:hAnsi="宋体" w:eastAsia="宋体" w:cs="宋体"/>
                <w:b/>
                <w:bCs/>
                <w:snapToGrid w:val="0"/>
                <w:color w:val="auto"/>
                <w:kern w:val="0"/>
                <w:sz w:val="21"/>
                <w:highlight w:val="none"/>
                <w:u w:val="single"/>
                <w:lang w:val="en-US" w:eastAsia="zh-CN"/>
              </w:rPr>
              <w:t>类</w:t>
            </w:r>
            <w:r>
              <w:rPr>
                <w:rFonts w:hint="eastAsia" w:ascii="宋体" w:hAnsi="宋体" w:eastAsia="宋体" w:cs="宋体"/>
                <w:snapToGrid w:val="0"/>
                <w:color w:val="auto"/>
                <w:kern w:val="0"/>
                <w:sz w:val="21"/>
                <w:highlight w:val="none"/>
              </w:rPr>
              <w:t>相关专业中级或以上技术职称。</w:t>
            </w:r>
          </w:p>
          <w:p w14:paraId="566C4A62">
            <w:pPr>
              <w:wordWrap w:val="0"/>
              <w:adjustRightInd w:val="0"/>
              <w:snapToGrid w:val="0"/>
              <w:spacing w:line="360" w:lineRule="exact"/>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 xml:space="preserve">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人。</w:t>
            </w:r>
          </w:p>
          <w:p w14:paraId="3AA76F72">
            <w:pPr>
              <w:wordWrap w:val="0"/>
              <w:adjustRightInd w:val="0"/>
              <w:snapToGrid w:val="0"/>
              <w:spacing w:line="400" w:lineRule="exact"/>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 xml:space="preserve">3.4 </w:t>
            </w:r>
            <w:r>
              <w:rPr>
                <w:rFonts w:hint="eastAsia" w:ascii="宋体" w:hAnsi="宋体" w:eastAsia="宋体" w:cs="宋体"/>
                <w:color w:val="auto"/>
                <w:sz w:val="21"/>
                <w:szCs w:val="21"/>
                <w:highlight w:val="none"/>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8CF7C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756E1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68C2B4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44593C8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59CFF1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2AE6D6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8CFB6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41932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70099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062B5C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76338A8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2A915A3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2D494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335907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146AB4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730679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4202D8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87EA4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10"/>
              <w:gridCol w:w="337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60DBAAF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510" w:type="dxa"/>
                  <w:vAlign w:val="center"/>
                </w:tcPr>
                <w:p w14:paraId="7B0547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371" w:type="dxa"/>
                  <w:vAlign w:val="center"/>
                </w:tcPr>
                <w:p w14:paraId="4FE91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1DB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5735F3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510" w:type="dxa"/>
                  <w:vAlign w:val="center"/>
                </w:tcPr>
                <w:p w14:paraId="25D93D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c>
                <w:tcPr>
                  <w:tcW w:w="3371" w:type="dxa"/>
                  <w:vAlign w:val="center"/>
                </w:tcPr>
                <w:p w14:paraId="42F41E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25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27F653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510" w:type="dxa"/>
                  <w:vAlign w:val="center"/>
                </w:tcPr>
                <w:p w14:paraId="74BC46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c>
                <w:tcPr>
                  <w:tcW w:w="3371" w:type="dxa"/>
                  <w:vAlign w:val="center"/>
                </w:tcPr>
                <w:p w14:paraId="15ADD9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bl>
          <w:p w14:paraId="7E7C59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15FDD1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4CB5E4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3D83EF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4BFBD8C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yellow"/>
                <w:lang w:eastAsia="zh-CN"/>
              </w:rPr>
            </w:pPr>
            <w:r>
              <w:rPr>
                <w:rFonts w:hint="eastAsia" w:asciiTheme="minorEastAsia" w:hAnsiTheme="minorEastAsia" w:eastAsiaTheme="minorEastAsia" w:cstheme="minorEastAsia"/>
                <w:snapToGrid w:val="0"/>
                <w:color w:val="auto"/>
                <w:spacing w:val="0"/>
                <w:kern w:val="0"/>
                <w:sz w:val="21"/>
                <w:szCs w:val="21"/>
                <w:highlight w:val="yellow"/>
                <w:lang w:eastAsia="zh-CN"/>
              </w:rPr>
              <w:t>投标文件组成</w:t>
            </w:r>
          </w:p>
        </w:tc>
        <w:tc>
          <w:tcPr>
            <w:tcW w:w="7574" w:type="dxa"/>
            <w:vAlign w:val="center"/>
          </w:tcPr>
          <w:p w14:paraId="142ADE0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yellow"/>
                <w:lang w:eastAsia="zh-CN"/>
              </w:rPr>
            </w:pPr>
            <w:r>
              <w:rPr>
                <w:rFonts w:hint="eastAsia" w:asciiTheme="minorEastAsia" w:hAnsiTheme="minorEastAsia" w:eastAsiaTheme="minorEastAsia" w:cstheme="minorEastAsia"/>
                <w:snapToGrid w:val="0"/>
                <w:color w:val="auto"/>
                <w:spacing w:val="0"/>
                <w:kern w:val="0"/>
                <w:sz w:val="21"/>
                <w:szCs w:val="21"/>
                <w:highlight w:val="yellow"/>
                <w:lang w:eastAsia="zh-CN"/>
              </w:rPr>
              <w:t>投标文件包括商务标书、经济标书、施工组织设计、</w:t>
            </w:r>
            <w:r>
              <w:rPr>
                <w:rFonts w:hint="eastAsia" w:asciiTheme="minorEastAsia" w:hAnsiTheme="minorEastAsia" w:eastAsiaTheme="minorEastAsia" w:cstheme="minorEastAsia"/>
                <w:snapToGrid w:val="0"/>
                <w:color w:val="auto"/>
                <w:spacing w:val="0"/>
                <w:kern w:val="0"/>
                <w:sz w:val="21"/>
                <w:szCs w:val="21"/>
                <w:highlight w:val="yellow"/>
                <w:lang w:val="en-US" w:eastAsia="zh-CN"/>
              </w:rPr>
              <w:t>定标文件四</w:t>
            </w:r>
            <w:r>
              <w:rPr>
                <w:rFonts w:hint="eastAsia" w:asciiTheme="minorEastAsia" w:hAnsiTheme="minorEastAsia" w:eastAsiaTheme="minorEastAsia" w:cstheme="minorEastAsia"/>
                <w:snapToGrid w:val="0"/>
                <w:color w:val="auto"/>
                <w:spacing w:val="0"/>
                <w:kern w:val="0"/>
                <w:sz w:val="21"/>
                <w:szCs w:val="21"/>
                <w:highlight w:val="yellow"/>
                <w:lang w:eastAsia="zh-CN"/>
              </w:rPr>
              <w:t>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0FC3CC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4C6491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65ACF6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yellow"/>
                <w:lang w:val="en-US" w:eastAsia="zh-CN"/>
              </w:rPr>
            </w:pPr>
            <w:r>
              <w:rPr>
                <w:rFonts w:hint="eastAsia" w:asciiTheme="minorEastAsia" w:hAnsiTheme="minorEastAsia" w:eastAsiaTheme="minorEastAsia" w:cstheme="minorEastAsia"/>
                <w:snapToGrid w:val="0"/>
                <w:color w:val="auto"/>
                <w:spacing w:val="0"/>
                <w:kern w:val="0"/>
                <w:sz w:val="21"/>
                <w:szCs w:val="21"/>
                <w:highlight w:val="yellow"/>
                <w:lang w:eastAsia="zh-CN"/>
              </w:rPr>
              <w:t>评标委员会</w:t>
            </w:r>
            <w:r>
              <w:rPr>
                <w:rFonts w:hint="eastAsia" w:asciiTheme="minorEastAsia" w:hAnsiTheme="minorEastAsia" w:eastAsiaTheme="minorEastAsia" w:cstheme="minorEastAsia"/>
                <w:snapToGrid w:val="0"/>
                <w:color w:val="auto"/>
                <w:spacing w:val="0"/>
                <w:kern w:val="0"/>
                <w:sz w:val="21"/>
                <w:szCs w:val="21"/>
                <w:highlight w:val="yellow"/>
                <w:lang w:val="en-US" w:eastAsia="zh-CN"/>
              </w:rPr>
              <w:t>及定标委员会</w:t>
            </w:r>
          </w:p>
        </w:tc>
        <w:tc>
          <w:tcPr>
            <w:tcW w:w="7574" w:type="dxa"/>
            <w:vAlign w:val="top"/>
          </w:tcPr>
          <w:p w14:paraId="61B142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yellow"/>
                <w:lang w:eastAsia="zh-CN"/>
              </w:rPr>
            </w:pPr>
            <w:r>
              <w:rPr>
                <w:rFonts w:hint="eastAsia" w:asciiTheme="minorEastAsia" w:hAnsiTheme="minorEastAsia" w:eastAsiaTheme="minorEastAsia" w:cstheme="minorEastAsia"/>
                <w:snapToGrid w:val="0"/>
                <w:color w:val="auto"/>
                <w:spacing w:val="0"/>
                <w:kern w:val="0"/>
                <w:sz w:val="21"/>
                <w:szCs w:val="21"/>
                <w:highlight w:val="yellow"/>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yellow"/>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yellow"/>
                <w:lang w:eastAsia="zh-CN"/>
              </w:rPr>
              <w:t>中随机抽取，其中技术类专家 3 人，经济类专家 2 人。</w:t>
            </w:r>
            <w:r>
              <w:rPr>
                <w:rFonts w:hint="eastAsia" w:asciiTheme="minorEastAsia" w:hAnsiTheme="minorEastAsia" w:eastAsiaTheme="minorEastAsia" w:cstheme="minorEastAsia"/>
                <w:snapToGrid w:val="0"/>
                <w:color w:val="auto"/>
                <w:spacing w:val="0"/>
                <w:kern w:val="0"/>
                <w:sz w:val="21"/>
                <w:szCs w:val="21"/>
                <w:highlight w:val="yellow"/>
                <w:lang w:eastAsia="zh-CN"/>
              </w:rPr>
              <w:br w:type="textWrapping"/>
            </w:r>
            <w:r>
              <w:rPr>
                <w:rFonts w:hint="eastAsia" w:asciiTheme="minorEastAsia" w:hAnsiTheme="minorEastAsia" w:eastAsiaTheme="minorEastAsia" w:cstheme="minorEastAsia"/>
                <w:snapToGrid w:val="0"/>
                <w:color w:val="auto"/>
                <w:spacing w:val="0"/>
                <w:kern w:val="0"/>
                <w:sz w:val="21"/>
                <w:szCs w:val="21"/>
                <w:highlight w:val="yellow"/>
                <w:lang w:val="en-US" w:eastAsia="zh-CN"/>
              </w:rPr>
              <w:t xml:space="preserve"> 本</w:t>
            </w:r>
            <w:r>
              <w:rPr>
                <w:rFonts w:hint="eastAsia" w:asciiTheme="minorEastAsia" w:hAnsiTheme="minorEastAsia" w:eastAsiaTheme="minorEastAsia" w:cstheme="minorEastAsia"/>
                <w:snapToGrid w:val="0"/>
                <w:color w:val="auto"/>
                <w:spacing w:val="0"/>
                <w:kern w:val="0"/>
                <w:sz w:val="21"/>
                <w:szCs w:val="21"/>
                <w:highlight w:val="yellow"/>
                <w:lang w:eastAsia="zh-CN"/>
              </w:rPr>
              <w:t xml:space="preserve">项目定标委员会组成人员为 </w:t>
            </w:r>
            <w:r>
              <w:rPr>
                <w:rFonts w:hint="eastAsia" w:asciiTheme="minorEastAsia" w:hAnsiTheme="minorEastAsia" w:eastAsiaTheme="minorEastAsia" w:cstheme="minorEastAsia"/>
                <w:snapToGrid w:val="0"/>
                <w:color w:val="auto"/>
                <w:spacing w:val="0"/>
                <w:kern w:val="0"/>
                <w:sz w:val="21"/>
                <w:szCs w:val="21"/>
                <w:highlight w:val="yellow"/>
                <w:lang w:val="en-US" w:eastAsia="zh-CN"/>
              </w:rPr>
              <w:t xml:space="preserve">7 </w:t>
            </w:r>
            <w:r>
              <w:rPr>
                <w:rFonts w:hint="eastAsia" w:asciiTheme="minorEastAsia" w:hAnsiTheme="minorEastAsia" w:eastAsiaTheme="minorEastAsia" w:cstheme="minorEastAsia"/>
                <w:snapToGrid w:val="0"/>
                <w:color w:val="auto"/>
                <w:spacing w:val="0"/>
                <w:kern w:val="0"/>
                <w:sz w:val="21"/>
                <w:szCs w:val="21"/>
                <w:highlight w:val="yellow"/>
                <w:lang w:eastAsia="zh-CN"/>
              </w:rPr>
              <w:t>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keepNext w:val="0"/>
              <w:keepLines w:val="0"/>
              <w:pageBreakBefore w:val="0"/>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3720AA4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yellow"/>
                <w:lang w:val="en-US" w:eastAsia="zh-CN"/>
              </w:rPr>
            </w:pPr>
            <w:r>
              <w:rPr>
                <w:rFonts w:hint="eastAsia" w:asciiTheme="minorEastAsia" w:hAnsiTheme="minorEastAsia" w:eastAsiaTheme="minorEastAsia" w:cstheme="minorEastAsia"/>
                <w:snapToGrid w:val="0"/>
                <w:color w:val="auto"/>
                <w:spacing w:val="0"/>
                <w:kern w:val="0"/>
                <w:sz w:val="21"/>
                <w:szCs w:val="21"/>
                <w:highlight w:val="yellow"/>
                <w:lang w:eastAsia="zh-CN"/>
              </w:rPr>
              <w:t>评标方法</w:t>
            </w:r>
            <w:r>
              <w:rPr>
                <w:rFonts w:hint="eastAsia" w:asciiTheme="minorEastAsia" w:hAnsiTheme="minorEastAsia" w:eastAsiaTheme="minorEastAsia" w:cstheme="minorEastAsia"/>
                <w:snapToGrid w:val="0"/>
                <w:color w:val="auto"/>
                <w:spacing w:val="0"/>
                <w:kern w:val="0"/>
                <w:sz w:val="21"/>
                <w:szCs w:val="21"/>
                <w:highlight w:val="yellow"/>
                <w:lang w:val="en-US" w:eastAsia="zh-CN"/>
              </w:rPr>
              <w:t>及定标方法</w:t>
            </w:r>
          </w:p>
        </w:tc>
        <w:tc>
          <w:tcPr>
            <w:tcW w:w="7574" w:type="dxa"/>
            <w:vAlign w:val="center"/>
          </w:tcPr>
          <w:p w14:paraId="3B1753D9">
            <w:pPr>
              <w:keepNext w:val="0"/>
              <w:keepLines w:val="0"/>
              <w:pageBreakBefore w:val="0"/>
              <w:widowControl w:val="0"/>
              <w:kinsoku/>
              <w:wordWrap w:val="0"/>
              <w:overflowPunct/>
              <w:topLinePunct w:val="0"/>
              <w:autoSpaceDE/>
              <w:autoSpaceDN/>
              <w:bidi w:val="0"/>
              <w:adjustRightInd w:val="0"/>
              <w:snapToGrid w:val="0"/>
              <w:spacing w:line="400" w:lineRule="exact"/>
              <w:ind w:left="226" w:leftChars="100" w:hanging="16" w:hangingChars="8"/>
              <w:jc w:val="both"/>
              <w:textAlignment w:val="auto"/>
              <w:rPr>
                <w:rFonts w:hint="default" w:asciiTheme="minorEastAsia" w:hAnsiTheme="minorEastAsia" w:eastAsiaTheme="minorEastAsia" w:cstheme="minorEastAsia"/>
                <w:snapToGrid w:val="0"/>
                <w:color w:val="auto"/>
                <w:spacing w:val="0"/>
                <w:kern w:val="0"/>
                <w:sz w:val="21"/>
                <w:szCs w:val="21"/>
                <w:highlight w:val="yellow"/>
                <w:lang w:val="en-US" w:eastAsia="zh-CN"/>
              </w:rPr>
            </w:pPr>
            <w:r>
              <w:rPr>
                <w:rFonts w:hint="eastAsia" w:asciiTheme="minorEastAsia" w:hAnsiTheme="minorEastAsia" w:eastAsiaTheme="minorEastAsia" w:cstheme="minorEastAsia"/>
                <w:snapToGrid w:val="0"/>
                <w:color w:val="auto"/>
                <w:spacing w:val="0"/>
                <w:kern w:val="0"/>
                <w:sz w:val="21"/>
                <w:szCs w:val="21"/>
                <w:highlight w:val="yellow"/>
                <w:lang w:val="en-US" w:eastAsia="zh-CN"/>
              </w:rPr>
              <w:t>评标方法：</w:t>
            </w:r>
            <w:r>
              <w:rPr>
                <w:rFonts w:hint="eastAsia" w:asciiTheme="minorEastAsia" w:hAnsiTheme="minorEastAsia" w:eastAsiaTheme="minorEastAsia" w:cstheme="minorEastAsia"/>
                <w:snapToGrid w:val="0"/>
                <w:color w:val="auto"/>
                <w:spacing w:val="0"/>
                <w:kern w:val="0"/>
                <w:sz w:val="21"/>
                <w:szCs w:val="21"/>
                <w:highlight w:val="yellow"/>
                <w:lang w:eastAsia="zh-CN"/>
              </w:rPr>
              <w:t>□ A＋B 值评标法  □经评审的最低投标价法   ☑综合评估法</w:t>
            </w:r>
            <w:r>
              <w:rPr>
                <w:rFonts w:hint="eastAsia" w:asciiTheme="minorEastAsia" w:hAnsiTheme="minorEastAsia" w:eastAsiaTheme="minorEastAsia" w:cstheme="minorEastAsia"/>
                <w:snapToGrid w:val="0"/>
                <w:color w:val="auto"/>
                <w:spacing w:val="0"/>
                <w:kern w:val="0"/>
                <w:sz w:val="21"/>
                <w:szCs w:val="21"/>
                <w:highlight w:val="yellow"/>
                <w:lang w:eastAsia="zh-CN"/>
              </w:rPr>
              <w:br w:type="textWrapping"/>
            </w:r>
            <w:r>
              <w:rPr>
                <w:rFonts w:hint="eastAsia" w:asciiTheme="minorEastAsia" w:hAnsiTheme="minorEastAsia" w:eastAsiaTheme="minorEastAsia" w:cstheme="minorEastAsia"/>
                <w:snapToGrid w:val="0"/>
                <w:color w:val="auto"/>
                <w:spacing w:val="0"/>
                <w:kern w:val="0"/>
                <w:sz w:val="21"/>
                <w:szCs w:val="21"/>
                <w:highlight w:val="yellow"/>
                <w:lang w:val="en-US" w:eastAsia="zh-CN"/>
              </w:rPr>
              <w:t>定标方法：</w:t>
            </w:r>
            <w:r>
              <w:rPr>
                <w:rFonts w:hint="eastAsia" w:asciiTheme="minorEastAsia" w:hAnsiTheme="minorEastAsia" w:eastAsiaTheme="minorEastAsia" w:cstheme="minorEastAsia"/>
                <w:snapToGrid w:val="0"/>
                <w:color w:val="auto"/>
                <w:spacing w:val="0"/>
                <w:kern w:val="0"/>
                <w:sz w:val="21"/>
                <w:szCs w:val="21"/>
                <w:highlight w:val="yellow"/>
                <w:lang w:eastAsia="zh-CN"/>
              </w:rPr>
              <w:t>☑票决定标法</w:t>
            </w:r>
            <w:r>
              <w:rPr>
                <w:rFonts w:hint="eastAsia" w:asciiTheme="minorEastAsia" w:hAnsiTheme="minorEastAsia" w:eastAsiaTheme="minorEastAsia" w:cstheme="minorEastAsia"/>
                <w:snapToGrid w:val="0"/>
                <w:color w:val="auto"/>
                <w:spacing w:val="0"/>
                <w:kern w:val="0"/>
                <w:sz w:val="21"/>
                <w:szCs w:val="21"/>
                <w:highlight w:val="yellow"/>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yellow"/>
                <w:lang w:eastAsia="zh-CN"/>
              </w:rPr>
              <w:t>□集体议事法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56B959F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32</w:t>
            </w:r>
          </w:p>
        </w:tc>
        <w:tc>
          <w:tcPr>
            <w:tcW w:w="1942" w:type="dxa"/>
            <w:vAlign w:val="center"/>
          </w:tcPr>
          <w:p w14:paraId="5FAEFF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71660F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0C69718A">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33</w:t>
            </w:r>
          </w:p>
        </w:tc>
        <w:tc>
          <w:tcPr>
            <w:tcW w:w="1942" w:type="dxa"/>
            <w:vAlign w:val="center"/>
          </w:tcPr>
          <w:p w14:paraId="20A44A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0F863C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color w:val="auto"/>
                <w:highlight w:val="none"/>
                <w:u w:val="none"/>
              </w:rPr>
              <w:t>本项目的招标代理费和评标专家酬劳由中标人支付，该费用不再另行报价，由投标人在投标报价时综合考虑在内。（招标代理服务费参照《招标代理服务收费管理暂行办法》（计价格[2002]1980号），以中标价为计费基数。评标专家酬劳包括食宿费用、交通费、专家评审劳务费等）</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34</w:t>
            </w:r>
          </w:p>
        </w:tc>
        <w:tc>
          <w:tcPr>
            <w:tcW w:w="1942" w:type="dxa"/>
            <w:vAlign w:val="center"/>
          </w:tcPr>
          <w:p w14:paraId="198B1BD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2C622AE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6356A8B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val="en-US" w:eastAsia="zh-CN"/>
              </w:rPr>
              <w:t>韶关市曲江区博物馆</w:t>
            </w:r>
          </w:p>
          <w:p w14:paraId="3707E73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办公地址：韶关市曲江区马坝镇狮岩路68号</w:t>
            </w:r>
          </w:p>
          <w:p w14:paraId="638E6D2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联系人（部门）： 余</w:t>
            </w:r>
            <w:r>
              <w:rPr>
                <w:rFonts w:hint="eastAsia" w:ascii="宋体" w:hAnsi="宋体" w:eastAsia="宋体" w:cs="宋体"/>
                <w:snapToGrid w:val="0"/>
                <w:color w:val="auto"/>
                <w:spacing w:val="0"/>
                <w:kern w:val="0"/>
                <w:sz w:val="21"/>
                <w:highlight w:val="none"/>
                <w:lang w:val="en-US" w:eastAsia="zh-CN"/>
              </w:rPr>
              <w:t>工</w:t>
            </w:r>
          </w:p>
          <w:p w14:paraId="7AE74A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rPr>
              <w:t>联系电话： 0751-6666561</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35</w:t>
            </w:r>
          </w:p>
        </w:tc>
        <w:tc>
          <w:tcPr>
            <w:tcW w:w="1942" w:type="dxa"/>
            <w:vAlign w:val="center"/>
          </w:tcPr>
          <w:p w14:paraId="7F3AD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0B6588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43A440F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w:t>
            </w: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p w14:paraId="534F766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w:t>
            </w:r>
            <w:r>
              <w:rPr>
                <w:rFonts w:ascii="Arial" w:hAnsi="Arial" w:eastAsia="宋体" w:cs="Arial"/>
                <w:i w:val="0"/>
                <w:iCs w:val="0"/>
                <w:caps w:val="0"/>
                <w:color w:val="auto"/>
                <w:spacing w:val="0"/>
                <w:sz w:val="19"/>
                <w:szCs w:val="19"/>
                <w:highlight w:val="none"/>
                <w:shd w:val="clear" w:fill="FFFFFF"/>
              </w:rPr>
              <w:t> </w:t>
            </w:r>
            <w:r>
              <w:rPr>
                <w:rFonts w:hint="default" w:asciiTheme="minorEastAsia" w:hAnsiTheme="minorEastAsia" w:eastAsiaTheme="minorEastAsia" w:cstheme="minorEastAsia"/>
                <w:snapToGrid w:val="0"/>
                <w:color w:val="auto"/>
                <w:spacing w:val="0"/>
                <w:kern w:val="0"/>
                <w:sz w:val="21"/>
                <w:szCs w:val="21"/>
                <w:highlight w:val="none"/>
                <w:lang w:val="en-US" w:eastAsia="zh-CN"/>
              </w:rPr>
              <w:t>韶关市曲江区马坝镇铁东二路</w:t>
            </w:r>
          </w:p>
          <w:p w14:paraId="77C2B2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 系 人：朱工</w:t>
            </w:r>
          </w:p>
          <w:p w14:paraId="1E3530F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lang w:val="en-US" w:eastAsia="zh-CN"/>
              </w:rPr>
              <w:t>电    话：</w:t>
            </w:r>
            <w:r>
              <w:rPr>
                <w:rFonts w:hint="eastAsia" w:ascii="宋体" w:hAnsi="宋体" w:eastAsia="宋体" w:cs="宋体"/>
                <w:snapToGrid w:val="0"/>
                <w:color w:val="auto"/>
                <w:spacing w:val="0"/>
                <w:kern w:val="0"/>
                <w:sz w:val="21"/>
                <w:highlight w:val="none"/>
                <w:lang w:eastAsia="zh-CN"/>
              </w:rPr>
              <w:t>13435022869</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36</w:t>
            </w:r>
          </w:p>
        </w:tc>
        <w:tc>
          <w:tcPr>
            <w:tcW w:w="1942" w:type="dxa"/>
            <w:vAlign w:val="center"/>
          </w:tcPr>
          <w:p w14:paraId="7DFD45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021207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单位名称：韶关市公共资源交易中心曲江分中心</w:t>
            </w:r>
          </w:p>
          <w:p w14:paraId="30AD78F1">
            <w:pPr>
              <w:keepNext w:val="0"/>
              <w:keepLines w:val="0"/>
              <w:pageBreakBefore w:val="0"/>
              <w:widowControl w:val="0"/>
              <w:kinsoku/>
              <w:wordWrap w:val="0"/>
              <w:overflowPunct/>
              <w:topLinePunct w:val="0"/>
              <w:autoSpaceDE/>
              <w:autoSpaceDN/>
              <w:bidi w:val="0"/>
              <w:adjustRightInd w:val="0"/>
              <w:snapToGrid w:val="0"/>
              <w:spacing w:line="400" w:lineRule="exact"/>
              <w:ind w:left="1270" w:leftChars="100" w:hanging="1060" w:hangingChars="505"/>
              <w:jc w:val="both"/>
              <w:textAlignment w:val="auto"/>
              <w:rPr>
                <w:rFonts w:hint="default" w:ascii="宋体" w:hAnsi="宋体" w:eastAsia="宋体" w:cs="宋体"/>
                <w:snapToGrid w:val="0"/>
                <w:color w:val="auto"/>
                <w:spacing w:val="0"/>
                <w:kern w:val="0"/>
                <w:sz w:val="21"/>
                <w:highlight w:val="none"/>
                <w:u w:val="single"/>
                <w:lang w:val="en-US" w:eastAsia="zh-CN"/>
              </w:rPr>
            </w:pPr>
            <w:r>
              <w:rPr>
                <w:rFonts w:hint="eastAsia" w:ascii="宋体" w:hAnsi="宋体" w:eastAsia="宋体" w:cs="宋体"/>
                <w:snapToGrid w:val="0"/>
                <w:color w:val="auto"/>
                <w:spacing w:val="0"/>
                <w:kern w:val="0"/>
                <w:sz w:val="21"/>
                <w:highlight w:val="none"/>
                <w:lang w:val="en-US" w:eastAsia="zh-CN"/>
              </w:rPr>
              <w:t>办公地址：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p w14:paraId="3950C8D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联系电话：0751-6690193</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37</w:t>
            </w:r>
          </w:p>
        </w:tc>
        <w:tc>
          <w:tcPr>
            <w:tcW w:w="1942" w:type="dxa"/>
            <w:vAlign w:val="center"/>
          </w:tcPr>
          <w:p w14:paraId="49D0B38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5F176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2D7B6F81">
            <w:pPr>
              <w:spacing w:line="400" w:lineRule="exact"/>
              <w:ind w:left="105" w:leftChars="50" w:right="105" w:rightChars="50"/>
              <w:rPr>
                <w:rFonts w:hint="default" w:hAnsi="宋体" w:cs="宋体"/>
                <w:snapToGrid w:val="0"/>
                <w:color w:val="auto"/>
                <w:kern w:val="0"/>
                <w:szCs w:val="24"/>
                <w:highlight w:val="none"/>
                <w:u w:val="none"/>
              </w:rPr>
            </w:pPr>
            <w:r>
              <w:rPr>
                <w:rFonts w:hAnsi="宋体" w:cs="宋体"/>
                <w:snapToGrid w:val="0"/>
                <w:color w:val="auto"/>
                <w:kern w:val="0"/>
                <w:szCs w:val="24"/>
                <w:highlight w:val="none"/>
                <w:u w:val="none"/>
              </w:rPr>
              <w:t>单位名称：</w:t>
            </w:r>
            <w:r>
              <w:rPr>
                <w:rFonts w:hint="eastAsia" w:hAnsi="宋体" w:cs="宋体"/>
                <w:snapToGrid w:val="0"/>
                <w:color w:val="auto"/>
                <w:kern w:val="0"/>
                <w:szCs w:val="24"/>
                <w:highlight w:val="none"/>
                <w:u w:val="none"/>
              </w:rPr>
              <w:t>韶关市曲江区文化广电旅游体育局</w:t>
            </w:r>
          </w:p>
          <w:p w14:paraId="557D5DFC">
            <w:pPr>
              <w:spacing w:line="400" w:lineRule="exact"/>
              <w:ind w:left="105" w:leftChars="50" w:right="105" w:rightChars="50"/>
              <w:rPr>
                <w:rFonts w:hAnsi="宋体" w:cs="宋体"/>
                <w:snapToGrid w:val="0"/>
                <w:color w:val="auto"/>
                <w:kern w:val="0"/>
                <w:szCs w:val="24"/>
                <w:highlight w:val="none"/>
                <w:u w:val="none"/>
              </w:rPr>
            </w:pPr>
            <w:r>
              <w:rPr>
                <w:rFonts w:hAnsi="宋体" w:cs="宋体"/>
                <w:snapToGrid w:val="0"/>
                <w:color w:val="auto"/>
                <w:kern w:val="0"/>
                <w:szCs w:val="24"/>
                <w:highlight w:val="none"/>
                <w:u w:val="none"/>
              </w:rPr>
              <w:t>办公地址：</w:t>
            </w:r>
            <w:r>
              <w:rPr>
                <w:rFonts w:hint="eastAsia" w:hAnsi="宋体" w:cs="宋体"/>
                <w:snapToGrid w:val="0"/>
                <w:color w:val="auto"/>
                <w:kern w:val="0"/>
                <w:szCs w:val="24"/>
                <w:highlight w:val="none"/>
                <w:u w:val="none"/>
              </w:rPr>
              <w:t>曲江区马坝镇安山路文化中心大楼A区6楼</w:t>
            </w:r>
          </w:p>
          <w:p w14:paraId="10722C9D">
            <w:pPr>
              <w:spacing w:line="400" w:lineRule="exact"/>
              <w:ind w:left="105" w:leftChars="50" w:right="105" w:rightChars="50"/>
              <w:rPr>
                <w:rFonts w:hint="eastAsia" w:hAnsi="宋体" w:cs="宋体"/>
                <w:snapToGrid w:val="0"/>
                <w:color w:val="auto"/>
                <w:kern w:val="0"/>
                <w:szCs w:val="24"/>
                <w:highlight w:val="none"/>
                <w:u w:val="none"/>
                <w:lang w:eastAsia="zh-CN"/>
              </w:rPr>
            </w:pPr>
            <w:r>
              <w:rPr>
                <w:rFonts w:hAnsi="宋体" w:cs="宋体"/>
                <w:snapToGrid w:val="0"/>
                <w:color w:val="auto"/>
                <w:kern w:val="0"/>
                <w:szCs w:val="24"/>
                <w:highlight w:val="none"/>
                <w:u w:val="none"/>
              </w:rPr>
              <w:t>联系人（部门）：</w:t>
            </w:r>
            <w:r>
              <w:rPr>
                <w:rFonts w:hint="eastAsia" w:hAnsi="宋体" w:cs="宋体"/>
                <w:snapToGrid w:val="0"/>
                <w:color w:val="auto"/>
                <w:kern w:val="0"/>
                <w:szCs w:val="24"/>
                <w:highlight w:val="none"/>
                <w:u w:val="none"/>
                <w:lang w:val="en-US" w:eastAsia="zh-CN"/>
              </w:rPr>
              <w:t>建筑与房地产管理股</w:t>
            </w:r>
          </w:p>
          <w:p w14:paraId="3F649898">
            <w:pPr>
              <w:spacing w:line="400" w:lineRule="exact"/>
              <w:ind w:left="105" w:leftChars="50" w:right="105" w:rightChars="50"/>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Ansi="宋体" w:cs="宋体"/>
                <w:snapToGrid w:val="0"/>
                <w:color w:val="auto"/>
                <w:kern w:val="0"/>
                <w:szCs w:val="24"/>
                <w:highlight w:val="none"/>
                <w:u w:val="none"/>
              </w:rPr>
              <w:t>联系电话：</w:t>
            </w:r>
            <w:r>
              <w:rPr>
                <w:rFonts w:hint="eastAsia" w:hAnsi="宋体" w:cs="宋体"/>
                <w:snapToGrid w:val="0"/>
                <w:color w:val="auto"/>
                <w:kern w:val="0"/>
                <w:szCs w:val="24"/>
                <w:highlight w:val="none"/>
                <w:u w:val="none"/>
                <w:lang w:val="en-US" w:eastAsia="zh-CN"/>
              </w:rPr>
              <w:t>0751-6970199</w:t>
            </w:r>
          </w:p>
        </w:tc>
      </w:tr>
    </w:tbl>
    <w:p w14:paraId="7235C323">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6" w:name="bookmark115"/>
      <w:bookmarkEnd w:id="6"/>
      <w:r>
        <w:rPr>
          <w:rFonts w:hint="eastAsia" w:ascii="宋体" w:hAnsi="宋体" w:eastAsia="宋体" w:cs="宋体"/>
          <w:b/>
          <w:bCs/>
          <w:color w:val="auto"/>
          <w:spacing w:val="0"/>
          <w:sz w:val="24"/>
          <w:szCs w:val="24"/>
          <w:highlight w:val="none"/>
        </w:rPr>
        <w:br w:type="page"/>
      </w:r>
    </w:p>
    <w:p w14:paraId="1789A482">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7" w:name="_Toc19706"/>
      <w:r>
        <w:rPr>
          <w:rFonts w:hint="eastAsia" w:ascii="宋体" w:hAnsi="宋体" w:eastAsia="宋体" w:cs="宋体"/>
          <w:b/>
          <w:bCs/>
          <w:color w:val="auto"/>
          <w:spacing w:val="0"/>
          <w:sz w:val="24"/>
          <w:szCs w:val="24"/>
          <w:highlight w:val="none"/>
        </w:rPr>
        <w:t>第二节 重要事项时间地点一览表</w:t>
      </w:r>
      <w:bookmarkEnd w:id="7"/>
    </w:p>
    <w:p w14:paraId="44D452CF">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0517B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4246031">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CBBA90E">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666692D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104DB8">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31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067E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FE8C18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755E24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400C24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21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8365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5ADE1F4">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2198D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455D891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6BC3BA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11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45640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B82443D">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CE1AA0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0F5F46E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B5EFA2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11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14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6346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B93C9CE">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82D687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2D149A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223235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48469684">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4B354B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D384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66C4A5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6A2BAA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2FA17C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DB1243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21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0E0E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E2714A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21AF19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5083F83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38D1657B">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21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21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F934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265D800">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98C8B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170BD88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8215FEA">
            <w:pPr>
              <w:adjustRightInd w:val="0"/>
              <w:snapToGrid w:val="0"/>
              <w:spacing w:line="400" w:lineRule="exact"/>
              <w:rPr>
                <w:rFonts w:hAnsi="宋体"/>
                <w:snapToGrid w:val="0"/>
                <w:color w:val="auto"/>
                <w:kern w:val="0"/>
                <w:highlight w:val="none"/>
              </w:rPr>
            </w:pPr>
            <w:r>
              <w:rPr>
                <w:rFonts w:hAnsi="宋体"/>
                <w:snapToGrid w:val="0"/>
                <w:color w:val="auto"/>
                <w:kern w:val="0"/>
                <w:highlight w:val="none"/>
              </w:rPr>
              <w:t>递交场所：</w:t>
            </w:r>
            <w:r>
              <w:rPr>
                <w:rFonts w:hint="eastAsia" w:ascii="宋体" w:hAnsi="宋体" w:eastAsia="宋体" w:cs="宋体"/>
                <w:snapToGrid w:val="0"/>
                <w:color w:val="auto"/>
                <w:spacing w:val="0"/>
                <w:kern w:val="0"/>
                <w:sz w:val="21"/>
                <w:highlight w:val="none"/>
                <w:lang w:val="en-US" w:eastAsia="zh-CN"/>
              </w:rPr>
              <w:t>韶关市公共资源交易中心曲江分中心</w:t>
            </w:r>
          </w:p>
          <w:p w14:paraId="4D721F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right="0"/>
              <w:jc w:val="left"/>
              <w:rPr>
                <w:rFonts w:hint="eastAsia" w:eastAsia="宋体" w:asciiTheme="minorEastAsia" w:hAnsiTheme="minorEastAsia" w:cstheme="minorEastAsia"/>
                <w:color w:val="auto"/>
                <w:spacing w:val="0"/>
                <w:sz w:val="22"/>
                <w:szCs w:val="18"/>
                <w:highlight w:val="none"/>
                <w:lang w:eastAsia="zh-CN"/>
              </w:rPr>
            </w:pPr>
            <w:r>
              <w:rPr>
                <w:rFonts w:hAnsi="宋体" w:cs="宋体"/>
                <w:snapToGrid w:val="0"/>
                <w:color w:val="auto"/>
                <w:kern w:val="0"/>
                <w:szCs w:val="24"/>
                <w:highlight w:val="none"/>
              </w:rPr>
              <w:t>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tc>
      </w:tr>
      <w:tr w14:paraId="529A5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C00C926">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57504F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F4A04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 </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21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分</w:t>
            </w:r>
          </w:p>
        </w:tc>
      </w:tr>
      <w:tr w14:paraId="27C90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D049F4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55B6A3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859B36">
            <w:pPr>
              <w:pStyle w:val="13"/>
              <w:spacing w:before="0" w:beforeAutospacing="0" w:after="150" w:afterAutospacing="0" w:line="360" w:lineRule="atLeast"/>
              <w:ind w:firstLine="210" w:firstLineChars="100"/>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开标场所：</w:t>
            </w:r>
            <w:r>
              <w:rPr>
                <w:rFonts w:hint="eastAsia" w:ascii="宋体" w:hAnsi="宋体" w:eastAsia="宋体" w:cs="宋体"/>
                <w:snapToGrid w:val="0"/>
                <w:color w:val="auto"/>
                <w:spacing w:val="0"/>
                <w:kern w:val="0"/>
                <w:sz w:val="21"/>
                <w:highlight w:val="none"/>
                <w:lang w:val="en-US" w:eastAsia="zh-CN"/>
              </w:rPr>
              <w:t>韶关市公共资源交易中心曲江分中心</w:t>
            </w:r>
          </w:p>
          <w:p w14:paraId="175D537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840" w:leftChars="100" w:right="0" w:hanging="630" w:hangingChars="30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tc>
      </w:tr>
      <w:tr w14:paraId="28D28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084E8E9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23A471A">
            <w:pPr>
              <w:pStyle w:val="29"/>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0"/>
                <w:szCs w:val="22"/>
                <w:highlight w:val="none"/>
              </w:rPr>
            </w:pPr>
            <w:r>
              <w:rPr>
                <w:rFonts w:hint="eastAsia" w:asciiTheme="minorEastAsia" w:hAnsiTheme="minorEastAsia" w:eastAsiaTheme="minorEastAsia" w:cstheme="minorEastAsia"/>
                <w:snapToGrid w:val="0"/>
                <w:color w:val="auto"/>
                <w:spacing w:val="0"/>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BAA81FE">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8" w:name="_Toc877"/>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8"/>
    </w:p>
    <w:p w14:paraId="5DD28753">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17B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AF44F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石峡遗址已发掘区展示利用项目</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snapToGrid w:val="0"/>
          <w:color w:val="auto"/>
          <w:spacing w:val="0"/>
          <w:kern w:val="0"/>
          <w:sz w:val="24"/>
          <w:szCs w:val="24"/>
          <w:highlight w:val="none"/>
          <w:u w:val="single"/>
          <w:lang w:val="en-US" w:eastAsia="zh-CN"/>
        </w:rPr>
        <w:t>国家文物局、广东省文物局</w:t>
      </w:r>
      <w:r>
        <w:rPr>
          <w:rFonts w:hint="eastAsia" w:ascii="宋体" w:hAnsi="宋体" w:eastAsia="宋体" w:cs="宋体"/>
          <w:snapToGrid w:val="0"/>
          <w:color w:val="auto"/>
          <w:spacing w:val="0"/>
          <w:kern w:val="0"/>
          <w:sz w:val="24"/>
          <w:szCs w:val="24"/>
          <w:highlight w:val="none"/>
          <w:u w:val="single"/>
        </w:rPr>
        <w:t>以《</w:t>
      </w:r>
      <w:r>
        <w:rPr>
          <w:rFonts w:hint="eastAsia" w:ascii="宋体" w:hAnsi="宋体" w:eastAsia="宋体" w:cs="宋体"/>
          <w:color w:val="auto"/>
          <w:spacing w:val="0"/>
          <w:sz w:val="24"/>
          <w:szCs w:val="24"/>
          <w:highlight w:val="none"/>
          <w:u w:val="single"/>
          <w:lang w:val="en-US" w:eastAsia="zh-CN"/>
        </w:rPr>
        <w:t>国家文物局关于广东省2024年度古遗址、古墓葬类全国重点文物保护单位文物保护项目(不含安防消防防雷)计划的批复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文物考函【2023】1111号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eastAsia="zh-CN"/>
        </w:rPr>
        <w:t>、</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eastAsia="zh-CN"/>
        </w:rPr>
        <w:t>广东省文物局关于全国重点文物保护单位石峡遗址已发掘区展示利用项目勘察设计方案的批复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粤文物审【2024】112号）</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2512-440205-04-01-909776</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val="en-US" w:eastAsia="zh-CN"/>
        </w:rPr>
        <w:t>韶关市曲江区博物馆</w:t>
      </w:r>
      <w:r>
        <w:rPr>
          <w:rFonts w:hint="eastAsia" w:ascii="宋体" w:hAnsi="宋体" w:eastAsia="宋体" w:cs="宋体"/>
          <w:snapToGrid w:val="0"/>
          <w:color w:val="auto"/>
          <w:spacing w:val="0"/>
          <w:kern w:val="0"/>
          <w:sz w:val="24"/>
          <w:szCs w:val="24"/>
          <w:highlight w:val="none"/>
        </w:rPr>
        <w:t>，建设资金</w:t>
      </w:r>
      <w:r>
        <w:rPr>
          <w:rFonts w:hint="eastAsia" w:ascii="宋体" w:hAnsi="宋体" w:eastAsia="宋体" w:cs="宋体"/>
          <w:snapToGrid w:val="0"/>
          <w:color w:val="auto"/>
          <w:spacing w:val="0"/>
          <w:kern w:val="0"/>
          <w:sz w:val="24"/>
          <w:szCs w:val="24"/>
          <w:highlight w:val="none"/>
          <w:u w:val="single"/>
          <w:lang w:val="en-US" w:eastAsia="zh-CN"/>
        </w:rPr>
        <w:t>国家文物保护专项资金</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val="en-US" w:eastAsia="zh-CN"/>
        </w:rPr>
        <w:t>韶关市曲江区博物馆</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val="en-US" w:eastAsia="zh-CN"/>
        </w:rPr>
        <w:t>广东粤圣项目管理有限公司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238EB322">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9"/>
        <w:rPr>
          <w:rFonts w:hint="eastAsia" w:ascii="宋体" w:hAnsi="宋体" w:eastAsia="宋体" w:cs="宋体"/>
          <w:color w:val="auto"/>
          <w:spacing w:val="0"/>
          <w:sz w:val="24"/>
          <w:szCs w:val="24"/>
          <w:highlight w:val="none"/>
        </w:rPr>
      </w:pPr>
      <w:bookmarkStart w:id="9" w:name="bookmark73"/>
      <w:bookmarkEnd w:id="9"/>
      <w:bookmarkStart w:id="10" w:name="bookmark52"/>
      <w:bookmarkEnd w:id="10"/>
      <w:bookmarkStart w:id="11" w:name="bookmark59"/>
      <w:bookmarkEnd w:id="11"/>
      <w:bookmarkStart w:id="12" w:name="_Toc15993"/>
      <w:r>
        <w:rPr>
          <w:rFonts w:hint="eastAsia" w:ascii="宋体" w:hAnsi="宋体" w:eastAsia="宋体" w:cs="宋体"/>
          <w:b/>
          <w:bCs/>
          <w:color w:val="auto"/>
          <w:spacing w:val="0"/>
          <w:sz w:val="24"/>
          <w:szCs w:val="24"/>
          <w:highlight w:val="none"/>
        </w:rPr>
        <w:t>1 ．项目概况、招标范围和标段划分、投标费用等</w:t>
      </w:r>
      <w:bookmarkEnd w:id="12"/>
    </w:p>
    <w:p w14:paraId="26BED16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33A0C0A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lang w:val="en-US" w:eastAsia="zh-CN"/>
        </w:rPr>
        <w:t>马坝镇狮岩路68号马坝人-石峡遗址</w:t>
      </w:r>
      <w:r>
        <w:rPr>
          <w:rFonts w:hint="eastAsia" w:ascii="宋体" w:hAnsi="宋体" w:eastAsia="宋体" w:cs="宋体"/>
          <w:color w:val="auto"/>
          <w:spacing w:val="0"/>
          <w:sz w:val="24"/>
          <w:szCs w:val="24"/>
          <w:highlight w:val="none"/>
          <w:lang w:val="en-US" w:eastAsia="zh-CN"/>
        </w:rPr>
        <w:t>。</w:t>
      </w:r>
    </w:p>
    <w:p w14:paraId="3B072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建设内容和规模：</w:t>
      </w:r>
    </w:p>
    <w:p w14:paraId="5AFB2442">
      <w:pPr>
        <w:keepNext w:val="0"/>
        <w:keepLines w:val="0"/>
        <w:pageBreakBefore w:val="0"/>
        <w:widowControl/>
        <w:kinsoku w:val="0"/>
        <w:wordWrap w:val="0"/>
        <w:overflowPunct/>
        <w:topLinePunct w:val="0"/>
        <w:autoSpaceDE w:val="0"/>
        <w:autoSpaceDN w:val="0"/>
        <w:bidi w:val="0"/>
        <w:adjustRightInd w:val="0"/>
        <w:snapToGrid w:val="0"/>
        <w:spacing w:line="360" w:lineRule="auto"/>
        <w:ind w:left="1436" w:leftChars="684" w:right="0" w:firstLine="0" w:firstLineChars="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场地平整及绿化、遗址发掘区地表模拟及标识基础、展示道路、遗址展示亭、展陈设施、服务设施、电气给排水等。</w:t>
      </w:r>
    </w:p>
    <w:p w14:paraId="582D5F1D">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项目总投资</w:t>
      </w:r>
      <w:r>
        <w:rPr>
          <w:rStyle w:val="27"/>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sz w:val="24"/>
          <w:szCs w:val="24"/>
          <w:highlight w:val="none"/>
          <w:u w:val="single"/>
          <w:lang w:val="en-US" w:eastAsia="zh-CN"/>
        </w:rPr>
        <w:t>项目概算总投资777.00万元。</w:t>
      </w:r>
    </w:p>
    <w:p w14:paraId="16BD115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single"/>
          <w:lang w:val="en-US" w:eastAsia="zh-CN"/>
        </w:rPr>
        <w:t xml:space="preserve"> 招标范围和标段划分</w:t>
      </w:r>
    </w:p>
    <w:p w14:paraId="0378898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0DFB5F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3" w:name="_Toc28202"/>
      <w:bookmarkStart w:id="14" w:name="_Toc20855"/>
      <w:bookmarkStart w:id="15" w:name="_Toc14190"/>
      <w:bookmarkStart w:id="16" w:name="_Toc24593"/>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3"/>
      <w:bookmarkEnd w:id="14"/>
      <w:bookmarkEnd w:id="15"/>
      <w:bookmarkEnd w:id="16"/>
    </w:p>
    <w:p w14:paraId="3BE6141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6DC29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3514024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jc w:val="left"/>
        <w:textAlignment w:val="baseline"/>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b/>
          <w:bCs/>
          <w:color w:val="auto"/>
          <w:spacing w:val="0"/>
          <w:sz w:val="24"/>
          <w:szCs w:val="24"/>
          <w:highlight w:val="none"/>
        </w:rPr>
        <w:t>2．</w:t>
      </w:r>
      <w:r>
        <w:rPr>
          <w:rFonts w:hint="eastAsia" w:ascii="宋体" w:hAnsi="宋体" w:eastAsia="宋体" w:cs="宋体"/>
          <w:b w:val="0"/>
          <w:bCs w:val="0"/>
          <w:color w:val="auto"/>
          <w:spacing w:val="0"/>
          <w:sz w:val="24"/>
          <w:szCs w:val="24"/>
          <w:highlight w:val="none"/>
          <w:lang w:eastAsia="zh-CN"/>
        </w:rPr>
        <w:t>投标人</w:t>
      </w:r>
      <w:r>
        <w:rPr>
          <w:rFonts w:hint="eastAsia" w:ascii="宋体" w:hAnsi="宋体" w:eastAsia="宋体" w:cs="宋体"/>
          <w:b w:val="0"/>
          <w:bCs w:val="0"/>
          <w:color w:val="auto"/>
          <w:spacing w:val="0"/>
          <w:sz w:val="24"/>
          <w:szCs w:val="24"/>
          <w:highlight w:val="none"/>
        </w:rPr>
        <w:t>资质要求</w:t>
      </w:r>
    </w:p>
    <w:p w14:paraId="5F354E7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auto"/>
          <w:spacing w:val="0"/>
          <w:kern w:val="0"/>
          <w:sz w:val="24"/>
          <w:szCs w:val="24"/>
          <w:highlight w:val="none"/>
          <w:lang w:val="en-US" w:eastAsia="zh-CN"/>
        </w:rPr>
      </w:pPr>
      <w:r>
        <w:rPr>
          <w:rStyle w:val="27"/>
          <w:rFonts w:hint="eastAsia" w:ascii="宋体" w:hAnsi="宋体" w:eastAsia="宋体" w:cs="宋体"/>
          <w:b/>
          <w:bCs/>
          <w:color w:val="auto"/>
          <w:spacing w:val="0"/>
          <w:kern w:val="0"/>
          <w:sz w:val="24"/>
          <w:szCs w:val="24"/>
          <w:highlight w:val="none"/>
          <w:lang w:val="en-US" w:eastAsia="zh-CN"/>
        </w:rPr>
        <w:t>2.1</w:t>
      </w:r>
      <w:r>
        <w:rPr>
          <w:rStyle w:val="27"/>
          <w:rFonts w:hint="eastAsia" w:ascii="宋体" w:hAnsi="宋体" w:eastAsia="宋体" w:cs="宋体"/>
          <w:b w:val="0"/>
          <w:bCs w:val="0"/>
          <w:color w:val="auto"/>
          <w:spacing w:val="0"/>
          <w:kern w:val="0"/>
          <w:sz w:val="24"/>
          <w:szCs w:val="24"/>
          <w:highlight w:val="none"/>
          <w:lang w:val="en-US" w:eastAsia="zh-CN"/>
        </w:rPr>
        <w:t xml:space="preserve"> 本次招标不</w:t>
      </w:r>
      <w:r>
        <w:rPr>
          <w:rStyle w:val="27"/>
          <w:rFonts w:hint="eastAsia" w:ascii="宋体" w:hAnsi="宋体" w:eastAsia="宋体" w:cs="宋体"/>
          <w:b/>
          <w:bCs/>
          <w:color w:val="auto"/>
          <w:spacing w:val="0"/>
          <w:kern w:val="0"/>
          <w:sz w:val="24"/>
          <w:szCs w:val="24"/>
          <w:highlight w:val="none"/>
          <w:lang w:val="en-US" w:eastAsia="zh-CN"/>
        </w:rPr>
        <w:t>接受</w:t>
      </w:r>
      <w:r>
        <w:rPr>
          <w:rStyle w:val="27"/>
          <w:rFonts w:hint="eastAsia" w:ascii="宋体" w:hAnsi="宋体" w:eastAsia="宋体" w:cs="宋体"/>
          <w:b w:val="0"/>
          <w:bCs w:val="0"/>
          <w:color w:val="auto"/>
          <w:spacing w:val="0"/>
          <w:kern w:val="0"/>
          <w:sz w:val="24"/>
          <w:szCs w:val="24"/>
          <w:highlight w:val="none"/>
          <w:lang w:val="en-US" w:eastAsia="zh-CN"/>
        </w:rPr>
        <w:t>联合体投标。</w:t>
      </w:r>
    </w:p>
    <w:p w14:paraId="466635E0">
      <w:pPr>
        <w:wordWrap w:val="0"/>
        <w:adjustRightInd w:val="0"/>
        <w:snapToGrid w:val="0"/>
        <w:spacing w:line="440" w:lineRule="exact"/>
        <w:ind w:firstLine="482" w:firstLineChars="20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2.2</w:t>
      </w:r>
      <w:r>
        <w:rPr>
          <w:rFonts w:hint="eastAsia" w:ascii="宋体" w:hAnsi="宋体" w:eastAsia="宋体" w:cs="宋体"/>
          <w:snapToGrid w:val="0"/>
          <w:kern w:val="0"/>
          <w:sz w:val="24"/>
          <w:szCs w:val="24"/>
          <w:highlight w:val="none"/>
        </w:rPr>
        <w:t xml:space="preserve"> 资格资质要求</w:t>
      </w:r>
    </w:p>
    <w:p w14:paraId="4676C061">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2.2.1</w:t>
      </w:r>
      <w:r>
        <w:rPr>
          <w:rFonts w:hint="eastAsia" w:ascii="宋体" w:hAnsi="宋体" w:eastAsia="宋体" w:cs="宋体"/>
          <w:snapToGrid w:val="0"/>
          <w:kern w:val="0"/>
          <w:sz w:val="24"/>
          <w:szCs w:val="24"/>
          <w:highlight w:val="none"/>
        </w:rPr>
        <w:t xml:space="preserve"> 投标人须具备独立法人资格，按国家法律经营。</w:t>
      </w:r>
    </w:p>
    <w:p w14:paraId="74AAEE2D">
      <w:pPr>
        <w:pStyle w:val="29"/>
        <w:wordWrap w:val="0"/>
        <w:adjustRightInd w:val="0"/>
        <w:snapToGrid w:val="0"/>
        <w:spacing w:line="360" w:lineRule="auto"/>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2.2.2</w:t>
      </w:r>
      <w:r>
        <w:rPr>
          <w:rFonts w:hint="eastAsia" w:ascii="宋体" w:hAnsi="宋体" w:eastAsia="宋体" w:cs="宋体"/>
          <w:snapToGrid w:val="0"/>
          <w:kern w:val="0"/>
          <w:sz w:val="24"/>
          <w:szCs w:val="24"/>
          <w:highlight w:val="none"/>
        </w:rPr>
        <w:t xml:space="preserve"> 投标人须持有</w:t>
      </w:r>
      <w:r>
        <w:rPr>
          <w:rFonts w:hint="eastAsia" w:ascii="宋体" w:hAnsi="宋体" w:eastAsia="宋体" w:cs="宋体"/>
          <w:snapToGrid w:val="0"/>
          <w:kern w:val="0"/>
          <w:sz w:val="24"/>
          <w:szCs w:val="24"/>
          <w:highlight w:val="none"/>
          <w:lang w:val="en-US" w:eastAsia="zh-CN"/>
        </w:rPr>
        <w:t>文物主管部门颁发的其企业资质证书以及</w:t>
      </w:r>
      <w:r>
        <w:rPr>
          <w:rFonts w:hint="eastAsia" w:ascii="宋体" w:hAnsi="宋体" w:eastAsia="宋体" w:cs="宋体"/>
          <w:snapToGrid w:val="0"/>
          <w:kern w:val="0"/>
          <w:sz w:val="24"/>
          <w:szCs w:val="24"/>
          <w:highlight w:val="none"/>
        </w:rPr>
        <w:t>建设行政主管部门颁发的安全生产许可证。</w:t>
      </w:r>
    </w:p>
    <w:p w14:paraId="4C9548BC">
      <w:pPr>
        <w:spacing w:line="360" w:lineRule="auto"/>
        <w:ind w:left="210" w:leftChars="100" w:firstLine="241" w:firstLineChars="100"/>
        <w:rPr>
          <w:rFonts w:hint="eastAsia" w:ascii="宋体" w:hAnsi="宋体" w:eastAsia="宋体" w:cs="宋体"/>
          <w:snapToGrid w:val="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SA"/>
        </w:rPr>
        <w:t>2.3.3</w:t>
      </w:r>
      <w:r>
        <w:rPr>
          <w:rFonts w:hint="eastAsia" w:ascii="宋体" w:hAnsi="宋体" w:eastAsia="宋体" w:cs="宋体"/>
          <w:snapToGrid w:val="0"/>
          <w:color w:val="000000"/>
          <w:kern w:val="0"/>
          <w:sz w:val="24"/>
          <w:szCs w:val="24"/>
          <w:highlight w:val="none"/>
          <w:lang w:val="en-US" w:eastAsia="zh-CN" w:bidi="ar-SA"/>
        </w:rPr>
        <w:t>投标人须具同时备以下资质：</w:t>
      </w:r>
      <w:r>
        <w:rPr>
          <w:rFonts w:hint="eastAsia" w:ascii="宋体" w:hAnsi="宋体" w:eastAsia="宋体" w:cs="宋体"/>
          <w:snapToGrid w:val="0"/>
          <w:color w:val="000000"/>
          <w:kern w:val="0"/>
          <w:sz w:val="24"/>
          <w:szCs w:val="24"/>
          <w:highlight w:val="none"/>
          <w:lang w:val="en-US" w:eastAsia="zh-CN" w:bidi="ar-SA"/>
        </w:rPr>
        <w:br w:type="textWrapping"/>
      </w:r>
      <w:r>
        <w:rPr>
          <w:rFonts w:hint="eastAsia" w:ascii="宋体" w:hAnsi="宋体" w:eastAsia="宋体" w:cs="宋体"/>
          <w:b/>
          <w:bCs/>
          <w:snapToGrid w:val="0"/>
          <w:color w:val="000000"/>
          <w:kern w:val="0"/>
          <w:sz w:val="24"/>
          <w:szCs w:val="24"/>
          <w:highlight w:val="none"/>
          <w:lang w:val="en-US" w:eastAsia="zh-CN" w:bidi="ar-SA"/>
        </w:rPr>
        <w:t>①</w:t>
      </w:r>
      <w:r>
        <w:rPr>
          <w:rFonts w:hint="eastAsia" w:ascii="宋体" w:hAnsi="宋体" w:eastAsia="宋体" w:cs="宋体"/>
          <w:b/>
          <w:bCs/>
          <w:snapToGrid w:val="0"/>
          <w:color w:val="000000"/>
          <w:kern w:val="0"/>
          <w:sz w:val="24"/>
          <w:szCs w:val="24"/>
          <w:highlight w:val="none"/>
          <w:lang w:val="en-US" w:eastAsia="en-US" w:bidi="ar-SA"/>
        </w:rPr>
        <w:t>文物保护工程施工一级资质（业务范围须包括：古文化遗址古墓葬）</w:t>
      </w:r>
    </w:p>
    <w:p w14:paraId="52BF4491">
      <w:pPr>
        <w:pStyle w:val="29"/>
        <w:wordWrap w:val="0"/>
        <w:adjustRightInd w:val="0"/>
        <w:snapToGrid w:val="0"/>
        <w:spacing w:line="440" w:lineRule="exact"/>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2.2.4</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7CBFC2C">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w:t>
      </w:r>
      <w:r>
        <w:rPr>
          <w:rFonts w:hint="eastAsia" w:ascii="宋体" w:hAnsi="宋体" w:eastAsia="宋体" w:cs="宋体"/>
          <w:snapToGrid w:val="0"/>
          <w:kern w:val="0"/>
          <w:sz w:val="24"/>
          <w:szCs w:val="24"/>
          <w:highlight w:val="none"/>
        </w:rPr>
        <w:t xml:space="preserve"> 相关人员要求</w:t>
      </w:r>
    </w:p>
    <w:p w14:paraId="66D73112">
      <w:pPr>
        <w:wordWrap w:val="0"/>
        <w:adjustRightInd w:val="0"/>
        <w:snapToGrid w:val="0"/>
        <w:spacing w:line="400" w:lineRule="exact"/>
        <w:ind w:left="210" w:leftChars="100" w:firstLine="0" w:firstLineChars="0"/>
        <w:rPr>
          <w:rFonts w:hint="eastAsia" w:ascii="宋体" w:hAnsi="宋体" w:eastAsia="宋体" w:cs="宋体"/>
          <w:snapToGrid w:val="0"/>
          <w:kern w:val="0"/>
          <w:sz w:val="24"/>
          <w:szCs w:val="24"/>
          <w:highlight w:val="none"/>
          <w:lang w:val="en-US" w:eastAsia="zh-CN"/>
        </w:rPr>
      </w:pPr>
      <w:r>
        <w:rPr>
          <w:rFonts w:hint="eastAsia" w:ascii="宋体" w:hAnsi="宋体" w:eastAsia="宋体" w:cs="宋体"/>
          <w:b/>
          <w:bCs/>
          <w:snapToGrid w:val="0"/>
          <w:kern w:val="0"/>
          <w:sz w:val="24"/>
          <w:szCs w:val="24"/>
          <w:highlight w:val="none"/>
        </w:rPr>
        <w:t>2.3.1</w:t>
      </w:r>
      <w:r>
        <w:rPr>
          <w:rFonts w:hint="eastAsia" w:ascii="宋体" w:hAnsi="宋体" w:eastAsia="宋体" w:cs="宋体"/>
          <w:snapToGrid w:val="0"/>
          <w:kern w:val="0"/>
          <w:sz w:val="24"/>
          <w:szCs w:val="24"/>
          <w:highlight w:val="none"/>
        </w:rPr>
        <w:t xml:space="preserve"> 拟派项目经理</w:t>
      </w:r>
      <w:r>
        <w:rPr>
          <w:rFonts w:hint="eastAsia" w:ascii="宋体" w:hAnsi="宋体" w:eastAsia="宋体" w:cs="宋体"/>
          <w:snapToGrid w:val="0"/>
          <w:kern w:val="0"/>
          <w:sz w:val="24"/>
          <w:szCs w:val="24"/>
          <w:highlight w:val="none"/>
          <w:lang w:val="en-US" w:eastAsia="zh-CN"/>
        </w:rPr>
        <w:t>须具备</w:t>
      </w:r>
      <w:r>
        <w:rPr>
          <w:rFonts w:hint="eastAsia" w:ascii="宋体" w:hAnsi="宋体" w:eastAsia="宋体" w:cs="宋体"/>
          <w:snapToGrid w:val="0"/>
          <w:kern w:val="0"/>
          <w:sz w:val="24"/>
          <w:szCs w:val="24"/>
          <w:highlight w:val="none"/>
        </w:rPr>
        <w:t>文物保护工程责任工程师（业务范围须包括：</w:t>
      </w:r>
      <w:r>
        <w:rPr>
          <w:rFonts w:hint="eastAsia" w:ascii="宋体" w:hAnsi="宋体" w:eastAsia="宋体" w:cs="宋体"/>
          <w:b/>
          <w:bCs/>
          <w:snapToGrid w:val="0"/>
          <w:kern w:val="0"/>
          <w:sz w:val="24"/>
          <w:szCs w:val="24"/>
          <w:highlight w:val="none"/>
        </w:rPr>
        <w:t>古文化遗址古墓葬</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w:t>
      </w:r>
    </w:p>
    <w:p w14:paraId="4141254D">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2.3.2</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拟派项目技术负责人须具备</w:t>
      </w:r>
      <w:r>
        <w:rPr>
          <w:rFonts w:hint="eastAsia" w:ascii="宋体" w:hAnsi="宋体" w:eastAsia="宋体" w:cs="宋体"/>
          <w:b/>
          <w:bCs/>
          <w:snapToGrid w:val="0"/>
          <w:color w:val="000000"/>
          <w:kern w:val="0"/>
          <w:sz w:val="24"/>
          <w:szCs w:val="24"/>
          <w:highlight w:val="none"/>
          <w:u w:val="single"/>
        </w:rPr>
        <w:t>工程</w:t>
      </w:r>
      <w:r>
        <w:rPr>
          <w:rFonts w:hint="eastAsia" w:ascii="宋体" w:hAnsi="宋体" w:cs="宋体"/>
          <w:b/>
          <w:bCs/>
          <w:snapToGrid w:val="0"/>
          <w:color w:val="000000"/>
          <w:kern w:val="0"/>
          <w:sz w:val="24"/>
          <w:szCs w:val="24"/>
          <w:highlight w:val="none"/>
          <w:u w:val="single"/>
          <w:lang w:val="en-US" w:eastAsia="zh-CN"/>
        </w:rPr>
        <w:t>类</w:t>
      </w:r>
      <w:r>
        <w:rPr>
          <w:rFonts w:hint="eastAsia" w:ascii="宋体" w:hAnsi="宋体" w:eastAsia="宋体" w:cs="宋体"/>
          <w:snapToGrid w:val="0"/>
          <w:color w:val="000000"/>
          <w:kern w:val="0"/>
          <w:sz w:val="24"/>
          <w:szCs w:val="24"/>
          <w:highlight w:val="none"/>
        </w:rPr>
        <w:t>相关专业</w:t>
      </w:r>
      <w:r>
        <w:rPr>
          <w:rFonts w:hint="eastAsia" w:ascii="宋体" w:hAnsi="宋体" w:eastAsia="宋体" w:cs="宋体"/>
          <w:snapToGrid w:val="0"/>
          <w:color w:val="000000"/>
          <w:kern w:val="0"/>
          <w:sz w:val="24"/>
          <w:szCs w:val="24"/>
          <w:highlight w:val="none"/>
          <w:u w:val="single"/>
        </w:rPr>
        <w:t>中</w:t>
      </w:r>
      <w:r>
        <w:rPr>
          <w:rFonts w:hint="eastAsia" w:ascii="宋体" w:hAnsi="宋体" w:eastAsia="宋体" w:cs="宋体"/>
          <w:snapToGrid w:val="0"/>
          <w:color w:val="000000"/>
          <w:kern w:val="0"/>
          <w:sz w:val="24"/>
          <w:szCs w:val="24"/>
          <w:highlight w:val="none"/>
        </w:rPr>
        <w:t>级或以上技术职称。</w:t>
      </w:r>
    </w:p>
    <w:p w14:paraId="7C3A9869">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2.3.3</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snapToGrid w:val="0"/>
          <w:color w:val="000000"/>
          <w:kern w:val="0"/>
          <w:sz w:val="24"/>
          <w:szCs w:val="24"/>
          <w:highlight w:val="none"/>
          <w:u w:val="single"/>
        </w:rPr>
        <w:t>1</w:t>
      </w:r>
      <w:r>
        <w:rPr>
          <w:rFonts w:hint="eastAsia" w:ascii="宋体" w:hAnsi="宋体" w:eastAsia="宋体" w:cs="宋体"/>
          <w:snapToGrid w:val="0"/>
          <w:color w:val="000000"/>
          <w:kern w:val="0"/>
          <w:sz w:val="24"/>
          <w:szCs w:val="24"/>
          <w:highlight w:val="none"/>
        </w:rPr>
        <w:t xml:space="preserve">人。 </w:t>
      </w:r>
    </w:p>
    <w:p w14:paraId="7944B769">
      <w:pPr>
        <w:pStyle w:val="29"/>
        <w:wordWrap w:val="0"/>
        <w:adjustRightInd w:val="0"/>
        <w:snapToGrid w:val="0"/>
        <w:spacing w:line="440" w:lineRule="exact"/>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2.3.4</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5D9824">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4F43481F">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5ECD680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BE80EB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0466C21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51978EC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27DE5D5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01E2A75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3F4CE4E0">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32DC1C8C">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356D509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1F6F6AF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261596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51CC66B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4D4EA795">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742CE9C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FDD5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28B49AD7">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2635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2E257EE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3BE59F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08E046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B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8B9B7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377447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c>
          <w:tcPr>
            <w:tcW w:w="5338" w:type="dxa"/>
            <w:vAlign w:val="center"/>
          </w:tcPr>
          <w:p w14:paraId="4D06AD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713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337EE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0BD57B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c>
          <w:tcPr>
            <w:tcW w:w="5338" w:type="dxa"/>
            <w:vAlign w:val="center"/>
          </w:tcPr>
          <w:p w14:paraId="0820A2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bl>
    <w:p w14:paraId="3A78E94A">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103B6326">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495DD04A">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FE05A34">
      <w:pPr>
        <w:keepNext w:val="0"/>
        <w:keepLines w:val="0"/>
        <w:pageBreakBefore w:val="0"/>
        <w:wordWrap w:val="0"/>
        <w:overflowPunct/>
        <w:topLinePunct w:val="0"/>
        <w:bidi w:val="0"/>
        <w:spacing w:before="79" w:line="220" w:lineRule="auto"/>
        <w:ind w:left="715"/>
        <w:outlineLvl w:val="4"/>
        <w:rPr>
          <w:rFonts w:hint="eastAsia" w:ascii="宋体" w:hAnsi="宋体" w:eastAsia="宋体" w:cs="宋体"/>
          <w:color w:val="auto"/>
          <w:spacing w:val="0"/>
          <w:sz w:val="24"/>
          <w:szCs w:val="24"/>
          <w:highlight w:val="none"/>
        </w:rPr>
      </w:pPr>
      <w:bookmarkStart w:id="17" w:name="_Toc23243"/>
      <w:r>
        <w:rPr>
          <w:rFonts w:hint="eastAsia" w:ascii="宋体" w:hAnsi="宋体" w:eastAsia="宋体" w:cs="宋体"/>
          <w:b/>
          <w:bCs/>
          <w:color w:val="auto"/>
          <w:spacing w:val="0"/>
          <w:sz w:val="24"/>
          <w:szCs w:val="24"/>
          <w:highlight w:val="none"/>
        </w:rPr>
        <w:t>3．招标文件的获取</w:t>
      </w:r>
      <w:bookmarkEnd w:id="17"/>
    </w:p>
    <w:p w14:paraId="58025C1D">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29156863">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039A8FB6">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2FE752CB">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6F360068">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1BE8084A">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0CA127C">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734994B7">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20000.00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5595FFDA">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52BC198A">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18" w:name="bookmark117"/>
      <w:bookmarkEnd w:id="18"/>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AD570B6">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2083496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385224D7">
      <w:pPr>
        <w:keepNext w:val="0"/>
        <w:keepLines w:val="0"/>
        <w:pageBreakBefore w:val="0"/>
        <w:wordWrap w:val="0"/>
        <w:overflowPunct/>
        <w:topLinePunct w:val="0"/>
        <w:bidi w:val="0"/>
        <w:spacing w:before="79" w:line="221" w:lineRule="auto"/>
        <w:ind w:left="487"/>
        <w:outlineLvl w:val="4"/>
        <w:rPr>
          <w:rFonts w:hint="eastAsia" w:ascii="宋体" w:hAnsi="宋体" w:eastAsia="宋体" w:cs="宋体"/>
          <w:color w:val="auto"/>
          <w:spacing w:val="0"/>
          <w:sz w:val="24"/>
          <w:szCs w:val="24"/>
          <w:highlight w:val="none"/>
        </w:rPr>
      </w:pPr>
      <w:bookmarkStart w:id="19" w:name="bookmark64"/>
      <w:bookmarkEnd w:id="19"/>
      <w:bookmarkStart w:id="20" w:name="bookmark78"/>
      <w:bookmarkEnd w:id="20"/>
      <w:bookmarkStart w:id="21" w:name="_Toc1549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1"/>
    </w:p>
    <w:p w14:paraId="10DC164E">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730</w:t>
      </w:r>
      <w:r>
        <w:rPr>
          <w:rFonts w:hint="eastAsia" w:ascii="宋体" w:hAnsi="宋体" w:eastAsia="宋体" w:cs="宋体"/>
          <w:color w:val="auto"/>
          <w:spacing w:val="0"/>
          <w:sz w:val="24"/>
          <w:szCs w:val="24"/>
          <w:highlight w:val="none"/>
          <w:u w:val="single"/>
          <w:lang w:val="en-US" w:eastAsia="zh-CN"/>
        </w:rPr>
        <w:t>个日历天</w:t>
      </w:r>
      <w:r>
        <w:rPr>
          <w:rFonts w:hint="eastAsia" w:ascii="宋体" w:hAnsi="宋体" w:eastAsia="宋体" w:cs="宋体"/>
          <w:color w:val="auto"/>
          <w:spacing w:val="0"/>
          <w:sz w:val="24"/>
          <w:szCs w:val="24"/>
          <w:highlight w:val="none"/>
        </w:rPr>
        <w:t>，中标人必须在招标工期内完成招标范围内的全部内容。</w:t>
      </w:r>
    </w:p>
    <w:p w14:paraId="2574D13A">
      <w:pPr>
        <w:keepNext w:val="0"/>
        <w:keepLines w:val="0"/>
        <w:pageBreakBefore w:val="0"/>
        <w:wordWrap w:val="0"/>
        <w:overflowPunct/>
        <w:topLinePunct w:val="0"/>
        <w:bidi w:val="0"/>
        <w:spacing w:before="78" w:line="219" w:lineRule="auto"/>
        <w:ind w:left="488"/>
        <w:outlineLvl w:val="4"/>
        <w:rPr>
          <w:rFonts w:hint="eastAsia" w:ascii="宋体" w:hAnsi="宋体" w:eastAsia="宋体" w:cs="宋体"/>
          <w:color w:val="auto"/>
          <w:spacing w:val="0"/>
          <w:sz w:val="24"/>
          <w:szCs w:val="24"/>
          <w:highlight w:val="none"/>
        </w:rPr>
      </w:pPr>
      <w:bookmarkStart w:id="22" w:name="_Toc4154"/>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2"/>
    </w:p>
    <w:p w14:paraId="2EE63B7A">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550F785F">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7AA414C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96BED74">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744CB0C9">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10FFFDB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keepNext w:val="0"/>
        <w:keepLines w:val="0"/>
        <w:pageBreakBefore w:val="0"/>
        <w:wordWrap w:val="0"/>
        <w:overflowPunct/>
        <w:topLinePunct w:val="0"/>
        <w:bidi w:val="0"/>
        <w:spacing w:before="78" w:line="220" w:lineRule="auto"/>
        <w:ind w:left="489"/>
        <w:outlineLvl w:val="4"/>
        <w:rPr>
          <w:rFonts w:hint="eastAsia" w:ascii="宋体" w:hAnsi="宋体" w:eastAsia="宋体" w:cs="宋体"/>
          <w:color w:val="auto"/>
          <w:spacing w:val="0"/>
          <w:sz w:val="24"/>
          <w:szCs w:val="24"/>
          <w:highlight w:val="none"/>
        </w:rPr>
      </w:pPr>
      <w:bookmarkStart w:id="23" w:name="_Toc7763"/>
      <w:r>
        <w:rPr>
          <w:rFonts w:hint="eastAsia" w:ascii="宋体" w:hAnsi="宋体" w:eastAsia="宋体" w:cs="宋体"/>
          <w:b/>
          <w:bCs/>
          <w:color w:val="auto"/>
          <w:spacing w:val="0"/>
          <w:sz w:val="24"/>
          <w:szCs w:val="24"/>
          <w:highlight w:val="none"/>
        </w:rPr>
        <w:t>6 ．施工条件及现场踏勘</w:t>
      </w:r>
      <w:bookmarkEnd w:id="23"/>
    </w:p>
    <w:p w14:paraId="33B1E63A">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p>
    <w:p w14:paraId="43C889C7">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24" w:name="bookmark118"/>
      <w:bookmarkEnd w:id="24"/>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5DA5ED0F">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117B1E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7B035D82">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7738F7AC">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757ED06">
      <w:pPr>
        <w:keepNext w:val="0"/>
        <w:keepLines w:val="0"/>
        <w:pageBreakBefore w:val="0"/>
        <w:wordWrap w:val="0"/>
        <w:overflowPunct/>
        <w:topLinePunct w:val="0"/>
        <w:bidi w:val="0"/>
        <w:spacing w:before="78" w:line="220" w:lineRule="auto"/>
        <w:ind w:left="488"/>
        <w:outlineLvl w:val="4"/>
        <w:rPr>
          <w:rFonts w:hint="eastAsia" w:ascii="宋体" w:hAnsi="宋体" w:eastAsia="宋体" w:cs="宋体"/>
          <w:color w:val="auto"/>
          <w:spacing w:val="0"/>
          <w:sz w:val="24"/>
          <w:szCs w:val="24"/>
          <w:highlight w:val="none"/>
        </w:rPr>
      </w:pPr>
      <w:bookmarkStart w:id="25" w:name="bookmark67"/>
      <w:bookmarkEnd w:id="25"/>
      <w:bookmarkStart w:id="26" w:name="bookmark69"/>
      <w:bookmarkEnd w:id="26"/>
      <w:bookmarkStart w:id="27" w:name="bookmark81"/>
      <w:bookmarkEnd w:id="27"/>
      <w:bookmarkStart w:id="28" w:name="_Toc15543"/>
      <w:r>
        <w:rPr>
          <w:rFonts w:hint="eastAsia" w:ascii="宋体" w:hAnsi="宋体" w:eastAsia="宋体" w:cs="宋体"/>
          <w:b/>
          <w:bCs/>
          <w:color w:val="auto"/>
          <w:spacing w:val="0"/>
          <w:sz w:val="24"/>
          <w:szCs w:val="24"/>
          <w:highlight w:val="none"/>
        </w:rPr>
        <w:t>7 ．招标文件的提问和答疑</w:t>
      </w:r>
      <w:bookmarkEnd w:id="28"/>
    </w:p>
    <w:p w14:paraId="58203EDA">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79A8D99B">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46874AE">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1850E2AC">
      <w:pPr>
        <w:keepNext w:val="0"/>
        <w:keepLines w:val="0"/>
        <w:pageBreakBefore w:val="0"/>
        <w:wordWrap w:val="0"/>
        <w:overflowPunct/>
        <w:topLinePunct w:val="0"/>
        <w:bidi w:val="0"/>
        <w:spacing w:before="79" w:line="219" w:lineRule="auto"/>
        <w:ind w:left="488"/>
        <w:outlineLvl w:val="4"/>
        <w:rPr>
          <w:rFonts w:hint="eastAsia" w:ascii="宋体" w:hAnsi="宋体" w:eastAsia="宋体" w:cs="宋体"/>
          <w:color w:val="auto"/>
          <w:spacing w:val="0"/>
          <w:sz w:val="24"/>
          <w:szCs w:val="24"/>
          <w:highlight w:val="none"/>
        </w:rPr>
      </w:pPr>
      <w:bookmarkStart w:id="29" w:name="_Toc6897"/>
      <w:r>
        <w:rPr>
          <w:rFonts w:hint="eastAsia" w:ascii="宋体" w:hAnsi="宋体" w:eastAsia="宋体" w:cs="宋体"/>
          <w:b/>
          <w:bCs/>
          <w:color w:val="auto"/>
          <w:spacing w:val="0"/>
          <w:sz w:val="24"/>
          <w:szCs w:val="24"/>
          <w:highlight w:val="none"/>
        </w:rPr>
        <w:t>8 ．</w:t>
      </w:r>
      <w:bookmarkEnd w:id="29"/>
      <w:r>
        <w:rPr>
          <w:rFonts w:hint="eastAsia" w:ascii="宋体" w:hAnsi="宋体" w:eastAsia="宋体" w:cs="宋体"/>
          <w:b/>
          <w:bCs/>
          <w:color w:val="auto"/>
          <w:spacing w:val="0"/>
          <w:sz w:val="24"/>
          <w:szCs w:val="24"/>
          <w:highlight w:val="none"/>
          <w:lang w:val="en-US" w:eastAsia="zh-CN"/>
        </w:rPr>
        <w:t>最高投标限价</w:t>
      </w:r>
    </w:p>
    <w:p w14:paraId="37FBB470">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1070EE1C">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4A7247E5">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1DF117C">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2964A12F">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0" w:name="bookmark119"/>
      <w:bookmarkEnd w:id="30"/>
      <w:r>
        <w:rPr>
          <w:rFonts w:hint="eastAsia" w:ascii="宋体" w:hAnsi="宋体" w:eastAsia="宋体" w:cs="宋体"/>
          <w:color w:val="auto"/>
          <w:spacing w:val="0"/>
          <w:sz w:val="24"/>
          <w:szCs w:val="24"/>
          <w:highlight w:val="none"/>
        </w:rPr>
        <w:t>（4）招标文件及招标工程量清单；</w:t>
      </w:r>
    </w:p>
    <w:p w14:paraId="76D0A57F">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504E4C98">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6B6B220A">
      <w:pPr>
        <w:keepNext w:val="0"/>
        <w:keepLines w:val="0"/>
        <w:pageBreakBefore w:val="0"/>
        <w:wordWrap w:val="0"/>
        <w:overflowPunct/>
        <w:topLinePunct w:val="0"/>
        <w:bidi w:val="0"/>
        <w:spacing w:before="157" w:line="36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561A76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val="0"/>
          <w:color w:val="auto"/>
          <w:sz w:val="24"/>
          <w:szCs w:val="24"/>
          <w:highlight w:val="none"/>
        </w:rPr>
        <w:t>本次招标项目招标控制价为人民币(大写)：柒佰贰拾玖万柒仟陆佰零捌元伍角</w:t>
      </w:r>
      <w:r>
        <w:rPr>
          <w:rFonts w:hint="eastAsia" w:ascii="宋体" w:hAnsi="宋体" w:eastAsia="宋体" w:cs="宋体"/>
          <w:b/>
          <w:bCs w:val="0"/>
          <w:color w:val="auto"/>
          <w:sz w:val="24"/>
          <w:szCs w:val="24"/>
          <w:highlight w:val="none"/>
          <w:u w:val="none"/>
        </w:rPr>
        <w:t>（</w:t>
      </w:r>
      <w:r>
        <w:rPr>
          <w:rFonts w:hint="eastAsia" w:ascii="宋体" w:hAnsi="宋体" w:eastAsia="宋体" w:cs="宋体"/>
          <w:b/>
          <w:bCs w:val="0"/>
          <w:color w:val="auto"/>
          <w:sz w:val="24"/>
          <w:szCs w:val="24"/>
          <w:highlight w:val="none"/>
          <w:u w:val="none"/>
          <w:lang w:eastAsia="zh-CN"/>
        </w:rPr>
        <w:t>￥</w:t>
      </w:r>
      <w:r>
        <w:rPr>
          <w:rFonts w:hint="eastAsia" w:ascii="宋体" w:hAnsi="宋体" w:cs="宋体"/>
          <w:b/>
          <w:bCs w:val="0"/>
          <w:color w:val="auto"/>
          <w:sz w:val="24"/>
          <w:szCs w:val="24"/>
          <w:highlight w:val="none"/>
          <w:u w:val="none"/>
          <w:lang w:val="en-US" w:eastAsia="zh-CN"/>
        </w:rPr>
        <w:t>7297608.50</w:t>
      </w:r>
      <w:r>
        <w:rPr>
          <w:rFonts w:hint="eastAsia" w:ascii="宋体" w:hAnsi="宋体" w:eastAsia="宋体" w:cs="宋体"/>
          <w:b/>
          <w:bCs w:val="0"/>
          <w:color w:val="auto"/>
          <w:sz w:val="24"/>
          <w:szCs w:val="24"/>
          <w:highlight w:val="none"/>
          <w:u w:val="none"/>
        </w:rPr>
        <w:t>元）</w:t>
      </w:r>
      <w:r>
        <w:rPr>
          <w:rFonts w:hint="eastAsia" w:ascii="宋体" w:hAnsi="宋体" w:eastAsia="宋体" w:cs="宋体"/>
          <w:b/>
          <w:bCs w:val="0"/>
          <w:color w:val="auto"/>
          <w:sz w:val="24"/>
          <w:szCs w:val="24"/>
          <w:highlight w:val="none"/>
        </w:rPr>
        <w:t>。其中：</w:t>
      </w:r>
      <w:r>
        <w:rPr>
          <w:rFonts w:hint="eastAsia" w:ascii="宋体" w:hAnsi="宋体" w:cs="宋体"/>
          <w:b/>
          <w:bCs w:val="0"/>
          <w:color w:val="auto"/>
          <w:sz w:val="24"/>
          <w:szCs w:val="24"/>
          <w:highlight w:val="none"/>
          <w:lang w:val="en-US" w:eastAsia="zh-CN"/>
        </w:rPr>
        <w:t>暂列金</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302721.33</w:t>
      </w:r>
      <w:r>
        <w:rPr>
          <w:rFonts w:hint="eastAsia" w:ascii="宋体" w:hAnsi="宋体" w:eastAsia="宋体" w:cs="宋体"/>
          <w:b/>
          <w:bCs w:val="0"/>
          <w:color w:val="auto"/>
          <w:sz w:val="24"/>
          <w:szCs w:val="24"/>
          <w:highlight w:val="none"/>
        </w:rPr>
        <w:t>元</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暂估价</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278368.85</w:t>
      </w:r>
      <w:r>
        <w:rPr>
          <w:rFonts w:hint="eastAsia" w:ascii="宋体" w:hAnsi="宋体" w:eastAsia="宋体" w:cs="宋体"/>
          <w:b/>
          <w:bCs w:val="0"/>
          <w:color w:val="auto"/>
          <w:sz w:val="24"/>
          <w:szCs w:val="24"/>
          <w:highlight w:val="none"/>
        </w:rPr>
        <w:t>元</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绿色施工安全防护措施费</w:t>
      </w:r>
      <w:r>
        <w:rPr>
          <w:rFonts w:hint="eastAsia" w:ascii="宋体" w:hAnsi="宋体" w:cs="宋体"/>
          <w:b/>
          <w:bCs w:val="0"/>
          <w:color w:val="auto"/>
          <w:sz w:val="24"/>
          <w:szCs w:val="24"/>
          <w:highlight w:val="none"/>
          <w:lang w:val="en-US" w:eastAsia="zh-CN"/>
        </w:rPr>
        <w:t>（不得低于）</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274341.78</w:t>
      </w:r>
      <w:r>
        <w:rPr>
          <w:rFonts w:hint="eastAsia" w:ascii="宋体" w:hAnsi="宋体" w:eastAsia="宋体" w:cs="宋体"/>
          <w:b/>
          <w:bCs w:val="0"/>
          <w:color w:val="auto"/>
          <w:sz w:val="24"/>
          <w:szCs w:val="24"/>
          <w:highlight w:val="none"/>
        </w:rPr>
        <w:t>元</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br w:type="textWrapping"/>
      </w:r>
      <w:r>
        <w:rPr>
          <w:rFonts w:hint="eastAsia" w:ascii="宋体" w:hAnsi="宋体" w:eastAsia="宋体" w:cs="宋体"/>
          <w:b/>
          <w:bCs/>
          <w:i w:val="0"/>
          <w:iCs w:val="0"/>
          <w:caps w:val="0"/>
          <w:spacing w:val="0"/>
          <w:sz w:val="24"/>
          <w:szCs w:val="24"/>
          <w:shd w:val="clear" w:color="auto" w:fill="FFFFFF"/>
        </w:rPr>
        <w:t>注：本项目招标控制价由韶关市曲江区投资评审中心提供。</w:t>
      </w:r>
      <w:r>
        <w:rPr>
          <w:rFonts w:hint="eastAsia" w:ascii="宋体" w:hAnsi="宋体" w:eastAsia="宋体" w:cs="宋体"/>
          <w:b/>
          <w:bCs/>
          <w:i w:val="0"/>
          <w:iCs w:val="0"/>
          <w:caps w:val="0"/>
          <w:spacing w:val="0"/>
          <w:sz w:val="24"/>
          <w:szCs w:val="24"/>
          <w:shd w:val="clear" w:color="auto" w:fill="FFFFFF"/>
          <w:lang w:val="en-US" w:eastAsia="zh-CN"/>
        </w:rPr>
        <w:t>招标控制价已按韶曲府办【2025】8号文规定</w:t>
      </w:r>
      <w:r>
        <w:rPr>
          <w:rFonts w:hint="eastAsia" w:ascii="宋体" w:hAnsi="宋体" w:eastAsia="宋体" w:cs="宋体"/>
          <w:b/>
          <w:bCs/>
          <w:i w:val="0"/>
          <w:iCs w:val="0"/>
          <w:caps w:val="0"/>
          <w:spacing w:val="0"/>
          <w:sz w:val="24"/>
          <w:szCs w:val="24"/>
          <w:shd w:val="clear" w:color="auto" w:fill="FFFFFF"/>
        </w:rPr>
        <w:t>土建工程下浮5%</w:t>
      </w:r>
      <w:r>
        <w:rPr>
          <w:rFonts w:hint="eastAsia" w:ascii="宋体" w:hAnsi="宋体" w:eastAsia="宋体" w:cs="宋体"/>
          <w:b/>
          <w:bCs/>
          <w:i w:val="0"/>
          <w:iCs w:val="0"/>
          <w:caps w:val="0"/>
          <w:spacing w:val="0"/>
          <w:sz w:val="24"/>
          <w:szCs w:val="24"/>
          <w:shd w:val="clear" w:color="auto" w:fill="FFFFFF"/>
          <w:lang w:eastAsia="zh-CN"/>
        </w:rPr>
        <w:t>，</w:t>
      </w:r>
      <w:r>
        <w:rPr>
          <w:rFonts w:hint="eastAsia" w:ascii="宋体" w:hAnsi="宋体" w:eastAsia="宋体" w:cs="宋体"/>
          <w:b/>
          <w:bCs/>
          <w:i w:val="0"/>
          <w:iCs w:val="0"/>
          <w:caps w:val="0"/>
          <w:spacing w:val="0"/>
          <w:sz w:val="24"/>
          <w:szCs w:val="24"/>
          <w:shd w:val="clear" w:color="auto" w:fill="FFFFFF"/>
          <w:lang w:val="en-US" w:eastAsia="zh-CN"/>
        </w:rPr>
        <w:t>绿化、</w:t>
      </w:r>
      <w:r>
        <w:rPr>
          <w:rFonts w:hint="eastAsia" w:ascii="宋体" w:hAnsi="宋体" w:eastAsia="宋体" w:cs="宋体"/>
          <w:b/>
          <w:bCs/>
          <w:i w:val="0"/>
          <w:iCs w:val="0"/>
          <w:caps w:val="0"/>
          <w:spacing w:val="0"/>
          <w:sz w:val="24"/>
          <w:szCs w:val="24"/>
          <w:shd w:val="clear" w:color="auto" w:fill="FFFFFF"/>
        </w:rPr>
        <w:t>安装工程下浮8%作为本项目招标控制价，投标人自行考虑报价。</w:t>
      </w:r>
    </w:p>
    <w:p w14:paraId="458077E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698FFA3">
      <w:pPr>
        <w:keepNext w:val="0"/>
        <w:keepLines w:val="0"/>
        <w:pageBreakBefore w:val="0"/>
        <w:wordWrap w:val="0"/>
        <w:overflowPunct/>
        <w:topLinePunct w:val="0"/>
        <w:bidi w:val="0"/>
        <w:spacing w:before="36" w:line="278" w:lineRule="auto"/>
        <w:ind w:left="10" w:right="200" w:firstLine="4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本招标项目以暂估价形式列入招标工程量清单中的材料、工程设备、专业工程（以下统称“暂估价项目 ”）包括：</w:t>
      </w:r>
      <w:r>
        <w:rPr>
          <w:rFonts w:hint="eastAsia" w:ascii="宋体" w:hAnsi="宋体" w:eastAsia="宋体" w:cs="宋体"/>
          <w:color w:val="auto"/>
          <w:spacing w:val="0"/>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2E6E5889">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748F67E9">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6736DF1E">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EC26BD9">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51638999">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06A8222B">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44041CF4">
      <w:pPr>
        <w:keepNext w:val="0"/>
        <w:keepLines w:val="0"/>
        <w:pageBreakBefore w:val="0"/>
        <w:wordWrap w:val="0"/>
        <w:overflowPunct/>
        <w:topLinePunct w:val="0"/>
        <w:bidi w:val="0"/>
        <w:spacing w:before="79" w:line="219" w:lineRule="auto"/>
        <w:ind w:left="487"/>
        <w:outlineLvl w:val="4"/>
        <w:rPr>
          <w:rFonts w:hint="eastAsia" w:ascii="宋体" w:hAnsi="宋体" w:eastAsia="宋体" w:cs="宋体"/>
          <w:color w:val="auto"/>
          <w:spacing w:val="0"/>
          <w:sz w:val="24"/>
          <w:szCs w:val="24"/>
          <w:highlight w:val="none"/>
        </w:rPr>
      </w:pPr>
      <w:bookmarkStart w:id="31" w:name="_Toc22978"/>
      <w:r>
        <w:rPr>
          <w:rFonts w:hint="eastAsia" w:ascii="宋体" w:hAnsi="宋体" w:eastAsia="宋体" w:cs="宋体"/>
          <w:b/>
          <w:bCs/>
          <w:color w:val="auto"/>
          <w:spacing w:val="0"/>
          <w:sz w:val="24"/>
          <w:szCs w:val="24"/>
          <w:highlight w:val="none"/>
        </w:rPr>
        <w:t>9 ．投标报价</w:t>
      </w:r>
      <w:bookmarkEnd w:id="31"/>
    </w:p>
    <w:p w14:paraId="0ED2EF22">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5DFFCF42">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C5DC104">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6A82739">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32" w:name="bookmark120"/>
      <w:bookmarkEnd w:id="32"/>
      <w:r>
        <w:rPr>
          <w:rFonts w:hint="eastAsia" w:ascii="宋体" w:hAnsi="宋体" w:eastAsia="宋体" w:cs="宋体"/>
          <w:color w:val="auto"/>
          <w:spacing w:val="0"/>
          <w:sz w:val="24"/>
          <w:szCs w:val="24"/>
          <w:highlight w:val="none"/>
        </w:rPr>
        <w:t>（3）企业定额；</w:t>
      </w:r>
    </w:p>
    <w:p w14:paraId="21D7AB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6C148BB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05C84BB3">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42F852A9">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42E67E93">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655BD8EA">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7D8B28AF">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BD0F3F4">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18DC3EDD">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2DEC74A0">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0CE886C">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2EE97EFC">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0A848A62">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w:t>
      </w:r>
    </w:p>
    <w:p w14:paraId="76AD78D0">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31555D04">
      <w:pPr>
        <w:pStyle w:val="6"/>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宋体" w:hAnsi="宋体" w:eastAsia="宋体" w:cs="宋体"/>
          <w:snapToGrid w:val="0"/>
          <w:color w:val="auto"/>
          <w:spacing w:val="0"/>
          <w:sz w:val="24"/>
          <w:szCs w:val="24"/>
          <w:highlight w:val="none"/>
          <w:lang w:val="en-US" w:eastAsia="en-US" w:bidi="ar-SA"/>
        </w:rPr>
      </w:pPr>
      <w:r>
        <w:rPr>
          <w:rFonts w:hint="eastAsia" w:ascii="宋体" w:hAnsi="宋体" w:eastAsia="宋体" w:cs="宋体"/>
          <w:b/>
          <w:bCs/>
          <w:color w:val="auto"/>
          <w:spacing w:val="0"/>
          <w:highlight w:val="none"/>
        </w:rPr>
        <w:t xml:space="preserve">9.10 </w:t>
      </w:r>
      <w:r>
        <w:rPr>
          <w:rFonts w:hint="eastAsia" w:ascii="宋体" w:hAnsi="宋体" w:eastAsia="宋体" w:cs="宋体"/>
          <w:snapToGrid w:val="0"/>
          <w:color w:val="auto"/>
          <w:spacing w:val="0"/>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keepNext w:val="0"/>
        <w:keepLines w:val="0"/>
        <w:pageBreakBefore w:val="0"/>
        <w:wordWrap w:val="0"/>
        <w:overflowPunct/>
        <w:topLinePunct w:val="0"/>
        <w:bidi w:val="0"/>
        <w:spacing w:before="78" w:line="220" w:lineRule="auto"/>
        <w:ind w:left="496"/>
        <w:outlineLvl w:val="4"/>
        <w:rPr>
          <w:rFonts w:hint="eastAsia" w:ascii="宋体" w:hAnsi="宋体" w:eastAsia="宋体" w:cs="宋体"/>
          <w:color w:val="auto"/>
          <w:spacing w:val="0"/>
          <w:sz w:val="24"/>
          <w:szCs w:val="24"/>
          <w:highlight w:val="none"/>
        </w:rPr>
      </w:pPr>
      <w:bookmarkStart w:id="33" w:name="_Toc16322"/>
      <w:r>
        <w:rPr>
          <w:rFonts w:hint="eastAsia" w:ascii="宋体" w:hAnsi="宋体" w:eastAsia="宋体" w:cs="宋体"/>
          <w:b/>
          <w:bCs/>
          <w:color w:val="auto"/>
          <w:spacing w:val="0"/>
          <w:sz w:val="24"/>
          <w:szCs w:val="24"/>
          <w:highlight w:val="none"/>
        </w:rPr>
        <w:t>10 ．投标文件的编制要求</w:t>
      </w:r>
      <w:bookmarkEnd w:id="33"/>
    </w:p>
    <w:p w14:paraId="1ADA1598">
      <w:pPr>
        <w:keepNext w:val="0"/>
        <w:keepLines w:val="0"/>
        <w:pageBreakBefore w:val="0"/>
        <w:wordWrap w:val="0"/>
        <w:overflowPunct/>
        <w:topLinePunct w:val="0"/>
        <w:bidi w:val="0"/>
        <w:spacing w:before="152" w:line="222" w:lineRule="auto"/>
        <w:ind w:left="496"/>
        <w:outlineLvl w:val="5"/>
        <w:rPr>
          <w:rFonts w:hint="eastAsia" w:ascii="宋体" w:hAnsi="宋体" w:eastAsia="宋体" w:cs="宋体"/>
          <w:color w:val="auto"/>
          <w:spacing w:val="0"/>
          <w:sz w:val="24"/>
          <w:szCs w:val="24"/>
          <w:highlight w:val="none"/>
        </w:rPr>
      </w:pPr>
      <w:bookmarkStart w:id="34" w:name="_Toc20590"/>
      <w:bookmarkStart w:id="35" w:name="_Toc22937"/>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34"/>
      <w:bookmarkEnd w:id="35"/>
    </w:p>
    <w:p w14:paraId="3BA09E09">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4F68F54">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51122B5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1C1308EF">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75FDA074">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6358B792">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3F70DCC9">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2DA037BE">
      <w:pPr>
        <w:keepNext w:val="0"/>
        <w:keepLines w:val="0"/>
        <w:pageBreakBefore w:val="0"/>
        <w:wordWrap w:val="0"/>
        <w:overflowPunct/>
        <w:topLinePunct w:val="0"/>
        <w:bidi w:val="0"/>
        <w:spacing w:before="155" w:line="219" w:lineRule="auto"/>
        <w:ind w:left="0" w:leftChars="0" w:firstLine="482" w:firstLineChars="200"/>
        <w:outlineLvl w:val="5"/>
        <w:rPr>
          <w:rFonts w:hint="eastAsia" w:ascii="宋体" w:hAnsi="宋体" w:eastAsia="宋体" w:cs="宋体"/>
          <w:b w:val="0"/>
          <w:bCs w:val="0"/>
          <w:color w:val="auto"/>
          <w:spacing w:val="0"/>
          <w:sz w:val="24"/>
          <w:szCs w:val="24"/>
          <w:highlight w:val="none"/>
        </w:rPr>
      </w:pPr>
      <w:bookmarkStart w:id="36" w:name="_Toc21271"/>
      <w:bookmarkStart w:id="37" w:name="_Toc20223"/>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0C858C64">
      <w:pPr>
        <w:keepNext w:val="0"/>
        <w:keepLines w:val="0"/>
        <w:pageBreakBefore w:val="0"/>
        <w:wordWrap w:val="0"/>
        <w:overflowPunct/>
        <w:topLinePunct w:val="0"/>
        <w:bidi w:val="0"/>
        <w:spacing w:before="155" w:line="219" w:lineRule="auto"/>
        <w:ind w:left="500"/>
        <w:outlineLvl w:val="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36"/>
      <w:bookmarkEnd w:id="37"/>
    </w:p>
    <w:p w14:paraId="0C2AF9BC">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52E57AE">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6EADC31">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74FBD39">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720161C8">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7094AFC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3AF70EF9">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2DB8A52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6673BC70">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36031B27">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2CE7262F">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4BF4D313">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6D95CC60">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0132BAD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38" w:name="OLE_LINK7"/>
      <w:r>
        <w:rPr>
          <w:rFonts w:hint="eastAsia" w:ascii="宋体" w:hAnsi="宋体" w:eastAsia="宋体" w:cs="宋体"/>
          <w:color w:val="auto"/>
          <w:spacing w:val="0"/>
          <w:sz w:val="24"/>
          <w:szCs w:val="24"/>
          <w:highlight w:val="none"/>
        </w:rPr>
        <w:t>目管理机构组成表》（格式十一）及</w:t>
      </w:r>
      <w:bookmarkEnd w:id="38"/>
      <w:r>
        <w:rPr>
          <w:rFonts w:hint="eastAsia" w:ascii="宋体" w:hAnsi="宋体" w:eastAsia="宋体" w:cs="宋体"/>
          <w:color w:val="auto"/>
          <w:spacing w:val="0"/>
          <w:sz w:val="24"/>
          <w:szCs w:val="24"/>
          <w:highlight w:val="none"/>
        </w:rPr>
        <w:t>所附资料；</w:t>
      </w:r>
    </w:p>
    <w:p w14:paraId="6E0A04ED">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3DF9A5F">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29D2CA8C">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2F3F2186">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120F2B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D4DCA8F">
      <w:pPr>
        <w:keepNext w:val="0"/>
        <w:keepLines w:val="0"/>
        <w:pageBreakBefore w:val="0"/>
        <w:wordWrap w:val="0"/>
        <w:overflowPunct/>
        <w:topLinePunct w:val="0"/>
        <w:bidi w:val="0"/>
        <w:spacing w:before="78" w:line="219" w:lineRule="auto"/>
        <w:ind w:left="496"/>
        <w:outlineLvl w:val="5"/>
        <w:rPr>
          <w:rFonts w:hint="eastAsia" w:ascii="宋体" w:hAnsi="宋体" w:eastAsia="宋体" w:cs="宋体"/>
          <w:color w:val="auto"/>
          <w:spacing w:val="0"/>
          <w:sz w:val="24"/>
          <w:szCs w:val="24"/>
          <w:highlight w:val="none"/>
        </w:rPr>
      </w:pPr>
      <w:bookmarkStart w:id="39" w:name="_Toc29370"/>
      <w:bookmarkStart w:id="40" w:name="_Toc10602"/>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39"/>
      <w:bookmarkEnd w:id="40"/>
    </w:p>
    <w:p w14:paraId="1F78619A">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57663477">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18A4AD47">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4083071">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105877BB">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2569EC2C">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068BAFD3">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05D38EAE">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1592DD8B">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3A6D334B">
      <w:pPr>
        <w:keepNext w:val="0"/>
        <w:keepLines w:val="0"/>
        <w:pageBreakBefore w:val="0"/>
        <w:wordWrap w:val="0"/>
        <w:overflowPunct/>
        <w:topLinePunct w:val="0"/>
        <w:bidi w:val="0"/>
        <w:spacing w:before="82" w:line="213" w:lineRule="auto"/>
        <w:ind w:left="496"/>
        <w:outlineLvl w:val="5"/>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7828F48B">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69CA5D7C">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D9B573B">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56E6D366">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3FE9ED6F">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059FD045">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0B2B5B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6608343E">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11AC19C5">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0D89566C">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42EF60D6">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2188CD8A">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1FC69F82">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69700B99">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4D11B874">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00EDD96D">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41"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41"/>
      <w:r>
        <w:rPr>
          <w:rFonts w:hint="eastAsia" w:ascii="宋体" w:hAnsi="宋体" w:eastAsia="宋体" w:cs="宋体"/>
          <w:color w:val="auto"/>
          <w:spacing w:val="0"/>
          <w:sz w:val="24"/>
          <w:szCs w:val="24"/>
          <w:highlight w:val="none"/>
        </w:rPr>
        <w:t>）；</w:t>
      </w:r>
    </w:p>
    <w:p w14:paraId="523DCF6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16991E29">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5EA512C0">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6B854B9F">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7DA830C4">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10.4.5</w:t>
      </w:r>
      <w:bookmarkStart w:id="42"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42"/>
      <w:bookmarkStart w:id="43" w:name="bookmark121"/>
      <w:bookmarkEnd w:id="43"/>
    </w:p>
    <w:p w14:paraId="10D83226">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p>
    <w:p w14:paraId="4408858C">
      <w:pPr>
        <w:keepNext w:val="0"/>
        <w:keepLines w:val="0"/>
        <w:pageBreakBefore w:val="0"/>
        <w:wordWrap w:val="0"/>
        <w:overflowPunct/>
        <w:topLinePunct w:val="0"/>
        <w:bidi w:val="0"/>
        <w:spacing w:before="78" w:line="219" w:lineRule="auto"/>
        <w:ind w:left="496"/>
        <w:outlineLvl w:val="3"/>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10.</w:t>
      </w: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定标文件的编制要求</w:t>
      </w:r>
    </w:p>
    <w:p w14:paraId="504314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49C08FDD">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w:t>
      </w:r>
      <w:r>
        <w:rPr>
          <w:rFonts w:hint="eastAsia" w:ascii="宋体" w:hAnsi="宋体" w:eastAsia="宋体" w:cs="宋体"/>
          <w:color w:val="auto"/>
          <w:spacing w:val="0"/>
          <w:sz w:val="24"/>
          <w:szCs w:val="24"/>
          <w:highlight w:val="none"/>
          <w:lang w:val="en-US" w:eastAsia="zh-CN"/>
        </w:rPr>
        <w:t>十四</w:t>
      </w:r>
      <w:r>
        <w:rPr>
          <w:rFonts w:hint="eastAsia" w:ascii="宋体" w:hAnsi="宋体" w:eastAsia="宋体" w:cs="宋体"/>
          <w:color w:val="auto"/>
          <w:spacing w:val="0"/>
          <w:sz w:val="24"/>
          <w:szCs w:val="24"/>
          <w:highlight w:val="none"/>
        </w:rPr>
        <w:t>）；</w:t>
      </w:r>
    </w:p>
    <w:p w14:paraId="0BE569D4">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6615EA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sz w:val="24"/>
          <w:highlight w:val="none"/>
          <w:lang w:val="en-US" w:eastAsia="zh-CN"/>
        </w:rPr>
        <w:t xml:space="preserve"> 定标因素评审资料（格式十五）</w:t>
      </w:r>
    </w:p>
    <w:p w14:paraId="2451D9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bCs/>
          <w:highlight w:val="none"/>
        </w:rPr>
      </w:pPr>
      <w:r>
        <w:rPr>
          <w:rFonts w:hint="eastAsia" w:ascii="宋体" w:hAnsi="宋体" w:eastAsia="宋体" w:cs="宋体"/>
          <w:b/>
          <w:bCs/>
          <w:color w:val="auto"/>
          <w:sz w:val="24"/>
          <w:highlight w:val="none"/>
          <w:lang w:val="en-US" w:eastAsia="zh-CN"/>
        </w:rPr>
        <w:t>注：第10.5的定标文件按照本章节第16.5定标因素所列提供，其中第16.5.6无需提供，其余</w:t>
      </w:r>
      <w:r>
        <w:rPr>
          <w:rFonts w:hint="eastAsia" w:ascii="宋体" w:hAnsi="宋体" w:eastAsia="宋体" w:cs="宋体"/>
          <w:b/>
          <w:bCs/>
          <w:color w:val="auto"/>
          <w:sz w:val="24"/>
          <w:highlight w:val="none"/>
        </w:rPr>
        <w:t>所有投标人均应提供。</w:t>
      </w:r>
    </w:p>
    <w:p w14:paraId="246CC548">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p>
    <w:p w14:paraId="334D0149">
      <w:pPr>
        <w:keepNext w:val="0"/>
        <w:keepLines w:val="0"/>
        <w:pageBreakBefore w:val="0"/>
        <w:wordWrap w:val="0"/>
        <w:overflowPunct/>
        <w:topLinePunct w:val="0"/>
        <w:bidi w:val="0"/>
        <w:spacing w:before="78" w:line="221" w:lineRule="auto"/>
        <w:ind w:left="496"/>
        <w:outlineLvl w:val="4"/>
        <w:rPr>
          <w:rFonts w:hint="eastAsia" w:ascii="宋体" w:hAnsi="宋体" w:eastAsia="宋体" w:cs="宋体"/>
          <w:color w:val="auto"/>
          <w:spacing w:val="0"/>
          <w:sz w:val="24"/>
          <w:szCs w:val="24"/>
          <w:highlight w:val="none"/>
        </w:rPr>
      </w:pPr>
      <w:bookmarkStart w:id="44" w:name="_Toc21936"/>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44"/>
    </w:p>
    <w:p w14:paraId="2928C8B1">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1973AD4">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5B82554">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4"/>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45" w:name="_Toc29834"/>
      <w:r>
        <w:rPr>
          <w:rFonts w:hint="eastAsia" w:ascii="宋体" w:hAnsi="宋体" w:eastAsia="宋体" w:cs="宋体"/>
          <w:b/>
          <w:bCs/>
          <w:color w:val="auto"/>
          <w:spacing w:val="0"/>
          <w:sz w:val="24"/>
          <w:szCs w:val="24"/>
          <w:highlight w:val="none"/>
        </w:rPr>
        <w:t>电子投标及投标解密失败及突发情况的补救方案</w:t>
      </w:r>
      <w:bookmarkEnd w:id="45"/>
    </w:p>
    <w:p w14:paraId="656A950F">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E34A594">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7A5C0062">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2D1DE68F">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46" w:name="bookmark122"/>
      <w:bookmarkEnd w:id="46"/>
      <w:r>
        <w:rPr>
          <w:rFonts w:hint="eastAsia" w:ascii="宋体" w:hAnsi="宋体" w:eastAsia="宋体" w:cs="宋体"/>
          <w:color w:val="auto"/>
          <w:spacing w:val="0"/>
          <w:sz w:val="24"/>
          <w:szCs w:val="24"/>
          <w:highlight w:val="none"/>
        </w:rPr>
        <w:t>重新提交投标文件继续开标程序。</w:t>
      </w:r>
    </w:p>
    <w:p w14:paraId="0F175F6A">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5863CD1F">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ACD5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5DCEDB99">
      <w:pPr>
        <w:keepNext w:val="0"/>
        <w:keepLines w:val="0"/>
        <w:pageBreakBefore w:val="0"/>
        <w:wordWrap w:val="0"/>
        <w:overflowPunct/>
        <w:topLinePunct w:val="0"/>
        <w:bidi w:val="0"/>
        <w:spacing w:before="78" w:line="220" w:lineRule="auto"/>
        <w:ind w:left="496"/>
        <w:outlineLvl w:val="4"/>
        <w:rPr>
          <w:rFonts w:hint="eastAsia" w:ascii="宋体" w:hAnsi="宋体" w:eastAsia="宋体" w:cs="宋体"/>
          <w:color w:val="auto"/>
          <w:spacing w:val="0"/>
          <w:sz w:val="24"/>
          <w:szCs w:val="24"/>
          <w:highlight w:val="none"/>
        </w:rPr>
      </w:pPr>
      <w:bookmarkStart w:id="47" w:name="_Toc27195"/>
      <w:r>
        <w:rPr>
          <w:rFonts w:hint="eastAsia" w:ascii="宋体" w:hAnsi="宋体" w:eastAsia="宋体" w:cs="宋体"/>
          <w:b/>
          <w:bCs/>
          <w:color w:val="auto"/>
          <w:spacing w:val="0"/>
          <w:sz w:val="24"/>
          <w:szCs w:val="24"/>
          <w:highlight w:val="none"/>
        </w:rPr>
        <w:t>13 ．投标文件的提交</w:t>
      </w:r>
      <w:bookmarkEnd w:id="47"/>
    </w:p>
    <w:p w14:paraId="7068EE2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09924D0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683F40A3">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1E722792">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458845F2">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26FD4E45">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0801F50A">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04D5C6EB">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43D9083E">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7FCFB836">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465B9D6E">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2CB00EB8">
      <w:pPr>
        <w:keepNext w:val="0"/>
        <w:keepLines w:val="0"/>
        <w:pageBreakBefore w:val="0"/>
        <w:wordWrap w:val="0"/>
        <w:overflowPunct/>
        <w:topLinePunct w:val="0"/>
        <w:bidi w:val="0"/>
        <w:spacing w:before="145" w:line="221" w:lineRule="auto"/>
        <w:ind w:left="496"/>
        <w:outlineLvl w:val="3"/>
        <w:rPr>
          <w:rFonts w:hint="eastAsia" w:ascii="宋体" w:hAnsi="宋体" w:eastAsia="宋体" w:cs="宋体"/>
          <w:color w:val="auto"/>
          <w:spacing w:val="0"/>
          <w:sz w:val="24"/>
          <w:szCs w:val="24"/>
          <w:highlight w:val="none"/>
        </w:rPr>
      </w:pPr>
      <w:bookmarkStart w:id="48" w:name="_Toc22047"/>
      <w:r>
        <w:rPr>
          <w:rFonts w:hint="eastAsia" w:ascii="宋体" w:hAnsi="宋体" w:eastAsia="宋体" w:cs="宋体"/>
          <w:b/>
          <w:bCs/>
          <w:color w:val="auto"/>
          <w:spacing w:val="0"/>
          <w:sz w:val="24"/>
          <w:szCs w:val="24"/>
          <w:highlight w:val="none"/>
        </w:rPr>
        <w:t>14 ．开标</w:t>
      </w:r>
      <w:bookmarkEnd w:id="48"/>
    </w:p>
    <w:p w14:paraId="034EB3D3">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49" w:name="bookmark123"/>
      <w:bookmarkEnd w:id="49"/>
      <w:r>
        <w:rPr>
          <w:rFonts w:hint="eastAsia" w:ascii="宋体" w:hAnsi="宋体" w:eastAsia="宋体" w:cs="宋体"/>
          <w:color w:val="auto"/>
          <w:spacing w:val="0"/>
          <w:sz w:val="24"/>
          <w:szCs w:val="24"/>
          <w:highlight w:val="none"/>
        </w:rPr>
        <w:t>标的，视其默认开标结果，以及放弃在开标期间见证、监督、投诉、申辩的权利。</w:t>
      </w:r>
    </w:p>
    <w:p w14:paraId="05862D79">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55E539B0">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A2CFB6D">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8C37DE6">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50" w:name="_Toc8314"/>
      <w:bookmarkStart w:id="51" w:name="_Toc15587"/>
      <w:bookmarkStart w:id="52" w:name="_Toc10291"/>
      <w:bookmarkStart w:id="53" w:name="_Toc10685"/>
      <w:r>
        <w:rPr>
          <w:rFonts w:hint="eastAsia" w:ascii="宋体" w:hAnsi="宋体" w:eastAsia="宋体" w:cs="宋体"/>
          <w:color w:val="auto"/>
          <w:spacing w:val="0"/>
          <w:sz w:val="24"/>
          <w:szCs w:val="24"/>
          <w:highlight w:val="none"/>
        </w:rPr>
        <w:t>（1）主持人（招标人代表或招标人授权的招标代理机构人员）宣读开标纪律。</w:t>
      </w:r>
      <w:bookmarkEnd w:id="50"/>
      <w:bookmarkEnd w:id="51"/>
      <w:bookmarkEnd w:id="52"/>
      <w:bookmarkEnd w:id="53"/>
    </w:p>
    <w:p w14:paraId="776645C0">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54" w:name="_Toc16292"/>
      <w:bookmarkStart w:id="55" w:name="_Toc30853"/>
      <w:bookmarkStart w:id="56" w:name="_Toc20238"/>
      <w:bookmarkStart w:id="57" w:name="_Toc2011"/>
      <w:r>
        <w:rPr>
          <w:rFonts w:hint="eastAsia" w:ascii="宋体" w:hAnsi="宋体" w:eastAsia="宋体" w:cs="宋体"/>
          <w:color w:val="auto"/>
          <w:spacing w:val="0"/>
          <w:sz w:val="24"/>
          <w:szCs w:val="24"/>
          <w:highlight w:val="none"/>
        </w:rPr>
        <w:t>（2）主持人宣布唱标人、记录人、见证人、监督人等有关人员姓名。</w:t>
      </w:r>
      <w:bookmarkEnd w:id="54"/>
      <w:bookmarkEnd w:id="55"/>
      <w:bookmarkEnd w:id="56"/>
      <w:bookmarkEnd w:id="57"/>
    </w:p>
    <w:p w14:paraId="505384A6">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58" w:name="_Toc31716"/>
      <w:bookmarkStart w:id="59" w:name="_Toc17462"/>
      <w:bookmarkStart w:id="60" w:name="_Toc1974"/>
      <w:bookmarkStart w:id="61" w:name="_Toc26494"/>
      <w:r>
        <w:rPr>
          <w:rFonts w:hint="eastAsia" w:ascii="宋体" w:hAnsi="宋体" w:eastAsia="宋体" w:cs="宋体"/>
          <w:color w:val="auto"/>
          <w:spacing w:val="0"/>
          <w:sz w:val="24"/>
          <w:szCs w:val="24"/>
          <w:highlight w:val="none"/>
        </w:rPr>
        <w:t>（3）唱标人公布在投标截止时间前进行投标文件的投标人数量和名称</w:t>
      </w:r>
      <w:bookmarkEnd w:id="58"/>
      <w:bookmarkEnd w:id="59"/>
      <w:bookmarkEnd w:id="60"/>
      <w:bookmarkEnd w:id="61"/>
    </w:p>
    <w:p w14:paraId="224B54ED">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2" w:name="_Toc15860"/>
      <w:bookmarkStart w:id="63" w:name="_Toc27967"/>
      <w:bookmarkStart w:id="64" w:name="_Toc20559"/>
      <w:bookmarkStart w:id="65" w:name="_Toc8179"/>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62"/>
      <w:bookmarkEnd w:id="63"/>
      <w:bookmarkEnd w:id="64"/>
      <w:bookmarkEnd w:id="65"/>
    </w:p>
    <w:p w14:paraId="0C0A9C7B">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7C434C90">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66" w:name="_Toc2199"/>
      <w:bookmarkStart w:id="67" w:name="_Toc28812"/>
      <w:bookmarkStart w:id="68" w:name="_Toc28266"/>
      <w:bookmarkStart w:id="69"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66"/>
      <w:bookmarkEnd w:id="67"/>
      <w:bookmarkEnd w:id="68"/>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69"/>
    </w:p>
    <w:p w14:paraId="29DDC04A">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DB30EA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2E809B78">
      <w:pPr>
        <w:keepNext w:val="0"/>
        <w:keepLines w:val="0"/>
        <w:pageBreakBefore w:val="0"/>
        <w:wordWrap w:val="0"/>
        <w:overflowPunct/>
        <w:topLinePunct w:val="0"/>
        <w:bidi w:val="0"/>
        <w:spacing w:before="78" w:line="221" w:lineRule="auto"/>
        <w:ind w:left="496"/>
        <w:outlineLvl w:val="3"/>
        <w:rPr>
          <w:rFonts w:hint="eastAsia" w:ascii="宋体" w:hAnsi="宋体" w:eastAsia="宋体" w:cs="宋体"/>
          <w:color w:val="auto"/>
          <w:spacing w:val="0"/>
          <w:highlight w:val="none"/>
        </w:rPr>
      </w:pPr>
      <w:bookmarkStart w:id="70" w:name="_Toc961"/>
      <w:r>
        <w:rPr>
          <w:rFonts w:hint="eastAsia" w:ascii="宋体" w:hAnsi="宋体" w:eastAsia="宋体" w:cs="宋体"/>
          <w:b/>
          <w:bCs/>
          <w:color w:val="auto"/>
          <w:spacing w:val="0"/>
          <w:sz w:val="24"/>
          <w:szCs w:val="24"/>
          <w:highlight w:val="none"/>
        </w:rPr>
        <w:t>15 ．评标</w:t>
      </w:r>
      <w:bookmarkEnd w:id="70"/>
    </w:p>
    <w:p w14:paraId="42D28C78">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71" w:name="bookmark124"/>
      <w:bookmarkEnd w:id="71"/>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p>
    <w:p w14:paraId="1AE0EC81">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31B92F0C">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0 </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3773E95D">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0ECC06">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6812A920">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E3A1FF1">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6C955D4C">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3C4B0D01">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779D0486">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4E1CA66A">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761184C">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267A2AD">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31CCE9AE">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72" w:name="bookmark125"/>
      <w:bookmarkEnd w:id="72"/>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444FBDD2">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0A158934">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0814EC29">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58B00498">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1869560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375F7385">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73" w:name="bookmark126"/>
      <w:bookmarkEnd w:id="73"/>
      <w:r>
        <w:rPr>
          <w:rFonts w:hint="eastAsia" w:ascii="宋体" w:hAnsi="宋体" w:eastAsia="宋体" w:cs="宋体"/>
          <w:color w:val="auto"/>
          <w:spacing w:val="0"/>
          <w:position w:val="3"/>
          <w:sz w:val="24"/>
          <w:szCs w:val="24"/>
          <w:highlight w:val="none"/>
        </w:rPr>
        <w:t>h/pages/construction_safety/qyaqscxkz/qyaqscxkz）是否合法、有效、准确。</w:t>
      </w:r>
    </w:p>
    <w:p w14:paraId="540CBBB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6B9B0D89">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2F54F61">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27E19A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74"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72253524">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74"/>
      <w:r>
        <w:rPr>
          <w:rFonts w:hint="eastAsia" w:ascii="宋体" w:hAnsi="宋体" w:eastAsia="宋体" w:cs="宋体"/>
          <w:color w:val="auto"/>
          <w:spacing w:val="0"/>
          <w:sz w:val="24"/>
          <w:szCs w:val="24"/>
          <w:highlight w:val="none"/>
          <w:lang w:eastAsia="zh-CN"/>
        </w:rPr>
        <w:t>：</w:t>
      </w:r>
    </w:p>
    <w:p w14:paraId="4EA57E30">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75" w:name="_Toc20481"/>
      <w:bookmarkStart w:id="76" w:name="_Toc13304"/>
      <w:bookmarkStart w:id="77" w:name="_Toc4914"/>
      <w:bookmarkStart w:id="78" w:name="_Toc23632"/>
      <w:r>
        <w:rPr>
          <w:rFonts w:hint="eastAsia" w:ascii="宋体" w:hAnsi="宋体" w:eastAsia="宋体" w:cs="宋体"/>
          <w:color w:val="auto"/>
          <w:spacing w:val="0"/>
          <w:sz w:val="24"/>
          <w:szCs w:val="24"/>
          <w:highlight w:val="none"/>
        </w:rPr>
        <w:t>（1）各分册是否按招标文件规定加盖电子印章。</w:t>
      </w:r>
      <w:bookmarkEnd w:id="75"/>
      <w:bookmarkEnd w:id="76"/>
      <w:bookmarkEnd w:id="77"/>
      <w:bookmarkEnd w:id="78"/>
    </w:p>
    <w:p w14:paraId="1B27A302">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79" w:name="_Toc27432"/>
      <w:bookmarkStart w:id="80" w:name="_Toc10806"/>
      <w:bookmarkStart w:id="81" w:name="_Toc28409"/>
      <w:bookmarkStart w:id="82"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79"/>
      <w:bookmarkEnd w:id="80"/>
      <w:bookmarkEnd w:id="81"/>
      <w:r>
        <w:rPr>
          <w:rFonts w:hint="eastAsia" w:ascii="宋体" w:hAnsi="宋体" w:eastAsia="宋体" w:cs="宋体"/>
          <w:color w:val="auto"/>
          <w:spacing w:val="0"/>
          <w:sz w:val="24"/>
          <w:szCs w:val="24"/>
          <w:highlight w:val="none"/>
        </w:rPr>
        <w:t>供 ”的组成内容（包括该组成内容的所附资料）是否完整、齐全</w:t>
      </w:r>
      <w:bookmarkEnd w:id="82"/>
      <w:r>
        <w:rPr>
          <w:rFonts w:hint="eastAsia" w:ascii="宋体" w:hAnsi="宋体" w:eastAsia="宋体" w:cs="宋体"/>
          <w:color w:val="auto"/>
          <w:spacing w:val="0"/>
          <w:sz w:val="24"/>
          <w:szCs w:val="24"/>
          <w:highlight w:val="none"/>
          <w:lang w:eastAsia="zh-CN"/>
        </w:rPr>
        <w:t>。</w:t>
      </w:r>
    </w:p>
    <w:p w14:paraId="15AF52E2">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83" w:name="_Toc9581"/>
      <w:bookmarkStart w:id="84" w:name="_Toc17918"/>
      <w:bookmarkStart w:id="85" w:name="_Toc15678"/>
      <w:bookmarkStart w:id="86" w:name="_Toc22691"/>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83"/>
      <w:bookmarkEnd w:id="84"/>
      <w:bookmarkEnd w:id="85"/>
      <w:bookmarkEnd w:id="86"/>
    </w:p>
    <w:p w14:paraId="5B0B29C4">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87" w:name="_Toc14202"/>
      <w:bookmarkStart w:id="88" w:name="_Toc16645"/>
      <w:bookmarkStart w:id="89" w:name="_Toc22642"/>
      <w:bookmarkStart w:id="90" w:name="_Toc22562"/>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69F5E200">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87"/>
      <w:bookmarkEnd w:id="88"/>
      <w:bookmarkEnd w:id="89"/>
      <w:bookmarkEnd w:id="90"/>
    </w:p>
    <w:p w14:paraId="0A2173BC">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5225B394">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407B50B8">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3F4A496">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费是否达到最低要求；暂列金额、暂估价是否按照招标工程量清单统一报价；投标人是否以低于成本的价格竞标。</w:t>
      </w:r>
    </w:p>
    <w:p w14:paraId="0FEFD797">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91" w:name="bookmark127"/>
      <w:bookmarkEnd w:id="91"/>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2485C4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27A6EA2D">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92" w:name="_Toc19814"/>
      <w:bookmarkStart w:id="93" w:name="_Toc18204"/>
      <w:bookmarkStart w:id="94" w:name="_Toc15367"/>
      <w:bookmarkStart w:id="95" w:name="_Toc32114"/>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92"/>
      <w:bookmarkEnd w:id="93"/>
      <w:bookmarkEnd w:id="94"/>
      <w:bookmarkEnd w:id="95"/>
    </w:p>
    <w:p w14:paraId="71D5DBDC">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32A65C3">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2336"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7"/>
                    <a:stretch>
                      <a:fillRect/>
                    </a:stretch>
                  </pic:blipFill>
                  <pic:spPr>
                    <a:xfrm>
                      <a:off x="0" y="0"/>
                      <a:ext cx="6350" cy="279400"/>
                    </a:xfrm>
                    <a:prstGeom prst="rect">
                      <a:avLst/>
                    </a:prstGeom>
                    <a:noFill/>
                    <a:ln>
                      <a:noFill/>
                    </a:ln>
                  </pic:spPr>
                </pic:pic>
              </a:graphicData>
            </a:graphic>
          </wp:anchor>
        </w:drawing>
      </w:r>
      <w:bookmarkStart w:id="96" w:name="bookmark128"/>
      <w:bookmarkEnd w:id="96"/>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60660A02">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97" w:name="_Toc28572"/>
      <w:bookmarkStart w:id="98" w:name="_Toc10503"/>
      <w:bookmarkStart w:id="99" w:name="_Toc4119"/>
      <w:bookmarkStart w:id="100" w:name="_Toc14991"/>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97"/>
      <w:bookmarkEnd w:id="98"/>
      <w:bookmarkEnd w:id="99"/>
      <w:bookmarkEnd w:id="100"/>
    </w:p>
    <w:p w14:paraId="1C11D96B">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3ABDDFF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11F14EEB">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01" w:name="_Toc22949"/>
      <w:bookmarkStart w:id="102" w:name="_Toc17510"/>
      <w:bookmarkStart w:id="103" w:name="_Toc10398"/>
      <w:bookmarkStart w:id="104" w:name="_Toc18029"/>
      <w:r>
        <w:rPr>
          <w:rFonts w:hint="eastAsia" w:ascii="宋体" w:hAnsi="宋体" w:eastAsia="宋体" w:cs="宋体"/>
          <w:color w:val="auto"/>
          <w:spacing w:val="0"/>
          <w:sz w:val="24"/>
          <w:szCs w:val="24"/>
          <w:highlight w:val="none"/>
        </w:rPr>
        <w:t>（1）商务技术得分 M</w:t>
      </w:r>
      <w:bookmarkEnd w:id="101"/>
      <w:bookmarkEnd w:id="102"/>
      <w:bookmarkEnd w:id="103"/>
      <w:bookmarkEnd w:id="104"/>
    </w:p>
    <w:p w14:paraId="7F4E18BB">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20931295">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C018EDE">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277B94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6B037580">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05" w:name="_Toc27609"/>
      <w:bookmarkStart w:id="106" w:name="_Toc3958"/>
      <w:bookmarkStart w:id="107" w:name="_Toc14059"/>
      <w:bookmarkStart w:id="108" w:name="_Toc16136"/>
      <w:r>
        <w:rPr>
          <w:rFonts w:hint="eastAsia" w:ascii="宋体" w:hAnsi="宋体" w:eastAsia="宋体" w:cs="宋体"/>
          <w:color w:val="auto"/>
          <w:spacing w:val="0"/>
          <w:sz w:val="24"/>
          <w:szCs w:val="24"/>
          <w:highlight w:val="none"/>
        </w:rPr>
        <w:t>（2）投标报价得分 N</w:t>
      </w:r>
      <w:bookmarkEnd w:id="105"/>
      <w:bookmarkEnd w:id="106"/>
      <w:bookmarkEnd w:id="107"/>
      <w:bookmarkEnd w:id="108"/>
    </w:p>
    <w:p w14:paraId="1BB7535A">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58AA9DB6">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32F1429">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6B667673">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6F340CA9">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09" w:name="_Toc4990"/>
      <w:bookmarkStart w:id="110" w:name="_Toc576"/>
      <w:bookmarkStart w:id="111" w:name="_Toc3861"/>
      <w:bookmarkStart w:id="112" w:name="_Toc7915"/>
      <w:r>
        <w:rPr>
          <w:rFonts w:hint="eastAsia" w:ascii="宋体" w:hAnsi="宋体" w:eastAsia="宋体" w:cs="宋体"/>
          <w:color w:val="auto"/>
          <w:spacing w:val="0"/>
          <w:sz w:val="24"/>
          <w:szCs w:val="24"/>
          <w:highlight w:val="none"/>
        </w:rPr>
        <w:t>（3）综合得分</w:t>
      </w:r>
      <w:bookmarkEnd w:id="109"/>
      <w:bookmarkEnd w:id="110"/>
      <w:bookmarkEnd w:id="111"/>
      <w:bookmarkEnd w:id="112"/>
    </w:p>
    <w:p w14:paraId="50217631">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15CB6BC">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390CA99F">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07CFCF80">
      <w:pPr>
        <w:keepNext w:val="0"/>
        <w:keepLines w:val="0"/>
        <w:pageBreakBefore w:val="0"/>
        <w:wordWrap w:val="0"/>
        <w:overflowPunct/>
        <w:topLinePunct w:val="0"/>
        <w:bidi w:val="0"/>
        <w:spacing w:before="37" w:line="219" w:lineRule="auto"/>
        <w:ind w:left="503"/>
        <w:outlineLvl w:val="9"/>
        <w:rPr>
          <w:rFonts w:hint="eastAsia" w:ascii="宋体" w:hAnsi="宋体" w:eastAsia="宋体" w:cs="宋体"/>
          <w:color w:val="auto"/>
          <w:spacing w:val="0"/>
          <w:highlight w:val="none"/>
        </w:rPr>
      </w:pPr>
      <w:bookmarkStart w:id="113" w:name="_Toc25214"/>
      <w:bookmarkStart w:id="114" w:name="_Toc32384"/>
      <w:bookmarkStart w:id="115" w:name="_Toc2885"/>
      <w:bookmarkStart w:id="116" w:name="_Toc30671"/>
      <w:r>
        <w:rPr>
          <w:rFonts w:hint="eastAsia" w:ascii="宋体" w:hAnsi="宋体" w:eastAsia="宋体" w:cs="宋体"/>
          <w:color w:val="auto"/>
          <w:spacing w:val="0"/>
          <w:sz w:val="24"/>
          <w:szCs w:val="24"/>
          <w:highlight w:val="none"/>
        </w:rPr>
        <w:t>（4）评标委员会汇总、比较所有投标人的综合得分后，取综合得分最高的投标</w:t>
      </w:r>
      <w:bookmarkEnd w:id="113"/>
      <w:bookmarkEnd w:id="114"/>
      <w:bookmarkEnd w:id="115"/>
      <w:bookmarkEnd w:id="116"/>
    </w:p>
    <w:p w14:paraId="24898226">
      <w:pPr>
        <w:keepNext w:val="0"/>
        <w:keepLines w:val="0"/>
        <w:pageBreakBefore w:val="0"/>
        <w:wordWrap w:val="0"/>
        <w:overflowPunct/>
        <w:topLinePunct w:val="0"/>
        <w:bidi w:val="0"/>
        <w:spacing w:before="78" w:line="329" w:lineRule="auto"/>
        <w:ind w:left="276" w:right="263" w:hanging="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2F23EBA4">
      <w:pPr>
        <w:keepNext w:val="0"/>
        <w:keepLines w:val="0"/>
        <w:pageBreakBefore w:val="0"/>
        <w:wordWrap w:val="0"/>
        <w:overflowPunct/>
        <w:topLinePunct w:val="0"/>
        <w:bidi w:val="0"/>
        <w:spacing w:before="78" w:line="329" w:lineRule="auto"/>
        <w:ind w:left="276" w:right="263" w:hanging="1"/>
        <w:jc w:val="both"/>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15.</w:t>
      </w:r>
      <w:r>
        <w:rPr>
          <w:rFonts w:hint="eastAsia" w:ascii="宋体" w:hAnsi="宋体" w:eastAsia="宋体" w:cs="宋体"/>
          <w:b/>
          <w:bCs/>
          <w:color w:val="auto"/>
          <w:spacing w:val="0"/>
          <w:sz w:val="24"/>
          <w:szCs w:val="24"/>
          <w:highlight w:val="none"/>
          <w:lang w:val="en-US" w:eastAsia="zh-CN"/>
        </w:rPr>
        <w:t>6 推荐定标候选人</w:t>
      </w:r>
    </w:p>
    <w:p w14:paraId="71B54385">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5F2F2FA3">
      <w:pPr>
        <w:keepNext w:val="0"/>
        <w:keepLines w:val="0"/>
        <w:pageBreakBefore w:val="0"/>
        <w:wordWrap w:val="0"/>
        <w:overflowPunct/>
        <w:topLinePunct w:val="0"/>
        <w:bidi w:val="0"/>
        <w:spacing w:before="78" w:line="329" w:lineRule="auto"/>
        <w:ind w:left="276" w:right="263" w:hanging="1"/>
        <w:jc w:val="both"/>
        <w:rPr>
          <w:rFonts w:hint="eastAsia" w:ascii="宋体" w:hAnsi="宋体" w:eastAsia="宋体" w:cs="宋体"/>
          <w:color w:val="auto"/>
          <w:spacing w:val="0"/>
          <w:sz w:val="24"/>
          <w:szCs w:val="24"/>
          <w:highlight w:val="none"/>
        </w:rPr>
      </w:pPr>
    </w:p>
    <w:p w14:paraId="22C172D9">
      <w:pPr>
        <w:keepNext w:val="0"/>
        <w:keepLines w:val="0"/>
        <w:pageBreakBefore w:val="0"/>
        <w:wordWrap w:val="0"/>
        <w:overflowPunct/>
        <w:topLinePunct w:val="0"/>
        <w:bidi w:val="0"/>
        <w:rPr>
          <w:rFonts w:hint="eastAsia" w:ascii="宋体" w:hAnsi="宋体" w:eastAsia="宋体" w:cs="宋体"/>
          <w:b/>
          <w:bCs/>
          <w:color w:val="auto"/>
          <w:spacing w:val="0"/>
          <w:sz w:val="30"/>
          <w:szCs w:val="30"/>
          <w:highlight w:val="none"/>
        </w:rPr>
      </w:pPr>
      <w:bookmarkStart w:id="117" w:name="_Toc3020"/>
      <w:bookmarkStart w:id="118" w:name="_Toc17375"/>
      <w:bookmarkStart w:id="119" w:name="_Toc16801"/>
      <w:r>
        <w:rPr>
          <w:rFonts w:hint="eastAsia" w:ascii="宋体" w:hAnsi="宋体" w:eastAsia="宋体" w:cs="宋体"/>
          <w:b/>
          <w:bCs/>
          <w:color w:val="auto"/>
          <w:spacing w:val="0"/>
          <w:sz w:val="30"/>
          <w:szCs w:val="30"/>
          <w:highlight w:val="none"/>
        </w:rPr>
        <w:br w:type="page"/>
      </w:r>
    </w:p>
    <w:p w14:paraId="042A8A28">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117"/>
      <w:bookmarkEnd w:id="118"/>
      <w:bookmarkEnd w:id="119"/>
    </w:p>
    <w:tbl>
      <w:tblPr>
        <w:tblStyle w:val="15"/>
        <w:tblW w:w="10307" w:type="dxa"/>
        <w:jc w:val="center"/>
        <w:tblLayout w:type="fixed"/>
        <w:tblCellMar>
          <w:top w:w="0" w:type="dxa"/>
          <w:left w:w="108" w:type="dxa"/>
          <w:bottom w:w="0" w:type="dxa"/>
          <w:right w:w="108" w:type="dxa"/>
        </w:tblCellMar>
      </w:tblPr>
      <w:tblGrid>
        <w:gridCol w:w="1216"/>
        <w:gridCol w:w="3733"/>
        <w:gridCol w:w="5358"/>
      </w:tblGrid>
      <w:tr w14:paraId="496476D5">
        <w:tblPrEx>
          <w:tblCellMar>
            <w:top w:w="0" w:type="dxa"/>
            <w:left w:w="108" w:type="dxa"/>
            <w:bottom w:w="0" w:type="dxa"/>
            <w:right w:w="108" w:type="dxa"/>
          </w:tblCellMar>
        </w:tblPrEx>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4B82839E">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color w:val="auto"/>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分。</w:t>
            </w:r>
          </w:p>
        </w:tc>
      </w:tr>
      <w:tr w14:paraId="7FEA8820">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CA743F0">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858857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918AC3D">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5E057B61">
        <w:tblPrEx>
          <w:tblCellMar>
            <w:top w:w="0" w:type="dxa"/>
            <w:left w:w="108" w:type="dxa"/>
            <w:bottom w:w="0" w:type="dxa"/>
            <w:right w:w="108" w:type="dxa"/>
          </w:tblCellMar>
        </w:tblPrEx>
        <w:trPr>
          <w:trHeight w:val="446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EE9971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企业奖项</w:t>
            </w:r>
          </w:p>
          <w:p w14:paraId="6257824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20</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C9D96C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企业近</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年1月1日至今）获得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中国古遗迹保护协会</w:t>
            </w:r>
            <w:r>
              <w:rPr>
                <w:rFonts w:hint="eastAsia" w:asciiTheme="minorEastAsia" w:hAnsiTheme="minorEastAsia" w:eastAsiaTheme="minorEastAsia" w:cstheme="minorEastAsia"/>
                <w:snapToGrid w:val="0"/>
                <w:color w:val="auto"/>
                <w:kern w:val="0"/>
                <w:sz w:val="21"/>
                <w:szCs w:val="21"/>
                <w:highlight w:val="none"/>
                <w:u w:val="none"/>
                <w:lang w:val="en-US" w:eastAsia="zh-CN"/>
              </w:rPr>
              <w:t>颁发</w:t>
            </w:r>
            <w:r>
              <w:rPr>
                <w:rFonts w:hint="eastAsia" w:asciiTheme="minorEastAsia" w:hAnsiTheme="minorEastAsia" w:eastAsiaTheme="minorEastAsia" w:cstheme="minorEastAsia"/>
                <w:snapToGrid w:val="0"/>
                <w:color w:val="auto"/>
                <w:kern w:val="0"/>
                <w:sz w:val="21"/>
                <w:szCs w:val="21"/>
                <w:highlight w:val="none"/>
                <w:lang w:val="en-US" w:eastAsia="zh-CN"/>
              </w:rPr>
              <w:t>的</w:t>
            </w:r>
            <w:r>
              <w:rPr>
                <w:rFonts w:hint="eastAsia" w:asciiTheme="minorEastAsia" w:hAnsiTheme="minorEastAsia" w:eastAsiaTheme="minorEastAsia" w:cstheme="minorEastAsia"/>
                <w:snapToGrid w:val="0"/>
                <w:color w:val="auto"/>
                <w:kern w:val="0"/>
                <w:sz w:val="21"/>
                <w:szCs w:val="21"/>
                <w:highlight w:val="none"/>
                <w:lang w:eastAsia="zh-CN"/>
              </w:rPr>
              <w:t>奖项</w:t>
            </w:r>
            <w:r>
              <w:rPr>
                <w:rFonts w:hint="eastAsia" w:asciiTheme="minorEastAsia" w:hAnsiTheme="minorEastAsia" w:eastAsiaTheme="minorEastAsia" w:cstheme="minorEastAsia"/>
                <w:snapToGrid w:val="0"/>
                <w:color w:val="auto"/>
                <w:kern w:val="0"/>
                <w:sz w:val="21"/>
                <w:szCs w:val="21"/>
                <w:highlight w:val="none"/>
                <w:lang w:val="en-US" w:eastAsia="zh-CN"/>
              </w:rPr>
              <w:t>的，每个得20分</w:t>
            </w:r>
            <w:r>
              <w:rPr>
                <w:rFonts w:hint="eastAsia" w:asciiTheme="minorEastAsia" w:hAnsiTheme="minorEastAsia" w:eastAsiaTheme="minorEastAsia" w:cstheme="minorEastAsia"/>
                <w:snapToGrid w:val="0"/>
                <w:color w:val="auto"/>
                <w:kern w:val="0"/>
                <w:sz w:val="21"/>
                <w:szCs w:val="21"/>
                <w:highlight w:val="none"/>
                <w:lang w:eastAsia="zh-CN"/>
              </w:rPr>
              <w:t>：</w:t>
            </w:r>
          </w:p>
          <w:p w14:paraId="2BE3DF4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20</w:t>
            </w:r>
            <w:r>
              <w:rPr>
                <w:rFonts w:hint="eastAsia" w:asciiTheme="minorEastAsia" w:hAnsiTheme="minorEastAsia" w:eastAsiaTheme="minorEastAsia" w:cstheme="minorEastAsia"/>
                <w:b/>
                <w:bCs/>
                <w:snapToGrid w:val="0"/>
                <w:color w:val="auto"/>
                <w:kern w:val="0"/>
                <w:sz w:val="21"/>
                <w:szCs w:val="21"/>
                <w:highlight w:val="none"/>
                <w:lang w:eastAsia="zh-CN"/>
              </w:rPr>
              <w:t>分。</w:t>
            </w:r>
          </w:p>
          <w:p w14:paraId="0B9CBF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p w14:paraId="1CE4A1B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CFA378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．需附有关奖项证明复印件（或打印件或扫描件)，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同时提供原件供核对。（奖项如电子证书的除外）</w:t>
            </w:r>
          </w:p>
          <w:p w14:paraId="1A85A8E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．获奖时间以奖项证明的落款日期为准。</w:t>
            </w:r>
          </w:p>
          <w:p w14:paraId="105AC4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．任一奖项有以下情形之一的，该奖项视为无效，不予计分：</w:t>
            </w:r>
          </w:p>
          <w:p w14:paraId="001808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①未提供奖项原件的；</w:t>
            </w:r>
          </w:p>
          <w:p w14:paraId="7206815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②奖项不属于指定类别的；</w:t>
            </w:r>
          </w:p>
          <w:p w14:paraId="72615D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③获奖时间不符合要求的。</w:t>
            </w:r>
          </w:p>
          <w:p w14:paraId="2EA52FC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说明：以上所称“要求”均指本表评分标准及备注的要求，下同。</w:t>
            </w:r>
          </w:p>
        </w:tc>
      </w:tr>
      <w:tr w14:paraId="7FD4FA97">
        <w:tblPrEx>
          <w:tblCellMar>
            <w:top w:w="0" w:type="dxa"/>
            <w:left w:w="108" w:type="dxa"/>
            <w:bottom w:w="0" w:type="dxa"/>
            <w:right w:w="108" w:type="dxa"/>
          </w:tblCellMar>
        </w:tblPrEx>
        <w:trPr>
          <w:trHeight w:val="226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AC6330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w:t>
            </w:r>
            <w:r>
              <w:rPr>
                <w:rFonts w:hint="eastAsia" w:asciiTheme="minorEastAsia" w:hAnsiTheme="minorEastAsia" w:eastAsiaTheme="minorEastAsia" w:cstheme="minorEastAsia"/>
                <w:snapToGrid w:val="0"/>
                <w:color w:val="auto"/>
                <w:kern w:val="0"/>
                <w:sz w:val="21"/>
                <w:szCs w:val="21"/>
                <w:highlight w:val="none"/>
                <w:lang w:val="en-US" w:eastAsia="zh-CN"/>
              </w:rPr>
              <w:t>荣誉</w:t>
            </w:r>
          </w:p>
          <w:p w14:paraId="239A4A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（1</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B226620">
            <w:pPr>
              <w:widowControl w:val="0"/>
              <w:kinsoku/>
              <w:wordWrap w:val="0"/>
              <w:autoSpaceDE/>
              <w:autoSpaceDN/>
              <w:adjustRightInd w:val="0"/>
              <w:snapToGrid w:val="0"/>
              <w:spacing w:line="400" w:lineRule="exact"/>
              <w:jc w:val="both"/>
              <w:textAlignment w:val="auto"/>
              <w:rPr>
                <w:rFonts w:hint="eastAsia"/>
                <w:color w:val="auto"/>
                <w:spacing w:val="-4"/>
                <w:highlight w:val="none"/>
                <w:lang w:eastAsia="zh-CN"/>
              </w:rPr>
            </w:pPr>
            <w:r>
              <w:rPr>
                <w:rFonts w:hint="eastAsia"/>
                <w:color w:val="auto"/>
                <w:spacing w:val="-4"/>
                <w:highlight w:val="none"/>
                <w:lang w:eastAsia="zh-CN"/>
              </w:rPr>
              <w:t>企业</w:t>
            </w:r>
            <w:r>
              <w:rPr>
                <w:rFonts w:hint="eastAsia"/>
                <w:color w:val="auto"/>
                <w:spacing w:val="-4"/>
                <w:highlight w:val="none"/>
                <w:lang w:val="en-US" w:eastAsia="zh-CN"/>
              </w:rPr>
              <w:t>获得</w:t>
            </w:r>
            <w:r>
              <w:rPr>
                <w:rFonts w:hint="eastAsia"/>
                <w:color w:val="auto"/>
                <w:spacing w:val="-4"/>
                <w:highlight w:val="none"/>
                <w:lang w:eastAsia="zh-CN"/>
              </w:rPr>
              <w:t>由行政主管部门或行业协会评定信用评价</w:t>
            </w:r>
            <w:r>
              <w:rPr>
                <w:rFonts w:hint="eastAsia"/>
                <w:color w:val="auto"/>
                <w:spacing w:val="-4"/>
                <w:highlight w:val="none"/>
                <w:lang w:val="en-US" w:eastAsia="zh-CN"/>
              </w:rPr>
              <w:t>证书，且在有效期内</w:t>
            </w:r>
            <w:r>
              <w:rPr>
                <w:rFonts w:hint="eastAsia"/>
                <w:color w:val="auto"/>
                <w:spacing w:val="-4"/>
                <w:highlight w:val="none"/>
                <w:lang w:eastAsia="zh-CN"/>
              </w:rPr>
              <w:t>。</w:t>
            </w:r>
          </w:p>
          <w:p w14:paraId="6106B6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1</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分；</w:t>
            </w:r>
          </w:p>
          <w:p w14:paraId="2C96237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AA（含AA＋、AA－）的，得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10</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分。</w:t>
            </w:r>
          </w:p>
          <w:p w14:paraId="227E55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A（含A＋、A－）的，得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分。</w:t>
            </w:r>
          </w:p>
          <w:p w14:paraId="7359A08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4．未获得过以上评级的，或评级证书无效的，不予计分。</w:t>
            </w:r>
          </w:p>
          <w:p w14:paraId="59FE8BED">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5．本项最高得1</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2EB349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1．需附在有效期内的证书（证明）复印件（或打印件或扫描件)，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eastAsia="zh-CN"/>
              </w:rPr>
              <w:t>。</w:t>
            </w:r>
          </w:p>
          <w:p w14:paraId="308FE0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．评级证书（证明）有以下情形之一的，视为无效：</w:t>
            </w:r>
          </w:p>
          <w:p w14:paraId="5714BED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①未提供评级证书（证明）原件的；</w:t>
            </w:r>
          </w:p>
          <w:p w14:paraId="71B6BA2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②评级证书（证明）不在有效期内的；</w:t>
            </w:r>
          </w:p>
          <w:p w14:paraId="17BAB83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③出具机构不符合要求的。</w:t>
            </w:r>
          </w:p>
          <w:p w14:paraId="136A81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r>
      <w:tr w14:paraId="6FAFD7C7">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89596E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企业业绩</w:t>
            </w:r>
          </w:p>
          <w:p w14:paraId="25290D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30</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B99F5A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企业近</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年1月1日至今）业绩情况：</w:t>
            </w:r>
          </w:p>
          <w:p w14:paraId="4C6EBC6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承接 </w:t>
            </w:r>
            <w:r>
              <w:rPr>
                <w:rFonts w:hint="eastAsia" w:asciiTheme="minorEastAsia" w:hAnsiTheme="minorEastAsia" w:eastAsiaTheme="minorEastAsia" w:cstheme="minorEastAsia"/>
                <w:snapToGrid w:val="0"/>
                <w:color w:val="auto"/>
                <w:kern w:val="0"/>
                <w:sz w:val="21"/>
                <w:szCs w:val="21"/>
                <w:highlight w:val="none"/>
                <w:lang w:eastAsia="zh-CN"/>
              </w:rPr>
              <w:t>过类似工程的，每个得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6</w:t>
            </w:r>
            <w:r>
              <w:rPr>
                <w:rFonts w:hint="eastAsia" w:asciiTheme="minorEastAsia" w:hAnsiTheme="minorEastAsia" w:eastAsiaTheme="minorEastAsia" w:cstheme="minorEastAsia"/>
                <w:snapToGrid w:val="0"/>
                <w:color w:val="auto"/>
                <w:kern w:val="0"/>
                <w:sz w:val="21"/>
                <w:szCs w:val="21"/>
                <w:highlight w:val="none"/>
                <w:lang w:eastAsia="zh-CN"/>
              </w:rPr>
              <w:t>分。</w:t>
            </w:r>
          </w:p>
          <w:p w14:paraId="4A34003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2．未</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承接 </w:t>
            </w:r>
            <w:r>
              <w:rPr>
                <w:rFonts w:hint="eastAsia" w:asciiTheme="minorEastAsia" w:hAnsiTheme="minorEastAsia" w:eastAsiaTheme="minorEastAsia" w:cstheme="minorEastAsia"/>
                <w:snapToGrid w:val="0"/>
                <w:color w:val="auto"/>
                <w:kern w:val="0"/>
                <w:sz w:val="21"/>
                <w:szCs w:val="21"/>
                <w:highlight w:val="none"/>
                <w:lang w:eastAsia="zh-CN"/>
              </w:rPr>
              <w:t>过类似工程的，不予计分。</w:t>
            </w:r>
          </w:p>
          <w:p w14:paraId="4B2097C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3．本项最高得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30</w:t>
            </w:r>
            <w:r>
              <w:rPr>
                <w:rFonts w:hint="eastAsia" w:asciiTheme="minorEastAsia" w:hAnsiTheme="minorEastAsia" w:eastAsiaTheme="minorEastAsia" w:cstheme="minorEastAsia"/>
                <w:b/>
                <w:bCs/>
                <w:snapToGrid w:val="0"/>
                <w:color w:val="auto"/>
                <w:kern w:val="0"/>
                <w:sz w:val="21"/>
                <w:szCs w:val="21"/>
                <w:highlight w:val="none"/>
                <w:lang w:eastAsia="zh-CN"/>
              </w:rPr>
              <w:t xml:space="preserve">分。 </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038D8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u w:val="singl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1．类似工程指：</w:t>
            </w:r>
            <w:r>
              <w:rPr>
                <w:rFonts w:hint="eastAsia"/>
                <w:b/>
                <w:bCs/>
                <w:color w:val="auto"/>
                <w:highlight w:val="none"/>
                <w:u w:val="single"/>
                <w:lang w:eastAsia="zh-CN"/>
              </w:rPr>
              <w:t>≥800万元人民币的</w:t>
            </w:r>
            <w:r>
              <w:rPr>
                <w:b/>
                <w:bCs/>
                <w:color w:val="auto"/>
                <w:highlight w:val="none"/>
                <w:u w:val="single"/>
                <w:lang w:eastAsia="zh-CN"/>
              </w:rPr>
              <w:t>全国重点文物保护单位（</w:t>
            </w:r>
            <w:r>
              <w:rPr>
                <w:rFonts w:hint="eastAsia"/>
                <w:b/>
                <w:bCs/>
                <w:color w:val="auto"/>
                <w:highlight w:val="none"/>
                <w:u w:val="single"/>
                <w:lang w:eastAsia="zh-CN"/>
              </w:rPr>
              <w:t>类别：</w:t>
            </w:r>
            <w:r>
              <w:rPr>
                <w:b/>
                <w:bCs/>
                <w:color w:val="auto"/>
                <w:highlight w:val="none"/>
                <w:u w:val="single"/>
                <w:lang w:eastAsia="zh-CN"/>
              </w:rPr>
              <w:t>古</w:t>
            </w:r>
            <w:r>
              <w:rPr>
                <w:rFonts w:hint="eastAsia"/>
                <w:b/>
                <w:bCs/>
                <w:color w:val="auto"/>
                <w:highlight w:val="none"/>
                <w:u w:val="single"/>
                <w:lang w:val="en-US" w:eastAsia="zh-CN"/>
              </w:rPr>
              <w:t>文化</w:t>
            </w:r>
            <w:r>
              <w:rPr>
                <w:b/>
                <w:bCs/>
                <w:color w:val="auto"/>
                <w:highlight w:val="none"/>
                <w:u w:val="single"/>
                <w:lang w:eastAsia="zh-CN"/>
              </w:rPr>
              <w:t>遗址</w:t>
            </w:r>
            <w:r>
              <w:rPr>
                <w:rFonts w:hint="eastAsia"/>
                <w:b/>
                <w:bCs/>
                <w:color w:val="auto"/>
                <w:highlight w:val="none"/>
                <w:u w:val="single"/>
                <w:lang w:val="en-US" w:eastAsia="zh-CN"/>
              </w:rPr>
              <w:t>古墓葬</w:t>
            </w:r>
            <w:r>
              <w:rPr>
                <w:b/>
                <w:bCs/>
                <w:color w:val="auto"/>
                <w:highlight w:val="none"/>
                <w:u w:val="single"/>
                <w:lang w:eastAsia="zh-CN"/>
              </w:rPr>
              <w:t>）</w:t>
            </w:r>
            <w:r>
              <w:rPr>
                <w:rFonts w:hint="eastAsia"/>
                <w:b/>
                <w:bCs/>
                <w:color w:val="auto"/>
                <w:highlight w:val="none"/>
                <w:u w:val="single"/>
                <w:lang w:eastAsia="zh-CN"/>
              </w:rPr>
              <w:t>的</w:t>
            </w:r>
            <w:r>
              <w:rPr>
                <w:b/>
                <w:bCs/>
                <w:color w:val="auto"/>
                <w:highlight w:val="none"/>
                <w:u w:val="single"/>
                <w:lang w:eastAsia="zh-CN"/>
              </w:rPr>
              <w:t>文物保护工程施工</w:t>
            </w:r>
            <w:r>
              <w:rPr>
                <w:rFonts w:hint="eastAsia" w:asciiTheme="minorEastAsia" w:hAnsiTheme="minorEastAsia" w:eastAsiaTheme="minorEastAsia" w:cstheme="minorEastAsia"/>
                <w:snapToGrid w:val="0"/>
                <w:color w:val="auto"/>
                <w:kern w:val="0"/>
                <w:sz w:val="21"/>
                <w:szCs w:val="21"/>
                <w:highlight w:val="none"/>
                <w:u w:val="single"/>
                <w:lang w:eastAsia="zh-CN"/>
              </w:rPr>
              <w:t>。</w:t>
            </w:r>
          </w:p>
          <w:p w14:paraId="3CAF5ED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i/>
                <w:i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2．需附有关业绩（仅限于以施工</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总承包单位 </w:t>
            </w:r>
            <w:r>
              <w:rPr>
                <w:rFonts w:hint="eastAsia" w:asciiTheme="minorEastAsia" w:hAnsiTheme="minorEastAsia" w:eastAsiaTheme="minorEastAsia" w:cstheme="minorEastAsia"/>
                <w:snapToGrid w:val="0"/>
                <w:color w:val="auto"/>
                <w:kern w:val="0"/>
                <w:sz w:val="21"/>
                <w:szCs w:val="21"/>
                <w:highlight w:val="none"/>
                <w:lang w:eastAsia="zh-CN"/>
              </w:rPr>
              <w:t>身份参建的项目）</w:t>
            </w:r>
            <w:r>
              <w:rPr>
                <w:rFonts w:hint="eastAsia" w:asciiTheme="minorEastAsia" w:hAnsiTheme="minorEastAsia" w:eastAsiaTheme="minorEastAsia" w:cstheme="minorEastAsia"/>
                <w:snapToGrid/>
                <w:color w:val="auto"/>
                <w:kern w:val="0"/>
                <w:sz w:val="21"/>
                <w:szCs w:val="21"/>
                <w:highlight w:val="none"/>
                <w:lang w:eastAsia="zh-CN"/>
              </w:rPr>
              <w:t>合同、</w:t>
            </w:r>
            <w:r>
              <w:rPr>
                <w:rFonts w:hint="eastAsia" w:asciiTheme="minorEastAsia" w:hAnsiTheme="minorEastAsia" w:eastAsiaTheme="minorEastAsia" w:cstheme="minorEastAsia"/>
                <w:snapToGrid/>
                <w:color w:val="auto"/>
                <w:kern w:val="0"/>
                <w:sz w:val="21"/>
                <w:szCs w:val="21"/>
                <w:highlight w:val="none"/>
                <w:lang w:val="en-US" w:eastAsia="zh-CN"/>
              </w:rPr>
              <w:t>中标通知书、全国重点文物保护单位等证明材料</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eastAsia="zh-CN"/>
              </w:rPr>
              <w:t>。</w:t>
            </w:r>
          </w:p>
          <w:p w14:paraId="2840706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3．业绩时间以合同日期为准。</w:t>
            </w:r>
          </w:p>
          <w:p w14:paraId="02E3CF2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4．任一业绩有以下情形之一的，该业绩视为无效，不予计分：</w:t>
            </w:r>
          </w:p>
          <w:p w14:paraId="7613344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①未提供业绩证明材料原件的；</w:t>
            </w:r>
          </w:p>
          <w:p w14:paraId="4A635C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②未提</w:t>
            </w:r>
            <w:r>
              <w:rPr>
                <w:rFonts w:hint="eastAsia" w:asciiTheme="minorEastAsia" w:hAnsiTheme="minorEastAsia" w:eastAsiaTheme="minorEastAsia" w:cstheme="minorEastAsia"/>
                <w:snapToGrid w:val="0"/>
                <w:color w:val="auto"/>
                <w:kern w:val="0"/>
                <w:sz w:val="21"/>
                <w:szCs w:val="21"/>
                <w:highlight w:val="none"/>
                <w:lang w:val="en-US" w:eastAsia="zh-CN"/>
              </w:rPr>
              <w:t>中标通知书</w:t>
            </w:r>
            <w:r>
              <w:rPr>
                <w:rFonts w:hint="eastAsia" w:asciiTheme="minorEastAsia" w:hAnsiTheme="minorEastAsia" w:eastAsiaTheme="minorEastAsia" w:cstheme="minorEastAsia"/>
                <w:snapToGrid w:val="0"/>
                <w:color w:val="auto"/>
                <w:kern w:val="0"/>
                <w:sz w:val="21"/>
                <w:szCs w:val="21"/>
                <w:highlight w:val="none"/>
                <w:lang w:eastAsia="zh-CN"/>
              </w:rPr>
              <w:t>证明材料的；</w:t>
            </w:r>
          </w:p>
          <w:p w14:paraId="4816077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w:t>
            </w:r>
            <w:r>
              <w:rPr>
                <w:rFonts w:hint="eastAsia" w:asciiTheme="minorEastAsia" w:hAnsiTheme="minorEastAsia" w:eastAsiaTheme="minorEastAsia" w:cstheme="minorEastAsia"/>
                <w:snapToGrid w:val="0"/>
                <w:color w:val="auto"/>
                <w:kern w:val="0"/>
                <w:sz w:val="21"/>
                <w:szCs w:val="21"/>
                <w:highlight w:val="none"/>
                <w:lang w:val="en-US" w:eastAsia="zh-CN"/>
              </w:rPr>
              <w:t>未提供全国重点文物保护单位证明材料得</w:t>
            </w:r>
            <w:r>
              <w:rPr>
                <w:rFonts w:hint="eastAsia" w:asciiTheme="minorEastAsia" w:hAnsiTheme="minorEastAsia" w:eastAsiaTheme="minorEastAsia" w:cstheme="minorEastAsia"/>
                <w:snapToGrid w:val="0"/>
                <w:color w:val="auto"/>
                <w:kern w:val="0"/>
                <w:sz w:val="21"/>
                <w:szCs w:val="21"/>
                <w:highlight w:val="none"/>
                <w:lang w:eastAsia="zh-CN"/>
              </w:rPr>
              <w:t>；</w:t>
            </w:r>
          </w:p>
          <w:p w14:paraId="7D80E4B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④业绩时间不符合要求的。</w:t>
            </w:r>
          </w:p>
        </w:tc>
      </w:tr>
      <w:tr w14:paraId="7A88D8D9">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AB7D5CC">
            <w:pPr>
              <w:widowControl w:val="0"/>
              <w:kinsoku/>
              <w:wordWrap w:val="0"/>
              <w:autoSpaceDE/>
              <w:autoSpaceDN/>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r>
              <w:rPr>
                <w:rFonts w:hint="eastAsia" w:asciiTheme="minorEastAsia" w:hAnsiTheme="minorEastAsia" w:eastAsiaTheme="minorEastAsia" w:cstheme="minorEastAsia"/>
                <w:snapToGrid w:val="0"/>
                <w:color w:val="auto"/>
                <w:kern w:val="0"/>
                <w:sz w:val="21"/>
                <w:szCs w:val="21"/>
                <w:highlight w:val="none"/>
                <w:lang w:val="en-US" w:eastAsia="zh-CN"/>
              </w:rPr>
              <w:t>技术负责人</w:t>
            </w:r>
          </w:p>
          <w:p w14:paraId="2D950B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综合素质</w:t>
            </w:r>
          </w:p>
          <w:p w14:paraId="220DD40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0823E0">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bidi="ar"/>
              </w:rPr>
              <w:t>项目</w:t>
            </w:r>
            <w:r>
              <w:rPr>
                <w:rFonts w:hint="eastAsia" w:asciiTheme="minorEastAsia" w:hAnsiTheme="minorEastAsia" w:eastAsiaTheme="minorEastAsia" w:cstheme="minorEastAsia"/>
                <w:snapToGrid/>
                <w:color w:val="auto"/>
                <w:kern w:val="0"/>
                <w:sz w:val="21"/>
                <w:szCs w:val="21"/>
                <w:highlight w:val="none"/>
                <w:lang w:val="en-US" w:eastAsia="zh-CN" w:bidi="ar"/>
              </w:rPr>
              <w:t>技术负责人</w:t>
            </w:r>
            <w:r>
              <w:rPr>
                <w:rFonts w:hint="eastAsia" w:asciiTheme="minorEastAsia" w:hAnsiTheme="minorEastAsia" w:eastAsiaTheme="minorEastAsia" w:cstheme="minorEastAsia"/>
                <w:snapToGrid/>
                <w:color w:val="auto"/>
                <w:kern w:val="0"/>
                <w:sz w:val="21"/>
                <w:szCs w:val="21"/>
                <w:highlight w:val="none"/>
                <w:lang w:eastAsia="zh-CN" w:bidi="ar"/>
              </w:rPr>
              <w:t xml:space="preserve">工程类技术职称情况： </w:t>
            </w:r>
          </w:p>
          <w:p w14:paraId="3F15AB94">
            <w:pPr>
              <w:kinsoku/>
              <w:autoSpaceDE/>
              <w:autoSpaceDN/>
              <w:adjustRightInd/>
              <w:snapToGrid/>
              <w:spacing w:line="360" w:lineRule="auto"/>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highlight w:val="none"/>
                <w:lang w:eastAsia="zh-CN" w:bidi="ar"/>
              </w:rPr>
              <w:t>1.</w:t>
            </w:r>
            <w:r>
              <w:rPr>
                <w:rFonts w:asciiTheme="minorEastAsia" w:hAnsiTheme="minorEastAsia" w:eastAsiaTheme="minorEastAsia" w:cstheme="minorEastAsia"/>
                <w:snapToGrid/>
                <w:color w:val="auto"/>
                <w:highlight w:val="none"/>
                <w:lang w:eastAsia="zh-CN" w:bidi="ar"/>
              </w:rPr>
              <w:t>具有文物保护</w:t>
            </w:r>
            <w:r>
              <w:rPr>
                <w:rFonts w:hint="eastAsia" w:asciiTheme="minorEastAsia" w:hAnsiTheme="minorEastAsia" w:eastAsiaTheme="minorEastAsia" w:cstheme="minorEastAsia"/>
                <w:snapToGrid/>
                <w:color w:val="auto"/>
                <w:highlight w:val="none"/>
                <w:lang w:eastAsia="zh-CN" w:bidi="ar"/>
              </w:rPr>
              <w:t>工程</w:t>
            </w:r>
            <w:r>
              <w:rPr>
                <w:rFonts w:asciiTheme="minorEastAsia" w:hAnsiTheme="minorEastAsia" w:eastAsiaTheme="minorEastAsia" w:cstheme="minorEastAsia"/>
                <w:snapToGrid/>
                <w:color w:val="auto"/>
                <w:highlight w:val="none"/>
                <w:lang w:eastAsia="zh-CN" w:bidi="ar"/>
              </w:rPr>
              <w:t>责任工程师</w:t>
            </w:r>
            <w:r>
              <w:rPr>
                <w:rFonts w:hint="eastAsia" w:asciiTheme="minorEastAsia" w:hAnsiTheme="minorEastAsia" w:eastAsiaTheme="minorEastAsia" w:cstheme="minorEastAsia"/>
                <w:snapToGrid/>
                <w:color w:val="auto"/>
                <w:highlight w:val="none"/>
                <w:lang w:val="en-US" w:eastAsia="zh-CN" w:bidi="ar"/>
              </w:rPr>
              <w:t>证书</w:t>
            </w:r>
            <w:r>
              <w:rPr>
                <w:rFonts w:hint="eastAsia" w:asciiTheme="minorEastAsia" w:hAnsiTheme="minorEastAsia" w:eastAsiaTheme="minorEastAsia" w:cstheme="minorEastAsia"/>
                <w:snapToGrid/>
                <w:color w:val="auto"/>
                <w:highlight w:val="none"/>
                <w:lang w:eastAsia="zh-CN" w:bidi="ar"/>
              </w:rPr>
              <w:t>，</w:t>
            </w:r>
            <w:r>
              <w:rPr>
                <w:rFonts w:asciiTheme="minorEastAsia" w:hAnsiTheme="minorEastAsia" w:eastAsiaTheme="minorEastAsia" w:cstheme="minorEastAsia"/>
                <w:snapToGrid/>
                <w:color w:val="auto"/>
                <w:highlight w:val="none"/>
                <w:lang w:eastAsia="zh-CN" w:bidi="ar"/>
              </w:rPr>
              <w:t xml:space="preserve">得 </w:t>
            </w:r>
            <w:r>
              <w:rPr>
                <w:rFonts w:hint="eastAsia" w:asciiTheme="minorEastAsia" w:hAnsiTheme="minorEastAsia" w:eastAsiaTheme="minorEastAsia" w:cstheme="minorEastAsia"/>
                <w:snapToGrid/>
                <w:color w:val="auto"/>
                <w:highlight w:val="none"/>
                <w:lang w:eastAsia="zh-CN" w:bidi="ar"/>
              </w:rPr>
              <w:t xml:space="preserve">5 </w:t>
            </w:r>
            <w:r>
              <w:rPr>
                <w:rFonts w:asciiTheme="minorEastAsia" w:hAnsiTheme="minorEastAsia" w:eastAsiaTheme="minorEastAsia" w:cstheme="minorEastAsia"/>
                <w:snapToGrid/>
                <w:color w:val="auto"/>
                <w:highlight w:val="none"/>
                <w:lang w:eastAsia="zh-CN" w:bidi="ar"/>
              </w:rPr>
              <w:t>分</w:t>
            </w:r>
            <w:r>
              <w:rPr>
                <w:rFonts w:hint="eastAsia" w:asciiTheme="minorEastAsia" w:hAnsiTheme="minorEastAsia" w:eastAsiaTheme="minorEastAsia" w:cstheme="minorEastAsia"/>
                <w:snapToGrid/>
                <w:color w:val="auto"/>
                <w:highlight w:val="none"/>
                <w:lang w:eastAsia="zh-CN" w:bidi="ar"/>
              </w:rPr>
              <w:t>；</w:t>
            </w:r>
            <w:r>
              <w:rPr>
                <w:rFonts w:hint="eastAsia" w:asciiTheme="minorEastAsia" w:hAnsiTheme="minorEastAsia" w:eastAsiaTheme="minorEastAsia" w:cstheme="minorEastAsia"/>
                <w:snapToGrid/>
                <w:color w:val="auto"/>
                <w:kern w:val="0"/>
                <w:sz w:val="21"/>
                <w:szCs w:val="21"/>
                <w:highlight w:val="none"/>
                <w:lang w:eastAsia="zh-CN" w:bidi="ar"/>
              </w:rPr>
              <w:t xml:space="preserve"> </w:t>
            </w:r>
          </w:p>
          <w:p w14:paraId="53E12A6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0"/>
                <w:sz w:val="21"/>
                <w:szCs w:val="21"/>
                <w:highlight w:val="none"/>
                <w:lang w:eastAsia="zh-CN" w:bidi="ar"/>
              </w:rPr>
            </w:pPr>
            <w:r>
              <w:rPr>
                <w:rFonts w:hint="eastAsia" w:asciiTheme="minorEastAsia" w:hAnsiTheme="minorEastAsia" w:eastAsiaTheme="minorEastAsia" w:cstheme="minorEastAsia"/>
                <w:snapToGrid/>
                <w:color w:val="auto"/>
                <w:kern w:val="0"/>
                <w:sz w:val="21"/>
                <w:szCs w:val="21"/>
                <w:highlight w:val="none"/>
                <w:lang w:val="en-US" w:eastAsia="zh-CN" w:bidi="ar"/>
              </w:rPr>
              <w:t>2</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color w:val="auto"/>
                <w:kern w:val="0"/>
                <w:sz w:val="21"/>
                <w:szCs w:val="21"/>
                <w:highlight w:val="none"/>
                <w:lang w:eastAsia="zh-CN" w:bidi="ar"/>
              </w:rPr>
              <w:t>不具备以上</w:t>
            </w:r>
            <w:r>
              <w:rPr>
                <w:rFonts w:hint="eastAsia" w:asciiTheme="minorEastAsia" w:hAnsiTheme="minorEastAsia" w:eastAsiaTheme="minorEastAsia" w:cstheme="minorEastAsia"/>
                <w:snapToGrid/>
                <w:color w:val="auto"/>
                <w:kern w:val="0"/>
                <w:sz w:val="21"/>
                <w:szCs w:val="21"/>
                <w:highlight w:val="none"/>
                <w:lang w:val="en-US" w:eastAsia="zh-CN" w:bidi="ar"/>
              </w:rPr>
              <w:t>证书</w:t>
            </w:r>
            <w:r>
              <w:rPr>
                <w:rFonts w:hint="eastAsia" w:asciiTheme="minorEastAsia" w:hAnsiTheme="minorEastAsia" w:eastAsiaTheme="minorEastAsia" w:cstheme="minorEastAsia"/>
                <w:snapToGrid/>
                <w:color w:val="auto"/>
                <w:kern w:val="0"/>
                <w:sz w:val="21"/>
                <w:szCs w:val="21"/>
                <w:highlight w:val="none"/>
                <w:lang w:eastAsia="zh-CN" w:bidi="ar"/>
              </w:rPr>
              <w:t>的，或未提供</w:t>
            </w:r>
            <w:r>
              <w:rPr>
                <w:rFonts w:hint="eastAsia" w:asciiTheme="minorEastAsia" w:hAnsiTheme="minorEastAsia" w:eastAsiaTheme="minorEastAsia" w:cstheme="minorEastAsia"/>
                <w:snapToGrid/>
                <w:color w:val="auto"/>
                <w:kern w:val="0"/>
                <w:sz w:val="21"/>
                <w:szCs w:val="21"/>
                <w:highlight w:val="none"/>
                <w:lang w:val="en-US" w:eastAsia="zh-CN" w:bidi="ar"/>
              </w:rPr>
              <w:t>证书</w:t>
            </w:r>
            <w:r>
              <w:rPr>
                <w:rFonts w:hint="eastAsia" w:asciiTheme="minorEastAsia" w:hAnsiTheme="minorEastAsia" w:eastAsiaTheme="minorEastAsia" w:cstheme="minorEastAsia"/>
                <w:snapToGrid/>
                <w:color w:val="auto"/>
                <w:kern w:val="0"/>
                <w:sz w:val="21"/>
                <w:szCs w:val="21"/>
                <w:highlight w:val="none"/>
                <w:lang w:eastAsia="zh-CN" w:bidi="ar"/>
              </w:rPr>
              <w:t>证原件的，不予计分。</w:t>
            </w:r>
          </w:p>
          <w:p w14:paraId="0B9E5CA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color w:val="auto"/>
                <w:kern w:val="0"/>
                <w:sz w:val="21"/>
                <w:szCs w:val="21"/>
                <w:highlight w:val="none"/>
                <w:lang w:eastAsia="zh-CN" w:bidi="ar"/>
              </w:rPr>
              <w:t>4</w:t>
            </w:r>
            <w:r>
              <w:rPr>
                <w:rFonts w:hint="eastAsia" w:asciiTheme="minorEastAsia" w:hAnsiTheme="minorEastAsia" w:eastAsiaTheme="minorEastAsia" w:cstheme="minorEastAsia"/>
                <w:b/>
                <w:bCs/>
                <w:snapToGrid w:val="0"/>
                <w:color w:val="auto"/>
                <w:kern w:val="0"/>
                <w:sz w:val="21"/>
                <w:szCs w:val="21"/>
                <w:highlight w:val="none"/>
                <w:lang w:eastAsia="zh-CN"/>
              </w:rPr>
              <w:t>．本项最高得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E2438E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．需附证</w:t>
            </w:r>
            <w:r>
              <w:rPr>
                <w:rFonts w:hint="eastAsia" w:asciiTheme="minorEastAsia" w:hAnsiTheme="minorEastAsia" w:eastAsiaTheme="minorEastAsia" w:cstheme="minorEastAsia"/>
                <w:snapToGrid w:val="0"/>
                <w:color w:val="auto"/>
                <w:kern w:val="0"/>
                <w:sz w:val="21"/>
                <w:szCs w:val="21"/>
                <w:highlight w:val="none"/>
                <w:lang w:val="en-US" w:eastAsia="zh-CN"/>
              </w:rPr>
              <w:t>书</w:t>
            </w:r>
            <w:r>
              <w:rPr>
                <w:rFonts w:hint="eastAsia" w:asciiTheme="minorEastAsia" w:hAnsiTheme="minorEastAsia" w:eastAsiaTheme="minorEastAsia" w:cstheme="minorEastAsia"/>
                <w:snapToGrid w:val="0"/>
                <w:color w:val="auto"/>
                <w:kern w:val="0"/>
                <w:sz w:val="21"/>
                <w:szCs w:val="21"/>
                <w:highlight w:val="none"/>
                <w:lang w:eastAsia="zh-CN"/>
              </w:rPr>
              <w:t>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b/>
                <w:bCs/>
                <w:snapToGrid/>
                <w:color w:val="auto"/>
                <w:kern w:val="2"/>
                <w:sz w:val="21"/>
                <w:szCs w:val="21"/>
                <w:highlight w:val="none"/>
                <w:lang w:eastAsia="zh-CN"/>
              </w:rPr>
              <w:t>（电子证书打印件的除外）</w:t>
            </w:r>
            <w:r>
              <w:rPr>
                <w:rFonts w:hint="eastAsia" w:asciiTheme="minorEastAsia" w:hAnsiTheme="minorEastAsia" w:eastAsiaTheme="minorEastAsia" w:cstheme="minorEastAsia"/>
                <w:b/>
                <w:bCs/>
                <w:snapToGrid w:val="0"/>
                <w:color w:val="auto"/>
                <w:kern w:val="0"/>
                <w:sz w:val="21"/>
                <w:szCs w:val="21"/>
                <w:highlight w:val="none"/>
                <w:lang w:eastAsia="zh-CN"/>
              </w:rPr>
              <w:t>。</w:t>
            </w:r>
          </w:p>
        </w:tc>
      </w:tr>
      <w:tr w14:paraId="76E9045D">
        <w:tblPrEx>
          <w:tblCellMar>
            <w:top w:w="0" w:type="dxa"/>
            <w:left w:w="108" w:type="dxa"/>
            <w:bottom w:w="0" w:type="dxa"/>
            <w:right w:w="108" w:type="dxa"/>
          </w:tblCellMar>
        </w:tblPrEx>
        <w:trPr>
          <w:trHeight w:val="374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565AD55">
            <w:pPr>
              <w:widowControl w:val="0"/>
              <w:kinsoku/>
              <w:wordWrap w:val="0"/>
              <w:autoSpaceDE/>
              <w:autoSpaceDN/>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r>
              <w:rPr>
                <w:rFonts w:hint="eastAsia" w:asciiTheme="minorEastAsia" w:hAnsiTheme="minorEastAsia" w:eastAsiaTheme="minorEastAsia" w:cstheme="minorEastAsia"/>
                <w:snapToGrid w:val="0"/>
                <w:color w:val="auto"/>
                <w:kern w:val="0"/>
                <w:sz w:val="21"/>
                <w:szCs w:val="21"/>
                <w:highlight w:val="none"/>
                <w:lang w:val="en-US" w:eastAsia="zh-CN"/>
              </w:rPr>
              <w:t>管理机构人员</w:t>
            </w:r>
          </w:p>
          <w:p w14:paraId="1C9521A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综合素质</w:t>
            </w:r>
          </w:p>
          <w:p w14:paraId="692A64C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（10分）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A8EE5B0">
            <w:pPr>
              <w:widowControl w:val="0"/>
              <w:kinsoku/>
              <w:wordWrap w:val="0"/>
              <w:autoSpaceDE/>
              <w:autoSpaceDN/>
              <w:adjustRightInd w:val="0"/>
              <w:snapToGrid w:val="0"/>
              <w:spacing w:line="400" w:lineRule="exact"/>
              <w:jc w:val="left"/>
              <w:textAlignment w:val="auto"/>
              <w:rPr>
                <w:rFonts w:hint="default" w:asciiTheme="minorEastAsia" w:hAnsiTheme="minorEastAsia" w:eastAsiaTheme="minorEastAsia" w:cstheme="minorEastAsia"/>
                <w:snapToGrid/>
                <w:color w:val="auto"/>
                <w:kern w:val="2"/>
                <w:sz w:val="21"/>
                <w:szCs w:val="21"/>
                <w:highlight w:val="none"/>
                <w:lang w:val="en-US" w:eastAsia="zh-CN"/>
              </w:rPr>
            </w:pPr>
            <w:r>
              <w:rPr>
                <w:rFonts w:hint="eastAsia"/>
                <w:color w:val="auto"/>
                <w:spacing w:val="-9"/>
                <w:highlight w:val="none"/>
                <w:lang w:eastAsia="zh-CN"/>
              </w:rPr>
              <w:t>拟投入项目管理</w:t>
            </w:r>
            <w:r>
              <w:rPr>
                <w:color w:val="auto"/>
                <w:spacing w:val="-9"/>
                <w:highlight w:val="none"/>
                <w:lang w:eastAsia="zh-CN"/>
              </w:rPr>
              <w:t>其他</w:t>
            </w:r>
            <w:r>
              <w:rPr>
                <w:rFonts w:hint="eastAsia"/>
                <w:color w:val="auto"/>
                <w:spacing w:val="-9"/>
                <w:highlight w:val="none"/>
                <w:lang w:eastAsia="zh-CN"/>
              </w:rPr>
              <w:t>人员岗位证书情况：</w:t>
            </w:r>
            <w:r>
              <w:rPr>
                <w:rFonts w:hint="eastAsia"/>
                <w:color w:val="auto"/>
                <w:spacing w:val="-9"/>
                <w:highlight w:val="none"/>
                <w:lang w:eastAsia="zh-CN"/>
              </w:rPr>
              <w:br w:type="textWrapping"/>
            </w:r>
            <w:r>
              <w:rPr>
                <w:rFonts w:hint="eastAsia"/>
                <w:color w:val="auto"/>
                <w:spacing w:val="-9"/>
                <w:highlight w:val="none"/>
                <w:lang w:eastAsia="zh-CN"/>
              </w:rPr>
              <w:t>1.投入人员有</w:t>
            </w:r>
            <w:r>
              <w:rPr>
                <w:rFonts w:hint="eastAsia"/>
                <w:color w:val="auto"/>
                <w:spacing w:val="-9"/>
                <w:highlight w:val="none"/>
                <w:u w:val="single"/>
                <w:lang w:eastAsia="zh-CN"/>
              </w:rPr>
              <w:t xml:space="preserve"> 安全员、施工员、材料员、质量员、资料员 </w:t>
            </w:r>
            <w:r>
              <w:rPr>
                <w:rFonts w:hint="eastAsia"/>
                <w:color w:val="auto"/>
                <w:spacing w:val="-9"/>
                <w:highlight w:val="none"/>
                <w:lang w:eastAsia="zh-CN"/>
              </w:rPr>
              <w:t>的，每个得</w:t>
            </w:r>
            <w:r>
              <w:rPr>
                <w:rFonts w:hint="eastAsia"/>
                <w:color w:val="auto"/>
                <w:spacing w:val="-9"/>
                <w:highlight w:val="none"/>
                <w:u w:val="single"/>
                <w:lang w:eastAsia="zh-CN"/>
              </w:rPr>
              <w:t>1</w:t>
            </w:r>
            <w:r>
              <w:rPr>
                <w:rFonts w:hint="eastAsia"/>
                <w:color w:val="auto"/>
                <w:spacing w:val="-9"/>
                <w:highlight w:val="none"/>
                <w:lang w:eastAsia="zh-CN"/>
              </w:rPr>
              <w:t>分。（本小项最高得5分）</w:t>
            </w:r>
            <w:r>
              <w:rPr>
                <w:rFonts w:hint="eastAsia"/>
                <w:color w:val="auto"/>
                <w:spacing w:val="-9"/>
                <w:highlight w:val="none"/>
                <w:lang w:eastAsia="zh-CN"/>
              </w:rPr>
              <w:br w:type="textWrapping"/>
            </w:r>
            <w:r>
              <w:rPr>
                <w:rFonts w:hint="eastAsia"/>
                <w:color w:val="auto"/>
                <w:spacing w:val="-9"/>
                <w:highlight w:val="none"/>
                <w:lang w:eastAsia="zh-CN"/>
              </w:rPr>
              <w:t>2. 除项目经理及技术负责人外的其他岗位人员，每提供一个文物保护工程责任工程师，得</w:t>
            </w:r>
            <w:r>
              <w:rPr>
                <w:rFonts w:hint="eastAsia"/>
                <w:color w:val="auto"/>
                <w:spacing w:val="-9"/>
                <w:highlight w:val="none"/>
                <w:lang w:val="en-US" w:eastAsia="zh-CN"/>
              </w:rPr>
              <w:t>1</w:t>
            </w:r>
            <w:r>
              <w:rPr>
                <w:rFonts w:hint="eastAsia"/>
                <w:color w:val="auto"/>
                <w:spacing w:val="-9"/>
                <w:highlight w:val="none"/>
                <w:lang w:eastAsia="zh-CN"/>
              </w:rPr>
              <w:t>分。最高得5分。</w:t>
            </w:r>
            <w:r>
              <w:rPr>
                <w:rFonts w:hint="eastAsia"/>
                <w:color w:val="auto"/>
                <w:spacing w:val="-9"/>
                <w:highlight w:val="none"/>
                <w:lang w:eastAsia="zh-CN"/>
              </w:rPr>
              <w:br w:type="textWrapping"/>
            </w:r>
            <w:r>
              <w:rPr>
                <w:rFonts w:hint="eastAsia" w:asciiTheme="minorEastAsia" w:hAnsiTheme="minorEastAsia" w:eastAsiaTheme="minorEastAsia" w:cstheme="minorEastAsia"/>
                <w:b/>
                <w:bCs/>
                <w:snapToGrid/>
                <w:color w:val="auto"/>
                <w:highlight w:val="none"/>
                <w:lang w:eastAsia="zh-CN" w:bidi="ar"/>
              </w:rPr>
              <w:t>3</w:t>
            </w:r>
            <w:r>
              <w:rPr>
                <w:rFonts w:hint="eastAsia" w:asciiTheme="minorEastAsia" w:hAnsiTheme="minorEastAsia" w:eastAsiaTheme="minorEastAsia" w:cstheme="minorEastAsia"/>
                <w:b/>
                <w:bCs/>
                <w:color w:val="auto"/>
                <w:highlight w:val="none"/>
                <w:lang w:eastAsia="zh-CN"/>
              </w:rPr>
              <w:t>．本项最高得10分。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3D24B87">
            <w:pPr>
              <w:widowControl w:val="0"/>
              <w:kinsoku/>
              <w:wordWrap w:val="0"/>
              <w:autoSpaceDE/>
              <w:autoSpaceDN/>
              <w:adjustRightInd w:val="0"/>
              <w:snapToGrid w:val="0"/>
              <w:spacing w:line="400" w:lineRule="exact"/>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color w:val="auto"/>
                <w:spacing w:val="-3"/>
                <w:highlight w:val="none"/>
                <w:lang w:val="en-US" w:eastAsia="zh-CN"/>
              </w:rPr>
              <w:t>1.需提供</w:t>
            </w:r>
            <w:r>
              <w:rPr>
                <w:rFonts w:hint="eastAsia"/>
                <w:color w:val="auto"/>
                <w:spacing w:val="-3"/>
                <w:highlight w:val="none"/>
                <w:lang w:eastAsia="zh-CN"/>
              </w:rPr>
              <w:t>人员的身份证复印件、相应岗位证书以及响应截止日前6个月</w:t>
            </w:r>
            <w:r>
              <w:rPr>
                <w:rFonts w:hint="eastAsia"/>
                <w:color w:val="auto"/>
                <w:spacing w:val="-3"/>
                <w:highlight w:val="none"/>
                <w:lang w:val="en-US" w:eastAsia="zh-CN"/>
              </w:rPr>
              <w:t>的</w:t>
            </w:r>
            <w:r>
              <w:rPr>
                <w:rFonts w:hint="eastAsia"/>
                <w:color w:val="auto"/>
                <w:spacing w:val="-3"/>
                <w:highlight w:val="none"/>
                <w:lang w:eastAsia="zh-CN"/>
              </w:rPr>
              <w:t>社保的证明文件复印件，</w:t>
            </w:r>
            <w:r>
              <w:rPr>
                <w:rFonts w:hint="eastAsia"/>
                <w:color w:val="auto"/>
                <w:spacing w:val="-3"/>
                <w:highlight w:val="none"/>
                <w:lang w:val="en-US" w:eastAsia="zh-CN"/>
              </w:rPr>
              <w:t>不提供的</w:t>
            </w:r>
            <w:r>
              <w:rPr>
                <w:rFonts w:hint="eastAsia"/>
                <w:color w:val="auto"/>
                <w:spacing w:val="-3"/>
                <w:highlight w:val="none"/>
                <w:lang w:eastAsia="zh-CN"/>
              </w:rPr>
              <w:t>不得分。</w:t>
            </w:r>
            <w:r>
              <w:rPr>
                <w:rFonts w:hint="eastAsia"/>
                <w:color w:val="auto"/>
                <w:spacing w:val="-3"/>
                <w:highlight w:val="none"/>
                <w:lang w:eastAsia="zh-CN"/>
              </w:rPr>
              <w:br w:type="textWrapping"/>
            </w:r>
            <w:r>
              <w:rPr>
                <w:rFonts w:hint="eastAsia"/>
                <w:color w:val="auto"/>
                <w:spacing w:val="-3"/>
                <w:highlight w:val="none"/>
                <w:lang w:val="en-US" w:eastAsia="zh-CN"/>
              </w:rPr>
              <w:t>2.</w:t>
            </w:r>
            <w:r>
              <w:rPr>
                <w:rFonts w:hint="eastAsia"/>
                <w:color w:val="auto"/>
                <w:spacing w:val="-3"/>
                <w:highlight w:val="none"/>
                <w:lang w:eastAsia="zh-CN"/>
              </w:rPr>
              <w:t>各所要求人员必须一人一岗（若出现一人多证的只按一人计）, 不得兼任。</w:t>
            </w:r>
          </w:p>
        </w:tc>
      </w:tr>
      <w:tr w14:paraId="1373BDDF">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F7B2B0">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color w:val="auto"/>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color w:val="auto"/>
                <w:kern w:val="0"/>
                <w:sz w:val="24"/>
                <w:szCs w:val="24"/>
                <w:highlight w:val="none"/>
                <w:lang w:val="en-US" w:eastAsia="zh-CN" w:bidi="ar-SA"/>
              </w:rPr>
              <w:t>分。</w:t>
            </w:r>
          </w:p>
        </w:tc>
      </w:tr>
      <w:tr w14:paraId="4D8B763D">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7F2ED4B">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971C01">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27EB220">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254B77A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3B1E54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总体概述</w:t>
            </w:r>
          </w:p>
          <w:p w14:paraId="088794E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7CF9C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03F68C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DC396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783AE55">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827108E">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19D45C6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【良】对项目总体有一定认识，表述清晰、完整，措施具体有效；施工段划分呼应总体表述，划分清晰，符合规范要求。</w:t>
            </w:r>
          </w:p>
          <w:p w14:paraId="5A1C5E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【中】对项目总体有认识，有一定的措施但部分不具体；施工段划分较合理，符合规范要求。</w:t>
            </w:r>
          </w:p>
          <w:p w14:paraId="708E3266">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【差】对项目认识不足，表述不清晰，措施不具体；施工段划分不合理。</w:t>
            </w:r>
          </w:p>
        </w:tc>
      </w:tr>
      <w:tr w14:paraId="00970BF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C1A000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施工总进</w:t>
            </w:r>
          </w:p>
          <w:p w14:paraId="3E59FFD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度计划及</w:t>
            </w:r>
          </w:p>
          <w:p w14:paraId="3C7F83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702940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469ECF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08E4D7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0909FCC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5762B80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AF6F6C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509EEFE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3C8D29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C0C58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134D3E2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110662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p>
          <w:p w14:paraId="6C9540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6BF537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（4</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7169F9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8C8A5A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57A3206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1682A5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A0D5B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【优】应用新技术、新工艺、新材料、新设备，针对项目实际提出先进、可行、具体的保证措施。超过招标文件的质量要求。</w:t>
            </w:r>
          </w:p>
          <w:p w14:paraId="7A1C771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【良】针对项目实际提出先进、可行、具体的保证措施。满足招标文件的质量要求。</w:t>
            </w:r>
          </w:p>
          <w:p w14:paraId="04E3373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【中】具体措施可行。满足招标文件的质量要求。</w:t>
            </w:r>
          </w:p>
          <w:p w14:paraId="504D8A2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【差】措施不可行，没有质量违约责任承诺。</w:t>
            </w:r>
          </w:p>
        </w:tc>
      </w:tr>
      <w:tr w14:paraId="618E4605">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775B0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w:t>
            </w:r>
          </w:p>
          <w:p w14:paraId="0CB53C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技术措施</w:t>
            </w:r>
          </w:p>
          <w:p w14:paraId="43A7C23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0FC0C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CCDB2E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218A4E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72408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C30740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5C0895C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66BB7E9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92C2A1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154EA3C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3E44D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绿色施工、</w:t>
            </w:r>
          </w:p>
          <w:p w14:paraId="7110EDD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安全防护、</w:t>
            </w:r>
          </w:p>
          <w:p w14:paraId="586C62B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文明施工</w:t>
            </w:r>
          </w:p>
          <w:p w14:paraId="14073F3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措施计划</w:t>
            </w:r>
          </w:p>
          <w:p w14:paraId="3DBD69A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EA35B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157FAAC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099AAF3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0B72AB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E4E48F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【优】针对项目实际情况，有先进、具体、完整、可行的措施，采用规范准确、清晰。</w:t>
            </w:r>
          </w:p>
          <w:p w14:paraId="495EF4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【良】针对项目实际情况，有合理的措施且具体、完整，采用规范准确。</w:t>
            </w:r>
          </w:p>
          <w:p w14:paraId="237D71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【中】有基本合理的措施，采用规范准确。</w:t>
            </w:r>
          </w:p>
          <w:p w14:paraId="78199B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【差】措施不力，采用规范不正确。</w:t>
            </w:r>
          </w:p>
        </w:tc>
      </w:tr>
      <w:tr w14:paraId="537D05B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6D2FF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施工平面</w:t>
            </w:r>
          </w:p>
          <w:p w14:paraId="038DB08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布置和临时设施布置</w:t>
            </w:r>
          </w:p>
          <w:p w14:paraId="5688C07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05194D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57DB79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117BD8F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1552BF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6A0645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【优】总体布置有针对性、合理，较好满足施工需要，符合绿色施工、安全防护、文明施工要求。</w:t>
            </w:r>
          </w:p>
          <w:p w14:paraId="630BFE1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【良】总体布置合理，能满足施工需要，基本符合绿色施工、安全防护、文明施工要求。</w:t>
            </w:r>
          </w:p>
          <w:p w14:paraId="4A3FC7A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【中】总体布置基本合理，基本满足施工需要。</w:t>
            </w:r>
          </w:p>
          <w:p w14:paraId="2F762F1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【差】总体布置不合理，不符合绿色施工、安全防护、文明施工要求。</w:t>
            </w:r>
          </w:p>
        </w:tc>
      </w:tr>
      <w:tr w14:paraId="6CCE15C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5DCDF0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p>
          <w:p w14:paraId="085BF8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管理机构</w:t>
            </w:r>
          </w:p>
          <w:p w14:paraId="4DC794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3D101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6D04A0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582308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3546E81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15DF47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60%（含60%）以上。</w:t>
            </w:r>
          </w:p>
          <w:p w14:paraId="2D39E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人员50%～60%（含50%）。</w:t>
            </w:r>
          </w:p>
          <w:p w14:paraId="7EFCA87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40%～50%（含40%）。</w:t>
            </w:r>
          </w:p>
          <w:p w14:paraId="52DCAA1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40%以下。</w:t>
            </w:r>
          </w:p>
        </w:tc>
      </w:tr>
      <w:tr w14:paraId="3C85E566">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EB054F">
            <w:pPr>
              <w:widowControl w:val="0"/>
              <w:wordWrap w:val="0"/>
              <w:adjustRightInd w:val="0"/>
              <w:snapToGrid w:val="0"/>
              <w:spacing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投标报价部分，满分：100分。</w:t>
            </w:r>
          </w:p>
        </w:tc>
      </w:tr>
      <w:tr w14:paraId="2DE83E06">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5F86B2">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C0A243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评分方法</w:t>
            </w:r>
          </w:p>
        </w:tc>
      </w:tr>
      <w:tr w14:paraId="4571F65B">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9A8768">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BD546C9">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（1）确定</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663BA35">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B596E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F17B70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27ADA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0CD2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B89A54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24A9D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94A0E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920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w:t>
                  </w:r>
                </w:p>
              </w:tc>
            </w:tr>
            <w:tr w14:paraId="4B63ADF1">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FD2203B">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7F0FF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69A8E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1212E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607D72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65292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7EAE6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DDD00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r>
            <w:tr w14:paraId="1B4F4DBA">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CC38C0A">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0D5CA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2A13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357DF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606BDD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2DFD77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4BE3E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3A78F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r>
            <w:tr w14:paraId="084BC913">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A5160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F0C871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90CFBC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445A0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18B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3090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4683A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23C8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w:t>
                  </w:r>
                </w:p>
              </w:tc>
            </w:tr>
            <w:tr w14:paraId="2CEB3C5E">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5CCD3EC">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604E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66E50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B96DE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BC245B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2ECC96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8368F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27E0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r>
            <w:tr w14:paraId="14A4B290">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A763EB">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08F7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131F7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83D66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6186F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F38AFA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C8963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77501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3.0</w:t>
                  </w:r>
                </w:p>
              </w:tc>
            </w:tr>
          </w:tbl>
          <w:p w14:paraId="70556D9F">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（2）评标基准价D＝</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×（1－n）</w:t>
            </w:r>
          </w:p>
        </w:tc>
      </w:tr>
      <w:tr w14:paraId="3B7507FA">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BB2A35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投标报价</w:t>
            </w:r>
          </w:p>
          <w:p w14:paraId="6EB4E8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3374F709">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1分</w:t>
            </w:r>
            <w:r>
              <w:rPr>
                <w:rFonts w:hint="eastAsia" w:asciiTheme="minorEastAsia" w:hAnsiTheme="minorEastAsia" w:eastAsiaTheme="minorEastAsia" w:cstheme="minorEastAsia"/>
                <w:snapToGrid/>
                <w:color w:val="auto"/>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0.5分</w:t>
            </w:r>
            <w:r>
              <w:rPr>
                <w:rFonts w:hint="eastAsia" w:asciiTheme="minorEastAsia" w:hAnsiTheme="minorEastAsia" w:eastAsiaTheme="minorEastAsia" w:cstheme="minorEastAsia"/>
                <w:snapToGrid/>
                <w:color w:val="auto"/>
                <w:kern w:val="0"/>
                <w:sz w:val="21"/>
                <w:szCs w:val="21"/>
                <w:highlight w:val="none"/>
                <w:lang w:eastAsia="zh-CN"/>
              </w:rPr>
              <w:t>，扣完为止。公式如下：</w:t>
            </w:r>
          </w:p>
          <w:p w14:paraId="1C7D5612">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N＝100－（| Di－D | ÷D）×100×E</w:t>
            </w:r>
          </w:p>
          <w:p w14:paraId="44C3E3A3">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color w:val="auto"/>
                <w:kern w:val="0"/>
                <w:sz w:val="21"/>
                <w:szCs w:val="21"/>
                <w:highlight w:val="none"/>
                <w:lang w:eastAsia="zh-CN"/>
              </w:rPr>
              <w:t>1</w:t>
            </w:r>
            <w:r>
              <w:rPr>
                <w:rFonts w:hint="eastAsia" w:asciiTheme="minorEastAsia" w:hAnsiTheme="minorEastAsia" w:eastAsiaTheme="minorEastAsia" w:cstheme="minorEastAsia"/>
                <w:snapToGrid/>
                <w:color w:val="auto"/>
                <w:kern w:val="0"/>
                <w:sz w:val="21"/>
                <w:szCs w:val="21"/>
                <w:highlight w:val="none"/>
                <w:lang w:eastAsia="zh-CN"/>
              </w:rPr>
              <w:t xml:space="preserve"> ；当Di＜D时，E＝</w:t>
            </w:r>
            <w:r>
              <w:rPr>
                <w:rFonts w:hint="eastAsia" w:asciiTheme="minorEastAsia" w:hAnsiTheme="minorEastAsia" w:eastAsiaTheme="minorEastAsia" w:cstheme="minorEastAsia"/>
                <w:b/>
                <w:bCs/>
                <w:snapToGrid/>
                <w:color w:val="auto"/>
                <w:kern w:val="0"/>
                <w:sz w:val="21"/>
                <w:szCs w:val="21"/>
                <w:highlight w:val="none"/>
                <w:lang w:eastAsia="zh-CN"/>
              </w:rPr>
              <w:t>0.5</w:t>
            </w:r>
            <w:r>
              <w:rPr>
                <w:rFonts w:hint="eastAsia" w:asciiTheme="minorEastAsia" w:hAnsiTheme="minorEastAsia" w:eastAsiaTheme="minorEastAsia" w:cstheme="minorEastAsia"/>
                <w:snapToGrid/>
                <w:color w:val="auto"/>
                <w:kern w:val="0"/>
                <w:sz w:val="21"/>
                <w:szCs w:val="21"/>
                <w:highlight w:val="none"/>
                <w:lang w:eastAsia="zh-CN"/>
              </w:rPr>
              <w:t>。</w:t>
            </w:r>
          </w:p>
        </w:tc>
      </w:tr>
    </w:tbl>
    <w:p w14:paraId="4C6CFEE2">
      <w:pPr>
        <w:pStyle w:val="25"/>
        <w:jc w:val="both"/>
        <w:rPr>
          <w:rFonts w:hint="eastAsia"/>
          <w:highlight w:val="none"/>
        </w:rPr>
      </w:pPr>
    </w:p>
    <w:p w14:paraId="4572AFAF">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7330DDD">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4A7BEF82">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20" w:name="_Toc5769"/>
      <w:bookmarkStart w:id="121" w:name="_Toc9725"/>
      <w:bookmarkStart w:id="122" w:name="_Toc17436"/>
      <w:bookmarkStart w:id="123" w:name="_Toc31744"/>
      <w:r>
        <w:rPr>
          <w:rFonts w:hint="eastAsia" w:ascii="宋体" w:hAnsi="宋体" w:eastAsia="宋体" w:cs="宋体"/>
          <w:b/>
          <w:bCs/>
          <w:color w:val="auto"/>
          <w:spacing w:val="0"/>
          <w:sz w:val="24"/>
          <w:szCs w:val="24"/>
          <w:highlight w:val="none"/>
        </w:rPr>
        <w:br w:type="page"/>
      </w:r>
    </w:p>
    <w:p w14:paraId="3E3DF6AC">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bookmarkEnd w:id="120"/>
      <w:bookmarkEnd w:id="121"/>
      <w:bookmarkEnd w:id="122"/>
      <w:bookmarkEnd w:id="123"/>
    </w:p>
    <w:p w14:paraId="7A2EE53E">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9E9356F">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lang w:eastAsia="zh-CN"/>
        </w:rPr>
      </w:pPr>
      <w:bookmarkStart w:id="124" w:name="bookmark137"/>
      <w:bookmarkEnd w:id="124"/>
      <w:bookmarkStart w:id="125" w:name="bookmark138"/>
      <w:bookmarkEnd w:id="125"/>
      <w:bookmarkStart w:id="126" w:name="_Toc17027"/>
      <w:bookmarkStart w:id="127" w:name="_Toc8546"/>
      <w:bookmarkStart w:id="128" w:name="_Toc16384"/>
      <w:r>
        <w:rPr>
          <w:rFonts w:hint="eastAsia" w:ascii="宋体" w:hAnsi="宋体" w:eastAsia="宋体" w:cs="宋体"/>
          <w:b/>
          <w:bCs/>
          <w:color w:val="auto"/>
          <w:spacing w:val="0"/>
          <w:sz w:val="24"/>
          <w:szCs w:val="24"/>
          <w:highlight w:val="none"/>
        </w:rPr>
        <w:t>16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bookmarkEnd w:id="126"/>
      <w:bookmarkEnd w:id="127"/>
      <w:bookmarkEnd w:id="128"/>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3"/>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89FE3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406773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5C2F9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b/>
          <w:bCs/>
          <w:color w:val="auto"/>
          <w:spacing w:val="0"/>
          <w:sz w:val="24"/>
          <w:szCs w:val="24"/>
          <w:highlight w:val="none"/>
        </w:rPr>
      </w:pPr>
      <w:bookmarkStart w:id="129" w:name="_Toc21726"/>
      <w:bookmarkStart w:id="130" w:name="_Toc11908"/>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结果</w:t>
      </w:r>
      <w:r>
        <w:rPr>
          <w:rFonts w:hint="eastAsia" w:ascii="宋体" w:hAnsi="宋体" w:eastAsia="宋体" w:cs="宋体"/>
          <w:b/>
          <w:bCs/>
          <w:color w:val="auto"/>
          <w:spacing w:val="0"/>
          <w:sz w:val="24"/>
          <w:szCs w:val="24"/>
          <w:highlight w:val="none"/>
        </w:rPr>
        <w:t>公示</w:t>
      </w:r>
      <w:bookmarkEnd w:id="129"/>
      <w:bookmarkEnd w:id="130"/>
    </w:p>
    <w:p w14:paraId="2497A66C">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7351A8F5">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4598D3DD">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31" w:name="_Toc2600"/>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31"/>
    </w:p>
    <w:p w14:paraId="46F7EEA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02D2B7C">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12C2E94">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32" w:name="_Toc21422"/>
      <w:r>
        <w:rPr>
          <w:rFonts w:hint="eastAsia" w:ascii="宋体" w:hAnsi="宋体" w:eastAsia="宋体" w:cs="宋体"/>
          <w:b/>
          <w:bCs/>
          <w:color w:val="auto"/>
          <w:spacing w:val="0"/>
          <w:sz w:val="24"/>
          <w:szCs w:val="24"/>
          <w:highlight w:val="none"/>
        </w:rPr>
        <w:t>1 ．资格评审环节</w:t>
      </w:r>
      <w:bookmarkEnd w:id="132"/>
    </w:p>
    <w:p w14:paraId="74FEF03C">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45FE5554">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03414978">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32EED32B">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0F2A74BC">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3462506">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1444556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C6FF41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798C8207">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4F7B3592">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33"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34" w:name="bookmark139"/>
      <w:bookmarkEnd w:id="134"/>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33"/>
    </w:p>
    <w:p w14:paraId="0F791476">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2C69257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001119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A7BFED6">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35" w:name="_Toc28571"/>
      <w:r>
        <w:rPr>
          <w:rFonts w:hint="eastAsia" w:ascii="宋体" w:hAnsi="宋体" w:eastAsia="宋体" w:cs="宋体"/>
          <w:b/>
          <w:bCs/>
          <w:color w:val="auto"/>
          <w:spacing w:val="0"/>
          <w:sz w:val="24"/>
          <w:szCs w:val="24"/>
          <w:highlight w:val="none"/>
        </w:rPr>
        <w:t>2 ．形式评审环节</w:t>
      </w:r>
      <w:bookmarkEnd w:id="135"/>
    </w:p>
    <w:p w14:paraId="33654F1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4BAC9BEA">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6E2B21D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6D3CEC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FFF89B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707E04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1C64F3A3">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36" w:name="_Toc21573"/>
      <w:r>
        <w:rPr>
          <w:rFonts w:hint="eastAsia" w:ascii="宋体" w:hAnsi="宋体" w:eastAsia="宋体" w:cs="宋体"/>
          <w:b/>
          <w:bCs/>
          <w:color w:val="auto"/>
          <w:spacing w:val="0"/>
          <w:sz w:val="24"/>
          <w:szCs w:val="24"/>
          <w:highlight w:val="none"/>
        </w:rPr>
        <w:t>3 ．响应性评审环节</w:t>
      </w:r>
      <w:bookmarkEnd w:id="136"/>
    </w:p>
    <w:p w14:paraId="023371C4">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039432F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3A9ED79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7EBE7469">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70E2ADFC">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05BC2C53">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62906720">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0DBFDD7A">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37" w:name="_Toc22309"/>
      <w:r>
        <w:rPr>
          <w:rFonts w:hint="eastAsia" w:ascii="宋体" w:hAnsi="宋体" w:eastAsia="宋体" w:cs="宋体"/>
          <w:b/>
          <w:bCs/>
          <w:color w:val="auto"/>
          <w:spacing w:val="0"/>
          <w:sz w:val="24"/>
          <w:szCs w:val="24"/>
          <w:highlight w:val="none"/>
        </w:rPr>
        <w:t>4 ．其他</w:t>
      </w:r>
      <w:bookmarkEnd w:id="137"/>
    </w:p>
    <w:p w14:paraId="1DB8C9B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0CA58726">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0D1C3C0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66C929C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6D5FB77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2325080">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36C4CB17">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1A519F5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2D97114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3D4E49B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16BEF1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72728FDA">
      <w:pPr>
        <w:pStyle w:val="25"/>
        <w:keepNext w:val="0"/>
        <w:keepLines w:val="0"/>
        <w:pageBreakBefore w:val="0"/>
        <w:wordWrap w:val="0"/>
        <w:overflowPunct/>
        <w:topLinePunct w:val="0"/>
        <w:bidi w:val="0"/>
        <w:rPr>
          <w:rFonts w:hint="eastAsia"/>
          <w:spacing w:val="0"/>
          <w:highlight w:val="none"/>
        </w:rPr>
      </w:pPr>
    </w:p>
    <w:p w14:paraId="451E5D4B">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headerReference r:id="rId8" w:type="default"/>
          <w:footerReference r:id="rId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38" w:name="bookmark57"/>
      <w:bookmarkEnd w:id="138"/>
      <w:bookmarkStart w:id="139" w:name="_Toc27997"/>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39"/>
    </w:p>
    <w:p w14:paraId="3C63E460">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40" w:name="_Toc31198"/>
      <w:r>
        <w:rPr>
          <w:rFonts w:hint="eastAsia" w:ascii="宋体" w:hAnsi="宋体" w:eastAsia="宋体" w:cs="宋体"/>
          <w:b/>
          <w:bCs/>
          <w:color w:val="auto"/>
          <w:spacing w:val="0"/>
          <w:sz w:val="24"/>
          <w:szCs w:val="24"/>
          <w:highlight w:val="none"/>
        </w:rPr>
        <w:t>1 ．中标通知书</w:t>
      </w:r>
      <w:bookmarkEnd w:id="140"/>
    </w:p>
    <w:p w14:paraId="360F6602">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w:t>
      </w:r>
      <w:r>
        <w:rPr>
          <w:rFonts w:hint="eastAsia" w:ascii="宋体" w:hAnsi="宋体" w:eastAsia="宋体" w:cs="宋体"/>
          <w:color w:val="auto"/>
          <w:spacing w:val="0"/>
          <w:sz w:val="24"/>
          <w:szCs w:val="24"/>
          <w:highlight w:val="none"/>
          <w:lang w:val="en-US" w:eastAsia="zh-CN"/>
        </w:rPr>
        <w:t>定</w:t>
      </w:r>
      <w:r>
        <w:rPr>
          <w:rFonts w:hint="eastAsia" w:ascii="宋体" w:hAnsi="宋体" w:eastAsia="宋体" w:cs="宋体"/>
          <w:color w:val="auto"/>
          <w:spacing w:val="0"/>
          <w:sz w:val="24"/>
          <w:szCs w:val="24"/>
          <w:highlight w:val="none"/>
        </w:rPr>
        <w:t>标人为中标人</w:t>
      </w:r>
      <w:r>
        <w:rPr>
          <w:rFonts w:hint="eastAsia" w:ascii="宋体" w:hAnsi="宋体" w:eastAsia="宋体" w:cs="宋体"/>
          <w:color w:val="auto"/>
          <w:spacing w:val="0"/>
          <w:sz w:val="24"/>
          <w:szCs w:val="24"/>
          <w:highlight w:val="none"/>
          <w:lang w:val="en-US" w:eastAsia="zh-CN"/>
        </w:rPr>
        <w:t>后</w:t>
      </w:r>
      <w:r>
        <w:rPr>
          <w:rFonts w:hint="eastAsia" w:ascii="宋体" w:hAnsi="宋体" w:eastAsia="宋体" w:cs="宋体"/>
          <w:color w:val="auto"/>
          <w:spacing w:val="0"/>
          <w:sz w:val="24"/>
          <w:szCs w:val="24"/>
          <w:highlight w:val="none"/>
        </w:rPr>
        <w:t xml:space="preserve">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E2EC4A2">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41" w:name="_Toc9163"/>
      <w:r>
        <w:rPr>
          <w:rFonts w:hint="eastAsia" w:ascii="宋体" w:hAnsi="宋体" w:eastAsia="宋体" w:cs="宋体"/>
          <w:b/>
          <w:bCs/>
          <w:color w:val="auto"/>
          <w:spacing w:val="0"/>
          <w:sz w:val="24"/>
          <w:szCs w:val="24"/>
          <w:highlight w:val="none"/>
        </w:rPr>
        <w:t>2 ．中标结果公示</w:t>
      </w:r>
      <w:bookmarkEnd w:id="141"/>
    </w:p>
    <w:p w14:paraId="6D402282">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2C95E54C">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42" w:name="_Toc16611"/>
      <w:r>
        <w:rPr>
          <w:rFonts w:hint="eastAsia" w:ascii="宋体" w:hAnsi="宋体" w:eastAsia="宋体" w:cs="宋体"/>
          <w:b/>
          <w:bCs/>
          <w:color w:val="auto"/>
          <w:spacing w:val="0"/>
          <w:sz w:val="24"/>
          <w:szCs w:val="24"/>
          <w:highlight w:val="none"/>
        </w:rPr>
        <w:t>3 ．履约保证</w:t>
      </w:r>
      <w:bookmarkEnd w:id="142"/>
    </w:p>
    <w:p w14:paraId="677C4C26">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49B5F994">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0431B761">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439D8102">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05A3F90E">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3852EB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2841E06">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43" w:name="_Toc15730"/>
      <w:r>
        <w:rPr>
          <w:rFonts w:hint="eastAsia" w:ascii="宋体" w:hAnsi="宋体" w:eastAsia="宋体" w:cs="宋体"/>
          <w:b/>
          <w:bCs/>
          <w:color w:val="auto"/>
          <w:spacing w:val="0"/>
          <w:sz w:val="24"/>
          <w:szCs w:val="24"/>
          <w:highlight w:val="none"/>
        </w:rPr>
        <w:t>4 ．合同订立</w:t>
      </w:r>
      <w:bookmarkEnd w:id="143"/>
    </w:p>
    <w:p w14:paraId="60A8639F">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4F9543E">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416E0180">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0BF121F6">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D1041E0">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3A357F91">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4.2.4  </w:t>
      </w:r>
      <w:r>
        <w:rPr>
          <w:rFonts w:hint="eastAsia" w:ascii="宋体" w:hAnsi="宋体" w:eastAsia="宋体" w:cs="宋体"/>
          <w:color w:val="auto"/>
          <w:spacing w:val="0"/>
          <w:sz w:val="24"/>
          <w:szCs w:val="24"/>
          <w:highlight w:val="none"/>
        </w:rPr>
        <w:t>不平衡报价的认定。经修正算术性错误后的中标人已标价工程量清单中，</w:t>
      </w:r>
      <w:r>
        <w:rPr>
          <w:rFonts w:hint="eastAsia" w:ascii="宋体" w:hAnsi="宋体" w:eastAsia="宋体" w:cs="宋体"/>
          <w:color w:val="auto"/>
          <w:spacing w:val="0"/>
          <w:sz w:val="24"/>
          <w:szCs w:val="24"/>
          <w:highlight w:val="none"/>
          <w:u w:val="single"/>
        </w:rPr>
        <w:t>对于投标报价中综合单价相对</w:t>
      </w:r>
      <w:r>
        <w:rPr>
          <w:rFonts w:hint="eastAsia" w:ascii="宋体" w:hAnsi="宋体" w:eastAsia="宋体" w:cs="宋体"/>
          <w:color w:val="auto"/>
          <w:spacing w:val="0"/>
          <w:sz w:val="24"/>
          <w:szCs w:val="24"/>
          <w:highlight w:val="none"/>
          <w:u w:val="single"/>
          <w:lang w:val="en-US" w:eastAsia="zh-CN"/>
        </w:rPr>
        <w:t>最高投标限价</w:t>
      </w:r>
      <w:r>
        <w:rPr>
          <w:rFonts w:hint="eastAsia" w:ascii="宋体" w:hAnsi="宋体" w:eastAsia="宋体" w:cs="宋体"/>
          <w:color w:val="auto"/>
          <w:spacing w:val="0"/>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0"/>
          <w:sz w:val="24"/>
          <w:szCs w:val="24"/>
          <w:highlight w:val="none"/>
          <w:u w:val="none"/>
        </w:rPr>
        <w:t>的清单项目</w:t>
      </w:r>
      <w:r>
        <w:rPr>
          <w:rFonts w:hint="eastAsia" w:ascii="宋体" w:hAnsi="宋体" w:eastAsia="宋体" w:cs="宋体"/>
          <w:color w:val="auto"/>
          <w:spacing w:val="0"/>
          <w:sz w:val="24"/>
          <w:szCs w:val="24"/>
          <w:highlight w:val="none"/>
        </w:rPr>
        <w:t>，视为不平衡报价项目。</w:t>
      </w:r>
    </w:p>
    <w:p w14:paraId="59BB732F">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4.2.5 </w:t>
      </w:r>
      <w:r>
        <w:rPr>
          <w:rFonts w:hint="eastAsia" w:ascii="宋体" w:hAnsi="宋体" w:eastAsia="宋体" w:cs="宋体"/>
          <w:color w:val="auto"/>
          <w:spacing w:val="0"/>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4.2.6 合同履行过程中，被认定为错漏项的清单项目，结算时按照第三章“拟签订合同的主要条款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”规定处理。</w:t>
      </w:r>
    </w:p>
    <w:p w14:paraId="0A0FE849">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”有关规定调整合同价款。</w:t>
      </w:r>
    </w:p>
    <w:p w14:paraId="4C2BA967">
      <w:pPr>
        <w:keepNext w:val="0"/>
        <w:keepLines w:val="0"/>
        <w:pageBreakBefore w:val="0"/>
        <w:wordWrap w:val="0"/>
        <w:overflowPunct/>
        <w:topLinePunct w:val="0"/>
        <w:bidi w:val="0"/>
        <w:spacing w:before="87" w:line="276"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4.3  </w:t>
      </w:r>
      <w:r>
        <w:rPr>
          <w:rFonts w:hint="eastAsia" w:ascii="宋体" w:hAnsi="宋体" w:eastAsia="宋体" w:cs="宋体"/>
          <w:color w:val="auto"/>
          <w:spacing w:val="0"/>
          <w:sz w:val="24"/>
          <w:szCs w:val="24"/>
          <w:highlight w:val="none"/>
        </w:rPr>
        <w:t>本招标项目合同计价方式为：</w:t>
      </w:r>
      <w:r>
        <w:rPr>
          <w:rFonts w:hint="eastAsia" w:ascii="宋体" w:hAnsi="宋体" w:eastAsia="宋体" w:cs="宋体"/>
          <w:color w:val="auto"/>
          <w:spacing w:val="0"/>
          <w:sz w:val="24"/>
          <w:szCs w:val="24"/>
          <w:highlight w:val="none"/>
          <w:u w:val="single"/>
        </w:rPr>
        <w:t xml:space="preserve"> 单价 </w:t>
      </w:r>
      <w:r>
        <w:rPr>
          <w:rFonts w:hint="eastAsia" w:ascii="宋体" w:hAnsi="宋体" w:eastAsia="宋体" w:cs="宋体"/>
          <w:color w:val="auto"/>
          <w:spacing w:val="0"/>
          <w:sz w:val="24"/>
          <w:szCs w:val="24"/>
          <w:highlight w:val="none"/>
        </w:rPr>
        <w:t>合同。</w:t>
      </w:r>
    </w:p>
    <w:p w14:paraId="7AD8D0F4">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4.4  </w:t>
      </w:r>
      <w:r>
        <w:rPr>
          <w:rFonts w:hint="eastAsia" w:ascii="宋体" w:hAnsi="宋体" w:eastAsia="宋体" w:cs="宋体"/>
          <w:color w:val="auto"/>
          <w:spacing w:val="0"/>
          <w:sz w:val="24"/>
          <w:szCs w:val="24"/>
          <w:highlight w:val="none"/>
        </w:rPr>
        <w:t>合同的标的、质量、履行期限条款和合同的价款、单价、比例条款等主要条款，应当与招标文件、中标人的投标文件的内容一致。中标人在签订合同时不得向招标人提出附加条件。</w:t>
      </w:r>
    </w:p>
    <w:p w14:paraId="77C16957">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235BDE2">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1D51752E">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144" w:name="_Toc7925"/>
      <w:r>
        <w:rPr>
          <w:rFonts w:hint="eastAsia" w:ascii="宋体" w:hAnsi="宋体" w:eastAsia="宋体" w:cs="宋体"/>
          <w:b/>
          <w:bCs/>
          <w:color w:val="auto"/>
          <w:spacing w:val="0"/>
          <w:sz w:val="24"/>
          <w:szCs w:val="24"/>
          <w:highlight w:val="none"/>
        </w:rPr>
        <w:t>5 ．放弃中标的处理</w:t>
      </w:r>
      <w:bookmarkEnd w:id="144"/>
    </w:p>
    <w:p w14:paraId="18C72D34">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5.1</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auto"/>
          <w:spacing w:val="0"/>
          <w:sz w:val="24"/>
          <w:szCs w:val="24"/>
          <w:highlight w:val="none"/>
        </w:rPr>
        <w:t>招标人应将该弃标人的失信行为向行政监督部门报告。</w:t>
      </w:r>
    </w:p>
    <w:p w14:paraId="0C97F14D">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5.2  </w:t>
      </w:r>
      <w:r>
        <w:rPr>
          <w:rFonts w:hint="eastAsia" w:ascii="宋体" w:hAnsi="宋体" w:eastAsia="宋体" w:cs="宋体"/>
          <w:color w:val="auto"/>
          <w:spacing w:val="0"/>
          <w:sz w:val="24"/>
          <w:szCs w:val="24"/>
          <w:highlight w:val="none"/>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45" w:name="bookmark84"/>
      <w:bookmarkEnd w:id="145"/>
      <w:r>
        <w:rPr>
          <w:rFonts w:hint="eastAsia" w:ascii="宋体" w:hAnsi="宋体" w:eastAsia="宋体" w:cs="宋体"/>
          <w:color w:val="auto"/>
          <w:spacing w:val="0"/>
          <w:sz w:val="24"/>
          <w:szCs w:val="24"/>
          <w:highlight w:val="none"/>
        </w:rPr>
        <w:t>件明显不利于招标人的，也可以重新招标。</w:t>
      </w:r>
    </w:p>
    <w:p w14:paraId="5D2715B3">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1D167E59">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46" w:name="bookmark86"/>
      <w:bookmarkEnd w:id="146"/>
      <w:bookmarkStart w:id="147" w:name="_Toc15559"/>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47"/>
    </w:p>
    <w:p w14:paraId="0B04D162">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B37012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F61A5A1">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auto"/>
          <w:spacing w:val="0"/>
          <w:sz w:val="24"/>
          <w:szCs w:val="24"/>
          <w:highlight w:val="none"/>
        </w:rPr>
      </w:pPr>
      <w:bookmarkStart w:id="148" w:name="_Toc1132"/>
      <w:r>
        <w:rPr>
          <w:rFonts w:hint="eastAsia" w:ascii="宋体" w:hAnsi="宋体" w:eastAsia="宋体" w:cs="宋体"/>
          <w:b/>
          <w:bCs/>
          <w:color w:val="auto"/>
          <w:spacing w:val="0"/>
          <w:sz w:val="24"/>
          <w:szCs w:val="24"/>
          <w:highlight w:val="none"/>
        </w:rPr>
        <w:t>1 ．工程承包方式</w:t>
      </w:r>
      <w:bookmarkEnd w:id="148"/>
    </w:p>
    <w:p w14:paraId="68DBE4BA">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承包人以中标价按包工包料、包质量、包安全包文明施工、包工期方式总承包施工，不允许转包和违法分包，如果承包人将建设工程转包或违法分包，发包人可以解除合同。如果确需分包须与发包人协商，在得到发包人和监理单位同意后报建设行政主管部门备案。</w:t>
      </w:r>
    </w:p>
    <w:p w14:paraId="1A7AD95C">
      <w:pPr>
        <w:keepNext w:val="0"/>
        <w:keepLines w:val="0"/>
        <w:pageBreakBefore w:val="0"/>
        <w:wordWrap w:val="0"/>
        <w:overflowPunct/>
        <w:topLinePunct w:val="0"/>
        <w:bidi w:val="0"/>
        <w:spacing w:before="153"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包工包料：材料符合招标文件要求并报验使用；办理用工保险。</w:t>
      </w:r>
    </w:p>
    <w:p w14:paraId="6D255FC4">
      <w:pPr>
        <w:keepNext w:val="0"/>
        <w:keepLines w:val="0"/>
        <w:pageBreakBefore w:val="0"/>
        <w:wordWrap w:val="0"/>
        <w:overflowPunct/>
        <w:topLinePunct w:val="0"/>
        <w:bidi w:val="0"/>
        <w:spacing w:before="156"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包质量：符合招标文件要求。</w:t>
      </w:r>
    </w:p>
    <w:p w14:paraId="7B161543">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包安全包文明施工：符合招标文件要求。</w:t>
      </w:r>
    </w:p>
    <w:p w14:paraId="41E26BE4">
      <w:pPr>
        <w:keepNext w:val="0"/>
        <w:keepLines w:val="0"/>
        <w:pageBreakBefore w:val="0"/>
        <w:wordWrap w:val="0"/>
        <w:overflowPunct/>
        <w:topLinePunct w:val="0"/>
        <w:bidi w:val="0"/>
        <w:spacing w:before="154"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1.1.4  </w:t>
      </w:r>
      <w:r>
        <w:rPr>
          <w:rFonts w:hint="eastAsia" w:ascii="宋体" w:hAnsi="宋体" w:eastAsia="宋体" w:cs="宋体"/>
          <w:color w:val="auto"/>
          <w:spacing w:val="0"/>
          <w:sz w:val="24"/>
          <w:szCs w:val="24"/>
          <w:highlight w:val="none"/>
        </w:rPr>
        <w:t>包工期：本招标项目施工必须在招标工期内完成。</w:t>
      </w:r>
    </w:p>
    <w:p w14:paraId="55262A8D">
      <w:pPr>
        <w:keepNext w:val="0"/>
        <w:keepLines w:val="0"/>
        <w:pageBreakBefore w:val="0"/>
        <w:wordWrap w:val="0"/>
        <w:overflowPunct/>
        <w:topLinePunct w:val="0"/>
        <w:bidi w:val="0"/>
        <w:spacing w:before="154" w:line="360" w:lineRule="auto"/>
        <w:ind w:left="0" w:leftChars="0" w:firstLine="482" w:firstLineChars="200"/>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1.2 项目中标后，中标人须配建一定比例的公益项目，并在签订施工合同前，先行签订公益项目捐建协议。</w:t>
      </w:r>
    </w:p>
    <w:p w14:paraId="5E683A9A">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149" w:name="bookmark88"/>
      <w:bookmarkEnd w:id="149"/>
      <w:bookmarkStart w:id="150" w:name="_Toc20891"/>
      <w:r>
        <w:rPr>
          <w:rFonts w:hint="eastAsia" w:ascii="宋体" w:hAnsi="宋体" w:eastAsia="宋体" w:cs="宋体"/>
          <w:b/>
          <w:bCs/>
          <w:color w:val="auto"/>
          <w:spacing w:val="0"/>
          <w:sz w:val="24"/>
          <w:szCs w:val="24"/>
          <w:highlight w:val="none"/>
        </w:rPr>
        <w:t>2 ．工程结算原则</w:t>
      </w:r>
      <w:bookmarkEnd w:id="150"/>
    </w:p>
    <w:p w14:paraId="047D1E9F">
      <w:pPr>
        <w:keepNext w:val="0"/>
        <w:keepLines w:val="0"/>
        <w:pageBreakBefore w:val="0"/>
        <w:wordWrap w:val="0"/>
        <w:overflowPunct/>
        <w:topLinePunct w:val="0"/>
        <w:bidi w:val="0"/>
        <w:spacing w:before="153"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承包人的投标总价为中标价，即为签约合同价。</w:t>
      </w:r>
    </w:p>
    <w:p w14:paraId="7FAD113F">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招标工程量清单标明的工程量是投标人投标报价的共同基础，竣工结算的工程量按</w:t>
      </w:r>
      <w:bookmarkStart w:id="151" w:name="OLE_LINK28"/>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）对工程计量的规定进行计量，必须以承包人完成合同工程应予计量的工程量确定。施</w:t>
      </w:r>
      <w:bookmarkEnd w:id="151"/>
      <w:r>
        <w:rPr>
          <w:rFonts w:hint="eastAsia" w:ascii="宋体" w:hAnsi="宋体" w:eastAsia="宋体" w:cs="宋体"/>
          <w:color w:val="auto"/>
          <w:spacing w:val="0"/>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0EBA0169">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  </w:t>
      </w:r>
      <w:r>
        <w:rPr>
          <w:rFonts w:hint="eastAsia" w:ascii="宋体" w:hAnsi="宋体" w:eastAsia="宋体" w:cs="宋体"/>
          <w:color w:val="auto"/>
          <w:spacing w:val="0"/>
          <w:sz w:val="24"/>
          <w:szCs w:val="24"/>
          <w:highlight w:val="none"/>
        </w:rPr>
        <w:t>施工合同履行期间，若出现下列情形的，发、承包双方应当按照以下规定调整合同价款：</w:t>
      </w:r>
    </w:p>
    <w:p w14:paraId="28C07B92">
      <w:pPr>
        <w:keepNext w:val="0"/>
        <w:keepLines w:val="0"/>
        <w:pageBreakBefore w:val="0"/>
        <w:wordWrap w:val="0"/>
        <w:overflowPunct/>
        <w:topLinePunct w:val="0"/>
        <w:bidi w:val="0"/>
        <w:spacing w:before="227"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2.3.1  </w:t>
      </w:r>
      <w:r>
        <w:rPr>
          <w:rFonts w:hint="eastAsia" w:ascii="宋体" w:hAnsi="宋体" w:eastAsia="宋体" w:cs="宋体"/>
          <w:color w:val="auto"/>
          <w:spacing w:val="0"/>
          <w:sz w:val="24"/>
          <w:szCs w:val="24"/>
          <w:highlight w:val="none"/>
        </w:rPr>
        <w:t>法律法规变化</w:t>
      </w:r>
    </w:p>
    <w:p w14:paraId="6BF5F2D0">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"2.3.1.1"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2.3.1.1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color w:val="auto"/>
          <w:spacing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215BC69">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注：本招标文件所称“基准日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”，均指投标文件递交截止时间（见第一章第二节“重要事项时间地点一览表</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”）前</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28 天。</w:t>
      </w:r>
    </w:p>
    <w:p w14:paraId="5B8E95D2">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"2.3.1.2"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2.3.1.2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因承包人原因导致工程延误，本章第 </w:t>
      </w:r>
      <w:r>
        <w:rPr>
          <w:rFonts w:hint="eastAsia" w:ascii="宋体" w:hAnsi="宋体" w:eastAsia="宋体" w:cs="宋体"/>
          <w:b/>
          <w:bCs/>
          <w:color w:val="auto"/>
          <w:spacing w:val="0"/>
          <w:sz w:val="24"/>
          <w:szCs w:val="24"/>
          <w:highlight w:val="none"/>
        </w:rPr>
        <w:t xml:space="preserve">2.3.1.1 </w:t>
      </w:r>
      <w:r>
        <w:rPr>
          <w:rFonts w:hint="eastAsia" w:ascii="宋体" w:hAnsi="宋体" w:eastAsia="宋体" w:cs="宋体"/>
          <w:color w:val="auto"/>
          <w:spacing w:val="0"/>
          <w:sz w:val="24"/>
          <w:szCs w:val="24"/>
          <w:highlight w:val="none"/>
        </w:rPr>
        <w:t>子目中的法定机构根据国家法律法规变化发布新规的时间在合同工程原定竣工时间之后的，合同价款调增的不予调整，合同价款调减的予以调整。</w:t>
      </w:r>
    </w:p>
    <w:p w14:paraId="231CEC4D">
      <w:pPr>
        <w:keepNext w:val="0"/>
        <w:keepLines w:val="0"/>
        <w:pageBreakBefore w:val="0"/>
        <w:wordWrap w:val="0"/>
        <w:overflowPunct/>
        <w:topLinePunct w:val="0"/>
        <w:bidi w:val="0"/>
        <w:spacing w:before="155"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2.3.2  </w:t>
      </w:r>
      <w:r>
        <w:rPr>
          <w:rFonts w:hint="eastAsia" w:ascii="宋体" w:hAnsi="宋体" w:eastAsia="宋体" w:cs="宋体"/>
          <w:color w:val="auto"/>
          <w:spacing w:val="0"/>
          <w:sz w:val="24"/>
          <w:szCs w:val="24"/>
          <w:highlight w:val="none"/>
        </w:rPr>
        <w:t>工程量偏差或变化</w:t>
      </w:r>
    </w:p>
    <w:p w14:paraId="655704F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6F1EA887">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auto"/>
          <w:spacing w:val="0"/>
          <w:sz w:val="24"/>
          <w:szCs w:val="24"/>
          <w:highlight w:val="none"/>
        </w:rPr>
      </w:pPr>
      <w:bookmarkStart w:id="152" w:name="bookmark142"/>
      <w:bookmarkEnd w:id="152"/>
      <w:r>
        <w:rPr>
          <w:rFonts w:hint="eastAsia" w:ascii="宋体" w:hAnsi="宋体" w:eastAsia="宋体" w:cs="宋体"/>
          <w:color w:val="auto"/>
          <w:spacing w:val="0"/>
          <w:sz w:val="24"/>
          <w:szCs w:val="24"/>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19CF62EE">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对于按照第二章“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条被认定为不平衡报价的清单项目，其综合单价按照以下方法调整：</w:t>
      </w:r>
    </w:p>
    <w:p w14:paraId="25F45A5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中《分部分项工程和单价措施项目清单与计价表》子目相对应综合单价×（1-中标下浮率）。</w:t>
      </w:r>
    </w:p>
    <w:p w14:paraId="3E1FC9C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bookmarkStart w:id="153" w:name="_Toc12035"/>
      <w:bookmarkStart w:id="154" w:name="_Toc18478"/>
      <w:bookmarkStart w:id="155" w:name="_Toc30068"/>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bookmarkEnd w:id="153"/>
      <w:bookmarkEnd w:id="154"/>
      <w:bookmarkStart w:id="156" w:name="_Toc15512"/>
      <w:bookmarkStart w:id="157" w:name="_Toc13602"/>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 ×100%</w:t>
      </w:r>
      <w:bookmarkEnd w:id="155"/>
      <w:bookmarkEnd w:id="156"/>
      <w:bookmarkEnd w:id="157"/>
    </w:p>
    <w:p w14:paraId="5F716669">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C74F04F">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如果工程量出现本章第 </w:t>
      </w:r>
      <w:r>
        <w:rPr>
          <w:rFonts w:hint="eastAsia" w:ascii="宋体" w:hAnsi="宋体" w:eastAsia="宋体" w:cs="宋体"/>
          <w:b/>
          <w:bCs/>
          <w:color w:val="auto"/>
          <w:spacing w:val="0"/>
          <w:sz w:val="24"/>
          <w:szCs w:val="24"/>
          <w:highlight w:val="none"/>
        </w:rPr>
        <w:t xml:space="preserve">2.3.2.1 </w:t>
      </w:r>
      <w:r>
        <w:rPr>
          <w:rFonts w:hint="eastAsia" w:ascii="宋体" w:hAnsi="宋体" w:eastAsia="宋体" w:cs="宋体"/>
          <w:color w:val="auto"/>
          <w:spacing w:val="0"/>
          <w:sz w:val="24"/>
          <w:szCs w:val="24"/>
          <w:highlight w:val="none"/>
        </w:rPr>
        <w:t>子目的变化，且该变化引起相关措施项目相应发生变化时，按系数或单一总价方式计价的，工程量增加的措施项目费调增，工程量减少的措施项目费调减。</w:t>
      </w:r>
    </w:p>
    <w:p w14:paraId="3DB00805">
      <w:pPr>
        <w:keepNext w:val="0"/>
        <w:keepLines w:val="0"/>
        <w:pageBreakBefore w:val="0"/>
        <w:wordWrap w:val="0"/>
        <w:overflowPunct/>
        <w:topLinePunct w:val="0"/>
        <w:bidi w:val="0"/>
        <w:spacing w:before="154" w:line="221"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工程变更</w:t>
      </w:r>
    </w:p>
    <w:p w14:paraId="23DCAF42">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合同履行期间，因工程变更引起已标价工程量清单项目发生变化时，按照以下规定调整：</w:t>
      </w:r>
    </w:p>
    <w:p w14:paraId="187CDAE7">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已标价工程量清单中有适用于变更工程项目的，采用该项目的单价。</w:t>
      </w:r>
      <w:r>
        <w:rPr>
          <w:rFonts w:hint="eastAsia" w:ascii="宋体" w:hAnsi="宋体" w:eastAsia="宋体" w:cs="宋体"/>
          <w:b/>
          <w:bCs/>
          <w:color w:val="auto"/>
          <w:spacing w:val="0"/>
          <w:sz w:val="24"/>
          <w:szCs w:val="24"/>
          <w:highlight w:val="none"/>
        </w:rPr>
        <w:t>但如果</w:t>
      </w:r>
      <w:bookmarkStart w:id="158" w:name="bookmark143"/>
      <w:bookmarkEnd w:id="158"/>
      <w:r>
        <w:rPr>
          <w:rFonts w:hint="eastAsia" w:ascii="宋体" w:hAnsi="宋体" w:eastAsia="宋体" w:cs="宋体"/>
          <w:b/>
          <w:bCs/>
          <w:color w:val="auto"/>
          <w:spacing w:val="0"/>
          <w:sz w:val="24"/>
          <w:szCs w:val="24"/>
          <w:highlight w:val="none"/>
        </w:rPr>
        <w:t>被采用的项目属于按照第二章“中标人须知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条被认定为不平衡报价的清单项目，变更工程项目的单价按照本章 2.3.2.1 的方法调整。】</w:t>
      </w:r>
    </w:p>
    <w:p w14:paraId="7205A22D">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已标价工程量清单中没有适用但有类似于变更工程项目的，可在合理范围内参照类似项目的单价。</w:t>
      </w:r>
      <w:r>
        <w:rPr>
          <w:rFonts w:hint="eastAsia" w:ascii="宋体" w:hAnsi="宋体" w:eastAsia="宋体" w:cs="宋体"/>
          <w:b/>
          <w:bCs/>
          <w:color w:val="auto"/>
          <w:spacing w:val="0"/>
          <w:sz w:val="24"/>
          <w:szCs w:val="24"/>
          <w:highlight w:val="none"/>
        </w:rPr>
        <w:t>但如果被参考的类似项目属于按照第二章“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4.2条被认定为不平衡报价的清单项目，变更工程项目的单价按照本章2.3.2.1 的方法调整。</w:t>
      </w:r>
    </w:p>
    <w:p w14:paraId="314A12A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3BB23C34">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×100%</w:t>
      </w:r>
    </w:p>
    <w:p w14:paraId="132C32E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snapToGrid w:val="0"/>
          <w:color w:val="auto"/>
          <w:spacing w:val="0"/>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8DB76F2">
      <w:pPr>
        <w:keepNext w:val="0"/>
        <w:keepLines w:val="0"/>
        <w:pageBreakBefore w:val="0"/>
        <w:wordWrap w:val="0"/>
        <w:overflowPunct/>
        <w:topLinePunct w:val="0"/>
        <w:bidi w:val="0"/>
        <w:spacing w:before="152" w:line="220" w:lineRule="auto"/>
        <w:ind w:left="4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费应按照实际发生变化的措施项目计算。</w:t>
      </w:r>
    </w:p>
    <w:p w14:paraId="3430AEEE">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（2）采用单价计算的措施项目费，应按照实际发生变化的措施项目，按本章第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w:t>
      </w:r>
    </w:p>
    <w:p w14:paraId="49A98A6F">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（3）按总价或系数计算的措施项目费，应按照实际发生变化的措施项目费调整并考虑中标下浮率因素，即调整金额＝按照实际变化调整后的金额×（1-中标下浮率）。</w:t>
      </w:r>
    </w:p>
    <w:p w14:paraId="78BE891C">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如果承包人未事先将拟实施的方案提交发包人确认，视为工程变更不引起措施项目费的调整或承包人放弃调整措施项目费的权利。</w:t>
      </w:r>
    </w:p>
    <w:p w14:paraId="2ECDD016">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E492982">
      <w:pPr>
        <w:keepNext w:val="0"/>
        <w:keepLines w:val="0"/>
        <w:pageBreakBefore w:val="0"/>
        <w:wordWrap w:val="0"/>
        <w:overflowPunct/>
        <w:topLinePunct w:val="0"/>
        <w:bidi w:val="0"/>
        <w:spacing w:before="155" w:line="220"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2.3.4  </w:t>
      </w:r>
      <w:r>
        <w:rPr>
          <w:rFonts w:hint="eastAsia" w:ascii="宋体" w:hAnsi="宋体" w:eastAsia="宋体" w:cs="宋体"/>
          <w:color w:val="auto"/>
          <w:spacing w:val="0"/>
          <w:sz w:val="24"/>
          <w:szCs w:val="24"/>
          <w:highlight w:val="none"/>
        </w:rPr>
        <w:t>项目特征不符</w:t>
      </w:r>
    </w:p>
    <w:p w14:paraId="7DBF02D2">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auto"/>
          <w:spacing w:val="0"/>
          <w:sz w:val="24"/>
          <w:szCs w:val="24"/>
          <w:highlight w:val="none"/>
        </w:rPr>
      </w:pPr>
      <w:bookmarkStart w:id="159" w:name="bookmark144"/>
      <w:bookmarkEnd w:id="159"/>
      <w:r>
        <w:rPr>
          <w:rFonts w:hint="eastAsia" w:ascii="宋体" w:hAnsi="宋体" w:eastAsia="宋体" w:cs="宋体"/>
          <w:color w:val="auto"/>
          <w:spacing w:val="0"/>
          <w:sz w:val="24"/>
          <w:szCs w:val="24"/>
          <w:highlight w:val="none"/>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目相关条款的规定重新确定相应工程量清单项目的综合单价，并调整合同价款。</w:t>
      </w:r>
    </w:p>
    <w:p w14:paraId="197538B0">
      <w:pPr>
        <w:keepNext w:val="0"/>
        <w:keepLines w:val="0"/>
        <w:pageBreakBefore w:val="0"/>
        <w:wordWrap w:val="0"/>
        <w:overflowPunct/>
        <w:topLinePunct w:val="0"/>
        <w:bidi w:val="0"/>
        <w:spacing w:before="38" w:line="221"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2.3.5  </w:t>
      </w:r>
      <w:r>
        <w:rPr>
          <w:rFonts w:hint="eastAsia" w:ascii="宋体" w:hAnsi="宋体" w:eastAsia="宋体" w:cs="宋体"/>
          <w:color w:val="auto"/>
          <w:spacing w:val="0"/>
          <w:sz w:val="24"/>
          <w:szCs w:val="24"/>
          <w:highlight w:val="none"/>
        </w:rPr>
        <w:t>招标工程量清单缺项</w:t>
      </w:r>
    </w:p>
    <w:p w14:paraId="5867B021">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合同履行期间，由于招标工程量清单中缺项，新增分部分项工程清单项目，应按照本章第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子目的规定确定单价，并调整合同价款。</w:t>
      </w:r>
    </w:p>
    <w:p w14:paraId="789762A4">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新增分部分项工程清单项目后，引起措施项目发生变化的，应按照本章第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子目的规定，在承包人提交的实施方案被发包人批准后调整合同价款。</w:t>
      </w:r>
    </w:p>
    <w:p w14:paraId="64483C48">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由于招标工程量清单中措施项目缺项，承包人应将新增措施项目实施方案提交发包人批准后，按照本章第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 xml:space="preserve">子目、第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子目的规定调整合同价款。</w:t>
      </w:r>
    </w:p>
    <w:p w14:paraId="08FB5658">
      <w:pPr>
        <w:keepNext w:val="0"/>
        <w:keepLines w:val="0"/>
        <w:pageBreakBefore w:val="0"/>
        <w:wordWrap w:val="0"/>
        <w:overflowPunct/>
        <w:topLinePunct w:val="0"/>
        <w:bidi w:val="0"/>
        <w:spacing w:before="154" w:line="219"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2.3.6  </w:t>
      </w:r>
      <w:r>
        <w:rPr>
          <w:rFonts w:hint="eastAsia" w:ascii="宋体" w:hAnsi="宋体" w:eastAsia="宋体" w:cs="宋体"/>
          <w:color w:val="auto"/>
          <w:spacing w:val="0"/>
          <w:sz w:val="24"/>
          <w:szCs w:val="24"/>
          <w:highlight w:val="none"/>
        </w:rPr>
        <w:t>物价变化</w:t>
      </w:r>
    </w:p>
    <w:p w14:paraId="7D525C3E">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A69C7F8">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15"/>
          <w:szCs w:val="15"/>
          <w:highlight w:val="none"/>
        </w:rPr>
      </w:pPr>
      <w:r>
        <w:rPr>
          <w:rFonts w:hint="eastAsia" w:ascii="宋体" w:hAnsi="宋体" w:eastAsia="宋体" w:cs="宋体"/>
          <w:color w:val="auto"/>
          <w:spacing w:val="0"/>
          <w:sz w:val="24"/>
          <w:szCs w:val="24"/>
          <w:highlight w:val="none"/>
        </w:rPr>
        <w:t>结算人工费＝中标人工费×F</w:t>
      </w:r>
      <w:r>
        <w:rPr>
          <w:rFonts w:hint="eastAsia" w:ascii="宋体" w:hAnsi="宋体" w:eastAsia="宋体" w:cs="宋体"/>
          <w:color w:val="auto"/>
          <w:spacing w:val="0"/>
          <w:position w:val="-1"/>
          <w:sz w:val="15"/>
          <w:szCs w:val="15"/>
          <w:highlight w:val="none"/>
        </w:rPr>
        <w:t>1</w:t>
      </w:r>
    </w:p>
    <w:p w14:paraId="381BBD03">
      <w:pPr>
        <w:keepNext w:val="0"/>
        <w:keepLines w:val="0"/>
        <w:pageBreakBefore w:val="0"/>
        <w:wordWrap w:val="0"/>
        <w:overflowPunct/>
        <w:topLinePunct w:val="0"/>
        <w:bidi w:val="0"/>
        <w:spacing w:before="152"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式中，F</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为施工当月项目所在地工程造价管理机构发布的动态人工调整系数。</w:t>
      </w:r>
    </w:p>
    <w:p w14:paraId="4F9CF534">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"2.3.6.2"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2.3.6.2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本招标项目约定，材料、工程设备单价涨跌风险幅度值 A 为</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62EE16C1">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a．涨价时，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5" DrawAspect="Content" ObjectID="_1468075725" r:id="rId28">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6" DrawAspect="Content" ObjectID="_1468075726" r:id="rId30">
            <o:LockedField>false</o:LockedField>
          </o:OLEObject>
        </w:objec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b．涨价时，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7" DrawAspect="Content" ObjectID="_1468075727" r:id="rId32">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8" DrawAspect="Content" ObjectID="_1468075728" r:id="rId34">
            <o:LockedField>false</o:LockedField>
          </o:OLEObject>
        </w:objec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c．涨价时，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9" DrawAspect="Content" ObjectID="_1468075729" r:id="rId36">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0" DrawAspect="Content" ObjectID="_1468075730" r:id="rId38">
            <o:LockedField>false</o:LockedField>
          </o:OLEObject>
        </w:object>
      </w:r>
    </w:p>
    <w:p w14:paraId="40B2A737">
      <w:pPr>
        <w:keepNext w:val="0"/>
        <w:keepLines w:val="0"/>
        <w:pageBreakBefore w:val="0"/>
        <w:wordWrap w:val="0"/>
        <w:overflowPunct/>
        <w:topLinePunct w:val="0"/>
        <w:bidi w:val="0"/>
        <w:spacing w:before="78"/>
        <w:ind w:left="330"/>
        <w:rPr>
          <w:rFonts w:hint="eastAsia" w:ascii="宋体" w:hAnsi="宋体" w:eastAsia="宋体" w:cs="宋体"/>
          <w:color w:val="auto"/>
          <w:spacing w:val="0"/>
          <w:sz w:val="24"/>
          <w:szCs w:val="24"/>
          <w:highlight w:val="none"/>
        </w:rPr>
      </w:pPr>
    </w:p>
    <w:p w14:paraId="0EFBDC2C">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为施工当月项目所在地工程造价管理机构发布的材料、工程设备单价；A 为合同约定的材料、工程设备单价涨跌风险幅度值。</w:t>
      </w:r>
    </w:p>
    <w:p w14:paraId="6F9801F9">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合同履行期间，当《发包人提供材料和工程设备一览表》（详见招标工程量清单）中的材料、工程设备单价发生变化时，由发包人按照实际变化调整，并列入合同价款。</w:t>
      </w:r>
    </w:p>
    <w:p w14:paraId="6F47D427">
      <w:pPr>
        <w:keepNext w:val="0"/>
        <w:keepLines w:val="0"/>
        <w:pageBreakBefore w:val="0"/>
        <w:wordWrap w:val="0"/>
        <w:overflowPunct/>
        <w:topLinePunct w:val="0"/>
        <w:bidi w:val="0"/>
        <w:spacing w:before="121" w:line="308" w:lineRule="auto"/>
        <w:ind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"2.3.6.4"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2.3.6.4</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本招标项目约定，施工机具台班单价涨跌风险幅度值 B 为</w:t>
      </w:r>
      <w:r>
        <w:rPr>
          <w:rFonts w:hint="eastAsia" w:ascii="宋体" w:hAnsi="宋体" w:eastAsia="宋体" w:cs="宋体"/>
          <w:color w:val="auto"/>
          <w:spacing w:val="0"/>
          <w:sz w:val="24"/>
          <w:szCs w:val="24"/>
          <w:highlight w:val="none"/>
          <w:u w:val="single"/>
        </w:rPr>
        <w:t xml:space="preserve">  10%  </w:t>
      </w:r>
      <w:r>
        <w:rPr>
          <w:rFonts w:hint="eastAsia" w:ascii="宋体" w:hAnsi="宋体" w:eastAsia="宋体" w:cs="宋体"/>
          <w:color w:val="auto"/>
          <w:spacing w:val="0"/>
          <w:sz w:val="24"/>
          <w:szCs w:val="24"/>
          <w:highlight w:val="none"/>
        </w:rPr>
        <w:t>。合同履行期间，当施工机具台班单价涨跌幅度等于或低于 B 值时，该施工机具台班单价不予调整；超过 B 值时，其超过部分可以调整。相关费用按有关规定进行相应调整。</w:t>
      </w:r>
    </w:p>
    <w:p w14:paraId="120353C6">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0DF110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1" DrawAspect="Content" ObjectID="_1468075731" r:id="rId40">
            <o:LockedField>false</o:LockedField>
          </o:OLEObject>
        </w:object>
      </w:r>
    </w:p>
    <w:p w14:paraId="183065C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2"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2" DrawAspect="Content" ObjectID="_1468075732" r:id="rId42">
            <o:LockedField>false</o:LockedField>
          </o:OLEObject>
        </w:object>
      </w:r>
    </w:p>
    <w:p w14:paraId="2B2919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b</w:t>
      </w:r>
      <w:r>
        <w:rPr>
          <w:rFonts w:hint="eastAsia" w:ascii="宋体" w:hAnsi="宋体" w:eastAsia="宋体" w:cs="宋体"/>
          <w:snapToGrid w:val="0"/>
          <w:color w:val="auto"/>
          <w:spacing w:val="0"/>
          <w:kern w:val="0"/>
          <w:sz w:val="24"/>
          <w:szCs w:val="24"/>
          <w:highlight w:val="none"/>
        </w:rPr>
        <w:t>．如果中标单价高于基准单价，该施工机具台班的结算单价调整公式为：</w:t>
      </w:r>
    </w:p>
    <w:p w14:paraId="0B4D86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3"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3" DrawAspect="Content" ObjectID="_1468075733" r:id="rId44">
            <o:LockedField>false</o:LockedField>
          </o:OLEObject>
        </w:object>
      </w:r>
    </w:p>
    <w:p w14:paraId="3F7BD13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4" DrawAspect="Content" ObjectID="_1468075734" r:id="rId46">
            <o:LockedField>false</o:LockedField>
          </o:OLEObject>
        </w:object>
      </w:r>
    </w:p>
    <w:p w14:paraId="62112DB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c</w:t>
      </w:r>
      <w:r>
        <w:rPr>
          <w:rFonts w:hint="eastAsia" w:ascii="宋体" w:hAnsi="宋体" w:eastAsia="宋体" w:cs="宋体"/>
          <w:snapToGrid w:val="0"/>
          <w:color w:val="auto"/>
          <w:spacing w:val="0"/>
          <w:kern w:val="0"/>
          <w:sz w:val="24"/>
          <w:szCs w:val="24"/>
          <w:highlight w:val="none"/>
        </w:rPr>
        <w:t>．如果中标单价等于基准单价，该施工机具台班的结算单价调整公式为：</w:t>
      </w:r>
    </w:p>
    <w:p w14:paraId="68970AC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5"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5" DrawAspect="Content" ObjectID="_1468075735" r:id="rId48">
            <o:LockedField>false</o:LockedField>
          </o:OLEObject>
        </w:object>
      </w:r>
    </w:p>
    <w:p w14:paraId="121158F2">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6" DrawAspect="Content" ObjectID="_1468075736" r:id="rId50">
            <o:LockedField>false</o:LockedField>
          </o:OLEObject>
        </w:object>
      </w:r>
    </w:p>
    <w:p w14:paraId="1258EA6F">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为施工当月项目所在地工程造价管理机构发布的施工机具台班单价；B 为合同约定的施工机具台班单价涨跌风险幅度值。</w:t>
      </w:r>
    </w:p>
    <w:p w14:paraId="08F7A996">
      <w:pPr>
        <w:keepNext w:val="0"/>
        <w:keepLines w:val="0"/>
        <w:pageBreakBefore w:val="0"/>
        <w:wordWrap w:val="0"/>
        <w:overflowPunct/>
        <w:topLinePunct w:val="0"/>
        <w:bidi w:val="0"/>
        <w:spacing w:before="39" w:line="219"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2.3.7  </w:t>
      </w:r>
      <w:r>
        <w:rPr>
          <w:rFonts w:hint="eastAsia" w:ascii="宋体" w:hAnsi="宋体" w:eastAsia="宋体" w:cs="宋体"/>
          <w:color w:val="auto"/>
          <w:spacing w:val="0"/>
          <w:sz w:val="24"/>
          <w:szCs w:val="24"/>
          <w:highlight w:val="none"/>
        </w:rPr>
        <w:t>暂估价和暂列金额</w:t>
      </w:r>
    </w:p>
    <w:p w14:paraId="55F5A879">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snapToGrid w:val="0"/>
          <w:color w:val="auto"/>
          <w:spacing w:val="0"/>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spacing w:val="0"/>
          <w:kern w:val="0"/>
          <w:sz w:val="24"/>
          <w:szCs w:val="24"/>
          <w:highlight w:val="none"/>
          <w:lang w:eastAsia="zh-CN"/>
        </w:rPr>
        <w:t>8.5</w:t>
      </w:r>
      <w:r>
        <w:rPr>
          <w:rFonts w:hint="eastAsia" w:ascii="宋体" w:hAnsi="宋体" w:eastAsia="宋体" w:cs="宋体"/>
          <w:snapToGrid w:val="0"/>
          <w:color w:val="auto"/>
          <w:spacing w:val="0"/>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暂列金额由发包人掌握和使用。暂列金额项目若有发生，按第一章第三节“投标人须知正文 ”第 </w:t>
      </w:r>
      <w:r>
        <w:rPr>
          <w:rFonts w:hint="eastAsia" w:ascii="宋体" w:hAnsi="宋体" w:eastAsia="宋体" w:cs="宋体"/>
          <w:b/>
          <w:bCs/>
          <w:color w:val="auto"/>
          <w:spacing w:val="0"/>
          <w:sz w:val="24"/>
          <w:szCs w:val="24"/>
          <w:highlight w:val="none"/>
        </w:rPr>
        <w:t xml:space="preserve">8.6 </w:t>
      </w:r>
      <w:r>
        <w:rPr>
          <w:rFonts w:hint="eastAsia" w:ascii="宋体" w:hAnsi="宋体" w:eastAsia="宋体" w:cs="宋体"/>
          <w:color w:val="auto"/>
          <w:spacing w:val="0"/>
          <w:sz w:val="24"/>
          <w:szCs w:val="24"/>
          <w:highlight w:val="none"/>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1FFEB093">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2.3.8</w:t>
      </w:r>
      <w:r>
        <w:rPr>
          <w:rFonts w:hint="eastAsia" w:ascii="宋体" w:hAnsi="宋体" w:eastAsia="宋体" w:cs="宋体"/>
          <w:color w:val="auto"/>
          <w:spacing w:val="0"/>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w:t>
      </w:r>
      <w:r>
        <w:rPr>
          <w:rFonts w:hint="eastAsia" w:ascii="宋体" w:hAnsi="宋体" w:eastAsia="宋体" w:cs="宋体"/>
          <w:b/>
          <w:bCs/>
          <w:color w:val="auto"/>
          <w:spacing w:val="0"/>
          <w:sz w:val="24"/>
          <w:szCs w:val="24"/>
          <w:highlight w:val="none"/>
          <w:lang w:val="en-US" w:eastAsia="zh-CN"/>
        </w:rPr>
        <w:t>9</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其余事项（如不可抗力、索赔、现场签证等）的调整原则按照《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）有关规定执行。</w:t>
      </w:r>
    </w:p>
    <w:p w14:paraId="0C5E03A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凡将引起合同价款调增的事项，承包人必须于拟实施 14 天前，将详细的报价书（含拟实施项目名称、变更部位、理由、预计造价等）报监理单位审核和发包人批准后方可实施。</w:t>
      </w:r>
    </w:p>
    <w:p w14:paraId="7E55A3E2">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承包人不得以不完全了解现场情况为理由，提出额外付款或延长工期等要求。 对此类要求，发包人不作任何考虑及答复。</w:t>
      </w:r>
    </w:p>
    <w:p w14:paraId="50E281B0">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2.6 </w:t>
      </w:r>
      <w:r>
        <w:rPr>
          <w:rFonts w:hint="eastAsia" w:ascii="宋体" w:hAnsi="宋体" w:eastAsia="宋体" w:cs="宋体"/>
          <w:color w:val="auto"/>
          <w:spacing w:val="0"/>
          <w:sz w:val="24"/>
          <w:szCs w:val="24"/>
          <w:highlight w:val="none"/>
        </w:rPr>
        <w:t>承包人已标价工程量清单中漏报、错报或少报的清单项目，其价格均视为已经包含在其它清单项目中，竣工结算时不得重新组价和调整。</w:t>
      </w:r>
    </w:p>
    <w:p w14:paraId="75BC7B06">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2.7  </w:t>
      </w:r>
      <w:r>
        <w:rPr>
          <w:rFonts w:hint="eastAsia" w:ascii="宋体" w:hAnsi="宋体" w:eastAsia="宋体" w:cs="宋体"/>
          <w:color w:val="auto"/>
          <w:spacing w:val="0"/>
          <w:sz w:val="24"/>
          <w:szCs w:val="24"/>
          <w:highlight w:val="none"/>
        </w:rPr>
        <w:t>项目完工后，发、承包双方和受其委托具备相应资质的工程造价咨询单位必须按照《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）和国家、省、市的有关规定办理竣工结算。</w:t>
      </w:r>
    </w:p>
    <w:p w14:paraId="18501AC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2.8  </w:t>
      </w:r>
      <w:r>
        <w:rPr>
          <w:rFonts w:hint="eastAsia" w:ascii="宋体" w:hAnsi="宋体" w:eastAsia="宋体" w:cs="宋体"/>
          <w:color w:val="auto"/>
          <w:spacing w:val="0"/>
          <w:sz w:val="24"/>
          <w:szCs w:val="24"/>
          <w:highlight w:val="none"/>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32105AE6">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2.9 </w:t>
      </w:r>
      <w:r>
        <w:rPr>
          <w:rFonts w:hint="eastAsia" w:ascii="宋体" w:hAnsi="宋体" w:eastAsia="宋体" w:cs="宋体"/>
          <w:color w:val="auto"/>
          <w:spacing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1C684DEC">
      <w:pPr>
        <w:pStyle w:val="36"/>
        <w:keepNext w:val="0"/>
        <w:keepLines w:val="0"/>
        <w:pageBreakBefore w:val="0"/>
        <w:wordWrap w:val="0"/>
        <w:overflowPunct/>
        <w:topLinePunct w:val="0"/>
        <w:bidi w:val="0"/>
        <w:snapToGrid w:val="0"/>
        <w:spacing w:line="440" w:lineRule="exact"/>
        <w:ind w:firstLine="480"/>
        <w:jc w:val="both"/>
        <w:outlineLvl w:val="2"/>
        <w:rPr>
          <w:rStyle w:val="27"/>
          <w:rFonts w:hint="eastAsia" w:ascii="宋体" w:hAnsi="宋体" w:eastAsia="宋体" w:cs="宋体"/>
          <w:b/>
          <w:bCs/>
          <w:color w:val="auto"/>
          <w:spacing w:val="0"/>
          <w:sz w:val="24"/>
          <w:szCs w:val="24"/>
          <w:highlight w:val="none"/>
        </w:rPr>
      </w:pPr>
      <w:bookmarkStart w:id="160" w:name="_Toc10083"/>
      <w:bookmarkStart w:id="161" w:name="_Toc1816"/>
      <w:r>
        <w:rPr>
          <w:rStyle w:val="27"/>
          <w:rFonts w:hint="eastAsia" w:ascii="宋体" w:hAnsi="宋体" w:eastAsia="宋体" w:cs="宋体"/>
          <w:b/>
          <w:bCs/>
          <w:color w:val="auto"/>
          <w:spacing w:val="0"/>
          <w:sz w:val="24"/>
          <w:szCs w:val="24"/>
          <w:highlight w:val="none"/>
        </w:rPr>
        <w:t>3. 工程付款办法</w:t>
      </w:r>
      <w:bookmarkEnd w:id="160"/>
      <w:bookmarkEnd w:id="161"/>
    </w:p>
    <w:p w14:paraId="1DE34436">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3.1</w:t>
      </w:r>
      <w:r>
        <w:rPr>
          <w:rFonts w:hint="eastAsia" w:ascii="宋体" w:hAnsi="宋体" w:eastAsia="宋体" w:cs="宋体"/>
          <w:snapToGrid w:val="0"/>
          <w:kern w:val="0"/>
          <w:sz w:val="24"/>
          <w:szCs w:val="24"/>
          <w:highlight w:val="none"/>
        </w:rPr>
        <w:t xml:space="preserve"> 本工程</w:t>
      </w:r>
      <w:r>
        <w:rPr>
          <w:rFonts w:hint="eastAsia" w:ascii="宋体" w:hAnsi="宋体" w:eastAsia="宋体" w:cs="宋体"/>
          <w:snapToGrid w:val="0"/>
          <w:kern w:val="0"/>
          <w:sz w:val="24"/>
          <w:szCs w:val="24"/>
          <w:highlight w:val="none"/>
          <w:u w:val="single"/>
        </w:rPr>
        <w:t xml:space="preserve"> 支付 </w:t>
      </w:r>
      <w:r>
        <w:rPr>
          <w:rFonts w:hint="eastAsia" w:ascii="宋体" w:hAnsi="宋体" w:eastAsia="宋体" w:cs="宋体"/>
          <w:snapToGrid w:val="0"/>
          <w:kern w:val="0"/>
          <w:sz w:val="24"/>
          <w:szCs w:val="24"/>
          <w:highlight w:val="none"/>
        </w:rPr>
        <w:t>施工预付款。</w:t>
      </w:r>
    </w:p>
    <w:p w14:paraId="241C9822">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w:t>
      </w:r>
      <w:r>
        <w:rPr>
          <w:rFonts w:hint="eastAsia" w:ascii="宋体" w:hAnsi="宋体" w:eastAsia="宋体" w:cs="宋体"/>
          <w:snapToGrid w:val="0"/>
          <w:kern w:val="0"/>
          <w:sz w:val="24"/>
          <w:szCs w:val="24"/>
          <w:highlight w:val="none"/>
        </w:rPr>
        <w:t xml:space="preserve"> 施工预付款必须专用于合同工程，并按以下原则支付和抵扣：</w:t>
      </w:r>
    </w:p>
    <w:p w14:paraId="446B4EBF">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3.2.1</w:t>
      </w:r>
      <w:r>
        <w:rPr>
          <w:rFonts w:hint="eastAsia" w:ascii="宋体" w:hAnsi="宋体" w:eastAsia="宋体" w:cs="宋体"/>
          <w:snapToGrid w:val="0"/>
          <w:kern w:val="0"/>
          <w:sz w:val="24"/>
          <w:szCs w:val="24"/>
          <w:highlight w:val="none"/>
        </w:rPr>
        <w:t xml:space="preserve"> 施工预付款支付比例为：按施工合同价的</w:t>
      </w:r>
      <w:r>
        <w:rPr>
          <w:rFonts w:hint="eastAsia" w:ascii="宋体" w:hAnsi="宋体" w:eastAsia="宋体" w:cs="宋体"/>
          <w:snapToGrid w:val="0"/>
          <w:kern w:val="0"/>
          <w:sz w:val="24"/>
          <w:szCs w:val="24"/>
          <w:highlight w:val="none"/>
          <w:u w:val="single"/>
        </w:rPr>
        <w:t xml:space="preserve"> 30% </w:t>
      </w:r>
      <w:r>
        <w:rPr>
          <w:rFonts w:hint="eastAsia" w:ascii="宋体" w:hAnsi="宋体" w:eastAsia="宋体" w:cs="宋体"/>
          <w:snapToGrid w:val="0"/>
          <w:kern w:val="0"/>
          <w:sz w:val="24"/>
          <w:szCs w:val="24"/>
          <w:highlight w:val="none"/>
        </w:rPr>
        <w:t>支付。</w:t>
      </w:r>
    </w:p>
    <w:p w14:paraId="571C8EB5">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3.2.2</w:t>
      </w:r>
      <w:r>
        <w:rPr>
          <w:rFonts w:hint="eastAsia" w:ascii="宋体" w:hAnsi="宋体" w:eastAsia="宋体" w:cs="宋体"/>
          <w:snapToGrid w:val="0"/>
          <w:kern w:val="0"/>
          <w:sz w:val="24"/>
          <w:szCs w:val="24"/>
          <w:highlight w:val="none"/>
        </w:rPr>
        <w:t xml:space="preserve"> 本招标项目</w:t>
      </w:r>
      <w:r>
        <w:rPr>
          <w:rFonts w:hint="eastAsia" w:ascii="宋体" w:hAnsi="宋体" w:eastAsia="宋体" w:cs="宋体"/>
          <w:b/>
          <w:bCs/>
          <w:snapToGrid w:val="0"/>
          <w:kern w:val="0"/>
          <w:sz w:val="24"/>
          <w:szCs w:val="24"/>
          <w:highlight w:val="none"/>
          <w:u w:val="single"/>
        </w:rPr>
        <w:t>不要求</w:t>
      </w:r>
      <w:r>
        <w:rPr>
          <w:rFonts w:hint="eastAsia" w:ascii="宋体" w:hAnsi="宋体" w:eastAsia="宋体" w:cs="宋体"/>
          <w:snapToGrid w:val="0"/>
          <w:kern w:val="0"/>
          <w:sz w:val="24"/>
          <w:szCs w:val="24"/>
          <w:highlight w:val="none"/>
        </w:rPr>
        <w:t>承包人提供与预付款等额的预付款保函。</w:t>
      </w:r>
    </w:p>
    <w:p w14:paraId="4A4F23D6">
      <w:pPr>
        <w:wordWrap w:val="0"/>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napToGrid w:val="0"/>
          <w:kern w:val="0"/>
          <w:sz w:val="24"/>
          <w:szCs w:val="24"/>
          <w:highlight w:val="none"/>
        </w:rPr>
        <w:t>3.2.3</w:t>
      </w:r>
      <w:r>
        <w:rPr>
          <w:rFonts w:hint="eastAsia" w:ascii="宋体" w:hAnsi="宋体" w:eastAsia="宋体" w:cs="宋体"/>
          <w:snapToGrid w:val="0"/>
          <w:kern w:val="0"/>
          <w:sz w:val="24"/>
          <w:szCs w:val="24"/>
          <w:highlight w:val="none"/>
        </w:rPr>
        <w:t xml:space="preserve"> 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4C8F6CA9">
      <w:pPr>
        <w:wordWrap w:val="0"/>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3.2.4预付款应从每支付期应支付给承包人的工程进度款中扣回，直到扣回的金额达到合同约定的预付款金额为止。</w:t>
      </w:r>
    </w:p>
    <w:p w14:paraId="6BF55ED4">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 xml:space="preserve">3.3 </w:t>
      </w:r>
      <w:r>
        <w:rPr>
          <w:rFonts w:hint="eastAsia" w:ascii="宋体" w:hAnsi="宋体" w:eastAsia="宋体" w:cs="宋体"/>
          <w:snapToGrid w:val="0"/>
          <w:kern w:val="0"/>
          <w:sz w:val="24"/>
          <w:szCs w:val="24"/>
          <w:highlight w:val="none"/>
        </w:rPr>
        <w:t>施工过程中按月申报工程进度款：承包人每月按工程实际完成工程量（含变更及增加工程）申报，承包人必须将《已完成工程量报表》和《工程付款申请书》于当月26日前报监理单位核</w:t>
      </w:r>
      <w:bookmarkStart w:id="162" w:name="_Hlt127094354"/>
      <w:bookmarkEnd w:id="162"/>
      <w:r>
        <w:rPr>
          <w:rFonts w:hint="eastAsia" w:ascii="宋体" w:hAnsi="宋体" w:eastAsia="宋体" w:cs="宋体"/>
          <w:snapToGrid w:val="0"/>
          <w:kern w:val="0"/>
          <w:sz w:val="24"/>
          <w:szCs w:val="24"/>
          <w:highlight w:val="none"/>
        </w:rPr>
        <w:t>实。经监理单位审核、发包人审定后的工程进度款（指已经按照合同约定，扣除该支付期内因承包人违约而应扣除的管理费），申报后按财政资金拨付到位实际情况进行支付。</w:t>
      </w:r>
    </w:p>
    <w:p w14:paraId="1161B1D0">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3.4</w:t>
      </w:r>
      <w:r>
        <w:rPr>
          <w:rFonts w:hint="eastAsia" w:ascii="宋体" w:hAnsi="宋体" w:eastAsia="宋体" w:cs="宋体"/>
          <w:snapToGrid w:val="0"/>
          <w:kern w:val="0"/>
          <w:sz w:val="24"/>
          <w:szCs w:val="24"/>
          <w:highlight w:val="none"/>
        </w:rPr>
        <w:t xml:space="preserve"> 每月的工程进度款按工程实际完成工程量的</w:t>
      </w:r>
      <w:r>
        <w:rPr>
          <w:rFonts w:hint="eastAsia" w:ascii="宋体" w:hAnsi="宋体" w:eastAsia="宋体" w:cs="宋体"/>
          <w:snapToGrid w:val="0"/>
          <w:kern w:val="0"/>
          <w:sz w:val="24"/>
          <w:szCs w:val="24"/>
          <w:highlight w:val="none"/>
          <w:u w:val="single"/>
        </w:rPr>
        <w:t xml:space="preserve"> 85% </w:t>
      </w:r>
      <w:r>
        <w:rPr>
          <w:rFonts w:hint="eastAsia" w:ascii="宋体" w:hAnsi="宋体" w:eastAsia="宋体" w:cs="宋体"/>
          <w:snapToGrid w:val="0"/>
          <w:kern w:val="0"/>
          <w:sz w:val="24"/>
          <w:szCs w:val="24"/>
          <w:highlight w:val="none"/>
        </w:rPr>
        <w:t>申请支付，工程进度款中的作业工人工资款项由发包人单独足额拨付到承包人的工资专户。</w:t>
      </w:r>
    </w:p>
    <w:p w14:paraId="5A4324B0">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3.5</w:t>
      </w:r>
      <w:r>
        <w:rPr>
          <w:rFonts w:hint="eastAsia" w:ascii="宋体" w:hAnsi="宋体" w:eastAsia="宋体" w:cs="宋体"/>
          <w:snapToGrid w:val="0"/>
          <w:kern w:val="0"/>
          <w:sz w:val="24"/>
          <w:szCs w:val="24"/>
          <w:highlight w:val="none"/>
        </w:rPr>
        <w:t xml:space="preserve"> 措施项目费中的“</w:t>
      </w:r>
      <w:r>
        <w:rPr>
          <w:rFonts w:hint="eastAsia" w:ascii="宋体" w:hAnsi="宋体" w:eastAsia="宋体" w:cs="宋体"/>
          <w:snapToGrid w:val="0"/>
          <w:kern w:val="0"/>
          <w:sz w:val="24"/>
          <w:szCs w:val="24"/>
          <w:highlight w:val="none"/>
          <w:lang w:eastAsia="zh-CN"/>
        </w:rPr>
        <w:t>安全生产措施</w:t>
      </w:r>
      <w:r>
        <w:rPr>
          <w:rFonts w:hint="eastAsia" w:ascii="宋体" w:hAnsi="宋体" w:eastAsia="宋体" w:cs="宋体"/>
          <w:snapToGrid w:val="0"/>
          <w:kern w:val="0"/>
          <w:sz w:val="24"/>
          <w:szCs w:val="24"/>
          <w:highlight w:val="none"/>
        </w:rPr>
        <w:t>费”拨付按照《广东省建设工程计价依据（2018）》执行，按照项目所在地的建设行政主管部门有关规定支付。发生一般事故及以上等级重大安全事故的，发包人可扣除承包人金额相当于所有“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kern w:val="0"/>
          <w:sz w:val="24"/>
          <w:szCs w:val="24"/>
          <w:highlight w:val="none"/>
          <w:lang w:eastAsia="zh-CN"/>
        </w:rPr>
        <w:t>安全生产措施费</w:t>
      </w:r>
      <w:r>
        <w:rPr>
          <w:rFonts w:hint="eastAsia" w:ascii="宋体" w:hAnsi="宋体" w:eastAsia="宋体" w:cs="宋体"/>
          <w:snapToGrid w:val="0"/>
          <w:kern w:val="0"/>
          <w:sz w:val="24"/>
          <w:szCs w:val="24"/>
          <w:highlight w:val="none"/>
        </w:rPr>
        <w:t>费”的工程管理费。</w:t>
      </w:r>
    </w:p>
    <w:p w14:paraId="58038E18">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3.6</w:t>
      </w:r>
      <w:r>
        <w:rPr>
          <w:rFonts w:hint="eastAsia" w:ascii="宋体" w:hAnsi="宋体" w:eastAsia="宋体" w:cs="宋体"/>
          <w:snapToGrid w:val="0"/>
          <w:kern w:val="0"/>
          <w:sz w:val="24"/>
          <w:szCs w:val="24"/>
          <w:highlight w:val="none"/>
        </w:rPr>
        <w:t xml:space="preserve"> 变更工程造价必须经监理单位核实，并经发包人核定后方可支付。</w:t>
      </w:r>
    </w:p>
    <w:p w14:paraId="63B44E6E">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3.7</w:t>
      </w:r>
      <w:r>
        <w:rPr>
          <w:rFonts w:hint="eastAsia" w:ascii="宋体" w:hAnsi="宋体" w:eastAsia="宋体" w:cs="宋体"/>
          <w:snapToGrid w:val="0"/>
          <w:kern w:val="0"/>
          <w:sz w:val="24"/>
          <w:szCs w:val="24"/>
          <w:highlight w:val="none"/>
        </w:rPr>
        <w:t xml:space="preserve"> 结算审核完成后，于次月支付至合同价格的97%，剩余3%转为质量保证金；承包人提交了等额质量保证担保或质量保证保险的，于次月一次性结清合同价格。</w:t>
      </w:r>
    </w:p>
    <w:p w14:paraId="058D0CE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b/>
          <w:bCs/>
          <w:snapToGrid w:val="0"/>
          <w:kern w:val="0"/>
          <w:sz w:val="24"/>
          <w:szCs w:val="24"/>
          <w:highlight w:val="none"/>
        </w:rPr>
        <w:t>3.8</w:t>
      </w:r>
      <w:r>
        <w:rPr>
          <w:rFonts w:hint="eastAsia" w:ascii="宋体" w:hAnsi="宋体" w:eastAsia="宋体" w:cs="宋体"/>
          <w:sz w:val="24"/>
          <w:szCs w:val="24"/>
          <w:highlight w:val="none"/>
        </w:rPr>
        <w:t>本招标项目缺陷责任期为</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t>年（自通过竣工验收之日起计）。缺陷责任期到期后，承包人向发包人申请退还质量保证。发包人收到退还申请后，于14天内会同承包人进行核实。经双方核实且均无异议后，发包人在核实之日起 14 天内将应返保证金（或银行保函）退还承包人。</w:t>
      </w:r>
    </w:p>
    <w:p w14:paraId="5F97EA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3.9</w:t>
      </w:r>
      <w:r>
        <w:rPr>
          <w:rFonts w:hint="eastAsia" w:ascii="宋体" w:hAnsi="宋体" w:eastAsia="宋体" w:cs="宋体"/>
          <w:snapToGrid w:val="0"/>
          <w:color w:val="auto"/>
          <w:spacing w:val="0"/>
          <w:kern w:val="0"/>
          <w:sz w:val="24"/>
          <w:szCs w:val="20"/>
          <w:highlight w:val="none"/>
          <w:lang w:eastAsia="zh-CN"/>
        </w:rPr>
        <w:t xml:space="preserve"> </w:t>
      </w:r>
      <w:r>
        <w:rPr>
          <w:rFonts w:hint="eastAsia" w:ascii="宋体" w:hAnsi="宋体" w:eastAsia="宋体" w:cs="宋体"/>
          <w:b/>
          <w:bCs/>
          <w:snapToGrid w:val="0"/>
          <w:color w:val="auto"/>
          <w:spacing w:val="0"/>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5FDBA5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10</w:t>
      </w:r>
      <w:r>
        <w:rPr>
          <w:rFonts w:hint="eastAsia" w:ascii="宋体" w:hAnsi="宋体" w:eastAsia="宋体" w:cs="宋体"/>
          <w:snapToGrid w:val="0"/>
          <w:color w:val="auto"/>
          <w:spacing w:val="0"/>
          <w:kern w:val="0"/>
          <w:sz w:val="24"/>
          <w:szCs w:val="20"/>
          <w:highlight w:val="none"/>
          <w:lang w:eastAsia="zh-CN"/>
        </w:rPr>
        <w:t>暂列金额支付方式：</w:t>
      </w:r>
      <w:r>
        <w:rPr>
          <w:rFonts w:hint="eastAsia" w:ascii="宋体" w:hAnsi="宋体" w:eastAsia="宋体" w:cs="宋体"/>
          <w:snapToGrid w:val="0"/>
          <w:color w:val="auto"/>
          <w:spacing w:val="0"/>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u w:val="single"/>
          <w:lang w:eastAsia="zh-CN"/>
        </w:rPr>
      </w:pPr>
      <w:r>
        <w:rPr>
          <w:rFonts w:hint="eastAsia" w:ascii="宋体" w:hAnsi="宋体" w:eastAsia="宋体" w:cs="宋体"/>
          <w:b/>
          <w:bCs/>
          <w:snapToGrid w:val="0"/>
          <w:color w:val="auto"/>
          <w:spacing w:val="0"/>
          <w:kern w:val="0"/>
          <w:sz w:val="24"/>
          <w:szCs w:val="20"/>
          <w:highlight w:val="none"/>
          <w:lang w:eastAsia="zh-CN"/>
        </w:rPr>
        <w:t>3.11</w:t>
      </w:r>
      <w:r>
        <w:rPr>
          <w:rFonts w:hint="eastAsia" w:ascii="宋体" w:hAnsi="宋体" w:eastAsia="宋体" w:cs="宋体"/>
          <w:snapToGrid w:val="0"/>
          <w:color w:val="auto"/>
          <w:spacing w:val="0"/>
          <w:kern w:val="0"/>
          <w:sz w:val="24"/>
          <w:szCs w:val="20"/>
          <w:highlight w:val="none"/>
          <w:lang w:eastAsia="zh-CN"/>
        </w:rPr>
        <w:t xml:space="preserve"> 材料暂估价、专业工程暂估价支付方式：</w:t>
      </w:r>
      <w:r>
        <w:rPr>
          <w:rFonts w:hint="eastAsia" w:ascii="宋体" w:hAnsi="宋体" w:eastAsia="宋体" w:cs="宋体"/>
          <w:snapToGrid w:val="0"/>
          <w:color w:val="auto"/>
          <w:spacing w:val="0"/>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spacing w:val="0"/>
          <w:kern w:val="0"/>
          <w:sz w:val="24"/>
          <w:szCs w:val="20"/>
          <w:highlight w:val="none"/>
          <w:u w:val="single"/>
          <w:lang w:val="en-US" w:eastAsia="zh-CN"/>
        </w:rPr>
        <w:t>14天内</w:t>
      </w:r>
      <w:r>
        <w:rPr>
          <w:rFonts w:hint="eastAsia" w:ascii="宋体" w:hAnsi="宋体" w:eastAsia="宋体" w:cs="宋体"/>
          <w:snapToGrid w:val="0"/>
          <w:color w:val="auto"/>
          <w:spacing w:val="0"/>
          <w:kern w:val="0"/>
          <w:sz w:val="24"/>
          <w:szCs w:val="20"/>
          <w:highlight w:val="none"/>
          <w:u w:val="single"/>
          <w:lang w:eastAsia="zh-CN"/>
        </w:rPr>
        <w:t>支付至8</w:t>
      </w:r>
      <w:r>
        <w:rPr>
          <w:rFonts w:hint="eastAsia" w:ascii="宋体" w:hAnsi="宋体" w:eastAsia="宋体" w:cs="宋体"/>
          <w:snapToGrid w:val="0"/>
          <w:color w:val="auto"/>
          <w:spacing w:val="0"/>
          <w:kern w:val="0"/>
          <w:sz w:val="24"/>
          <w:szCs w:val="20"/>
          <w:highlight w:val="none"/>
          <w:u w:val="single"/>
          <w:lang w:val="en-US" w:eastAsia="zh-CN"/>
        </w:rPr>
        <w:t>0</w:t>
      </w:r>
      <w:r>
        <w:rPr>
          <w:rFonts w:hint="eastAsia" w:ascii="宋体" w:hAnsi="宋体" w:eastAsia="宋体" w:cs="宋体"/>
          <w:snapToGrid w:val="0"/>
          <w:color w:val="auto"/>
          <w:spacing w:val="0"/>
          <w:kern w:val="0"/>
          <w:sz w:val="24"/>
          <w:szCs w:val="20"/>
          <w:highlight w:val="none"/>
          <w:u w:val="single"/>
          <w:lang w:eastAsia="zh-CN"/>
        </w:rPr>
        <w:t>%，剩余部分结算完成后支付至审定造价的97%，剩余3%为工程质量保修金。</w:t>
      </w:r>
    </w:p>
    <w:p w14:paraId="1B4A6494">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auto"/>
          <w:spacing w:val="0"/>
          <w:sz w:val="24"/>
          <w:szCs w:val="24"/>
          <w:highlight w:val="none"/>
        </w:rPr>
      </w:pPr>
      <w:bookmarkStart w:id="163" w:name="_Toc12545"/>
      <w:r>
        <w:rPr>
          <w:rFonts w:hint="eastAsia" w:ascii="宋体" w:hAnsi="宋体" w:eastAsia="宋体" w:cs="宋体"/>
          <w:b/>
          <w:bCs/>
          <w:color w:val="auto"/>
          <w:spacing w:val="0"/>
          <w:sz w:val="24"/>
          <w:szCs w:val="24"/>
          <w:highlight w:val="none"/>
        </w:rPr>
        <w:t>4 ．其他专用合同条款</w:t>
      </w:r>
      <w:bookmarkEnd w:id="163"/>
    </w:p>
    <w:p w14:paraId="51069F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 </w:t>
      </w:r>
      <w:r>
        <w:rPr>
          <w:rFonts w:hint="eastAsia" w:ascii="宋体" w:hAnsi="宋体" w:eastAsia="宋体" w:cs="宋体"/>
          <w:bCs/>
          <w:snapToGrid w:val="0"/>
          <w:color w:val="auto"/>
          <w:spacing w:val="0"/>
          <w:kern w:val="0"/>
          <w:sz w:val="24"/>
          <w:szCs w:val="24"/>
          <w:highlight w:val="none"/>
          <w:lang w:val="en-US" w:eastAsia="zh-CN"/>
        </w:rPr>
        <w:t xml:space="preserve">专业工程分包 </w:t>
      </w:r>
    </w:p>
    <w:p w14:paraId="71E5A2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w:t>
      </w:r>
      <w:r>
        <w:rPr>
          <w:rFonts w:hint="eastAsia" w:ascii="宋体" w:hAnsi="宋体" w:eastAsia="宋体" w:cs="宋体"/>
          <w:bCs/>
          <w:snapToGrid w:val="0"/>
          <w:color w:val="auto"/>
          <w:spacing w:val="0"/>
          <w:kern w:val="0"/>
          <w:sz w:val="24"/>
          <w:szCs w:val="24"/>
          <w:highlight w:val="none"/>
          <w:lang w:val="en-US" w:eastAsia="zh-CN"/>
        </w:rPr>
        <w:t xml:space="preserve"> 工人工资支付专用账户 </w:t>
      </w:r>
    </w:p>
    <w:p w14:paraId="2454931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承包人应在工资专户开立后 2 个工作日内，将开户银行及其账号、开户协议等资料提交给发包人。 </w:t>
      </w:r>
    </w:p>
    <w:p w14:paraId="0F3EA37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（1）用人单位应当在建设项目动工前，在建设项目所在地商业银行设立工人工资支付专用账户。 </w:t>
      </w:r>
    </w:p>
    <w:p w14:paraId="776A998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（2）用人单位应当在用工之日起 15 日内为每一位工人办理个人银行账户。</w:t>
      </w:r>
    </w:p>
    <w:p w14:paraId="630E1A6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4.3</w:t>
      </w:r>
      <w:r>
        <w:rPr>
          <w:rFonts w:hint="eastAsia" w:ascii="宋体" w:hAnsi="宋体" w:eastAsia="宋体" w:cs="宋体"/>
          <w:bCs/>
          <w:snapToGrid w:val="0"/>
          <w:color w:val="auto"/>
          <w:spacing w:val="0"/>
          <w:kern w:val="0"/>
          <w:sz w:val="24"/>
          <w:szCs w:val="24"/>
          <w:highlight w:val="none"/>
          <w:lang w:val="en-US" w:eastAsia="zh-CN"/>
        </w:rPr>
        <w:t xml:space="preserve"> 诚信登记 </w:t>
      </w:r>
    </w:p>
    <w:p w14:paraId="6076B96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w:t>
      </w:r>
      <w:r>
        <w:rPr>
          <w:rFonts w:hint="eastAsia" w:ascii="宋体" w:hAnsi="宋体" w:eastAsia="宋体" w:cs="宋体"/>
          <w:bCs/>
          <w:snapToGrid w:val="0"/>
          <w:color w:val="auto"/>
          <w:spacing w:val="0"/>
          <w:kern w:val="0"/>
          <w:sz w:val="24"/>
          <w:szCs w:val="24"/>
          <w:highlight w:val="none"/>
          <w:lang w:val="en-US" w:eastAsia="zh-CN"/>
        </w:rPr>
        <w:t xml:space="preserve"> 工期进度 </w:t>
      </w:r>
    </w:p>
    <w:p w14:paraId="50B1F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4.4.1</w:t>
      </w:r>
      <w:r>
        <w:rPr>
          <w:rFonts w:hint="eastAsia" w:ascii="宋体" w:hAnsi="宋体" w:eastAsia="宋体" w:cs="宋体"/>
          <w:bCs/>
          <w:snapToGrid w:val="0"/>
          <w:color w:val="auto"/>
          <w:spacing w:val="0"/>
          <w:kern w:val="0"/>
          <w:sz w:val="24"/>
          <w:szCs w:val="24"/>
          <w:highlight w:val="none"/>
          <w:lang w:val="en-US" w:eastAsia="zh-CN"/>
        </w:rPr>
        <w:t xml:space="preserve"> 本招标项目施工标准工期为</w:t>
      </w:r>
      <w:r>
        <w:rPr>
          <w:rFonts w:hint="eastAsia" w:ascii="宋体" w:hAnsi="宋体" w:eastAsia="宋体" w:cs="宋体"/>
          <w:bCs/>
          <w:snapToGrid w:val="0"/>
          <w:color w:val="auto"/>
          <w:spacing w:val="0"/>
          <w:kern w:val="0"/>
          <w:sz w:val="24"/>
          <w:szCs w:val="24"/>
          <w:highlight w:val="none"/>
          <w:u w:val="single"/>
          <w:lang w:val="en-US" w:eastAsia="zh-CN"/>
        </w:rPr>
        <w:t>730个日历天</w:t>
      </w:r>
      <w:r>
        <w:rPr>
          <w:rFonts w:hint="eastAsia" w:ascii="宋体" w:hAnsi="宋体" w:eastAsia="宋体" w:cs="宋体"/>
          <w:bCs/>
          <w:snapToGrid w:val="0"/>
          <w:color w:val="auto"/>
          <w:spacing w:val="0"/>
          <w:kern w:val="0"/>
          <w:sz w:val="24"/>
          <w:szCs w:val="24"/>
          <w:highlight w:val="none"/>
          <w:lang w:val="en-US" w:eastAsia="zh-CN"/>
        </w:rPr>
        <w:t>，招标工期为</w:t>
      </w:r>
      <w:r>
        <w:rPr>
          <w:rFonts w:hint="eastAsia" w:ascii="宋体" w:hAnsi="宋体" w:eastAsia="宋体" w:cs="宋体"/>
          <w:bCs/>
          <w:snapToGrid w:val="0"/>
          <w:color w:val="auto"/>
          <w:spacing w:val="0"/>
          <w:kern w:val="0"/>
          <w:sz w:val="24"/>
          <w:szCs w:val="24"/>
          <w:highlight w:val="none"/>
          <w:u w:val="single"/>
          <w:lang w:val="en-US" w:eastAsia="zh-CN"/>
        </w:rPr>
        <w:t>730个日历天</w:t>
      </w:r>
      <w:r>
        <w:rPr>
          <w:rFonts w:hint="eastAsia" w:ascii="宋体" w:hAnsi="宋体" w:eastAsia="宋体" w:cs="宋体"/>
          <w:bCs/>
          <w:snapToGrid w:val="0"/>
          <w:color w:val="auto"/>
          <w:spacing w:val="0"/>
          <w:kern w:val="0"/>
          <w:sz w:val="24"/>
          <w:szCs w:val="24"/>
          <w:highlight w:val="none"/>
          <w:lang w:val="en-US" w:eastAsia="zh-CN"/>
        </w:rPr>
        <w:t xml:space="preserve">，承包人必须在招标工期内完成招标范围内的全部内容。 </w:t>
      </w:r>
    </w:p>
    <w:p w14:paraId="3937827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4.4.2</w:t>
      </w:r>
      <w:r>
        <w:rPr>
          <w:rFonts w:hint="eastAsia" w:ascii="宋体" w:hAnsi="宋体" w:eastAsia="宋体" w:cs="宋体"/>
          <w:bCs/>
          <w:snapToGrid w:val="0"/>
          <w:color w:val="auto"/>
          <w:spacing w:val="0"/>
          <w:kern w:val="0"/>
          <w:sz w:val="24"/>
          <w:szCs w:val="24"/>
          <w:highlight w:val="none"/>
          <w:lang w:val="en-US" w:eastAsia="zh-CN"/>
        </w:rPr>
        <w:t xml:space="preserve"> 施工工期从承包人收到监理单位签发的开工令之日起计，至竣工验收合格之日止。</w:t>
      </w:r>
    </w:p>
    <w:p w14:paraId="48D28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4.4.3</w:t>
      </w:r>
      <w:r>
        <w:rPr>
          <w:rFonts w:hint="eastAsia" w:ascii="宋体" w:hAnsi="宋体" w:eastAsia="宋体" w:cs="宋体"/>
          <w:bCs/>
          <w:snapToGrid w:val="0"/>
          <w:color w:val="auto"/>
          <w:spacing w:val="0"/>
          <w:kern w:val="0"/>
          <w:sz w:val="24"/>
          <w:szCs w:val="24"/>
          <w:highlight w:val="none"/>
          <w:lang w:val="en-US" w:eastAsia="zh-CN"/>
        </w:rPr>
        <w:t xml:space="preserve"> 工期奖罚 </w:t>
      </w:r>
    </w:p>
    <w:p w14:paraId="046DC92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□竣工验收合格交付使用每提前</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天竣工；奖</w:t>
      </w:r>
      <w:r>
        <w:rPr>
          <w:rFonts w:hint="eastAsia" w:ascii="宋体" w:hAnsi="宋体" w:eastAsia="宋体" w:cs="宋体"/>
          <w:bCs/>
          <w:snapToGrid w:val="0"/>
          <w:color w:val="auto"/>
          <w:spacing w:val="0"/>
          <w:kern w:val="0"/>
          <w:sz w:val="24"/>
          <w:szCs w:val="24"/>
          <w:highlight w:val="none"/>
          <w:u w:val="single"/>
          <w:lang w:val="en-US" w:eastAsia="zh-CN"/>
        </w:rPr>
        <w:t xml:space="preserve">/ </w:t>
      </w:r>
      <w:r>
        <w:rPr>
          <w:rFonts w:hint="eastAsia" w:ascii="宋体" w:hAnsi="宋体" w:eastAsia="宋体" w:cs="宋体"/>
          <w:bCs/>
          <w:snapToGrid w:val="0"/>
          <w:color w:val="auto"/>
          <w:spacing w:val="0"/>
          <w:kern w:val="0"/>
          <w:sz w:val="24"/>
          <w:szCs w:val="24"/>
          <w:highlight w:val="none"/>
          <w:lang w:val="en-US" w:eastAsia="zh-CN"/>
        </w:rPr>
        <w:t>元，奖励金额不超过合同价款的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65E4E59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74F80B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□按施工合同期约定,因承包人原因延误工期</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天内不处罚， 自第壹天起每延误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天竣工,罚元。处罚金额不超过合同价款的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2%～5%）且不超过万元，累计延误工期达到</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天，报请建设行政主管部门作不良行为记录，非承包方原因或不可抗力造成延误的除外。 </w:t>
      </w:r>
    </w:p>
    <w:p w14:paraId="7091C39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w:t>
      </w:r>
      <w:r>
        <w:rPr>
          <w:rFonts w:hint="eastAsia" w:ascii="宋体" w:hAnsi="宋体" w:eastAsia="宋体" w:cs="宋体"/>
          <w:bCs/>
          <w:snapToGrid w:val="0"/>
          <w:color w:val="auto"/>
          <w:spacing w:val="0"/>
          <w:kern w:val="0"/>
          <w:sz w:val="24"/>
          <w:szCs w:val="24"/>
          <w:highlight w:val="none"/>
          <w:lang w:val="en-US" w:eastAsia="zh-CN"/>
        </w:rPr>
        <w:t xml:space="preserve"> 项目管理机构 </w:t>
      </w:r>
    </w:p>
    <w:p w14:paraId="27CA87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4.5.1</w:t>
      </w:r>
      <w:r>
        <w:rPr>
          <w:rFonts w:hint="eastAsia" w:ascii="宋体" w:hAnsi="宋体" w:eastAsia="宋体" w:cs="宋体"/>
          <w:bCs/>
          <w:snapToGrid w:val="0"/>
          <w:color w:val="auto"/>
          <w:spacing w:val="0"/>
          <w:kern w:val="0"/>
          <w:sz w:val="24"/>
          <w:szCs w:val="24"/>
          <w:highlight w:val="none"/>
          <w:lang w:val="en-US" w:eastAsia="zh-CN"/>
        </w:rPr>
        <w:t xml:space="preserve"> 承包人派驻的项目管理班子成员必须为其投标文件确定的人员，否则发包人有权终止合同。 </w:t>
      </w:r>
    </w:p>
    <w:p w14:paraId="155CBDD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4.5.2</w:t>
      </w:r>
      <w:r>
        <w:rPr>
          <w:rFonts w:hint="eastAsia" w:ascii="宋体" w:hAnsi="宋体" w:eastAsia="宋体" w:cs="宋体"/>
          <w:bCs/>
          <w:snapToGrid w:val="0"/>
          <w:color w:val="auto"/>
          <w:spacing w:val="0"/>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w:t>
      </w:r>
      <w:r>
        <w:rPr>
          <w:rFonts w:hint="eastAsia" w:ascii="宋体" w:hAnsi="宋体" w:eastAsia="宋体" w:cs="宋体"/>
          <w:bCs/>
          <w:snapToGrid w:val="0"/>
          <w:color w:val="auto"/>
          <w:spacing w:val="0"/>
          <w:kern w:val="0"/>
          <w:sz w:val="24"/>
          <w:szCs w:val="24"/>
          <w:highlight w:val="none"/>
          <w:lang w:val="en-US" w:eastAsia="zh-CN"/>
        </w:rPr>
        <w:t xml:space="preserve"> 现场管理 </w:t>
      </w:r>
    </w:p>
    <w:p w14:paraId="75752D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4.6.1</w:t>
      </w:r>
      <w:r>
        <w:rPr>
          <w:rFonts w:hint="eastAsia" w:ascii="宋体" w:hAnsi="宋体" w:eastAsia="宋体" w:cs="宋体"/>
          <w:bCs/>
          <w:snapToGrid w:val="0"/>
          <w:color w:val="auto"/>
          <w:spacing w:val="0"/>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4.6.2</w:t>
      </w:r>
      <w:r>
        <w:rPr>
          <w:rFonts w:hint="eastAsia" w:ascii="宋体" w:hAnsi="宋体" w:eastAsia="宋体" w:cs="宋体"/>
          <w:bCs/>
          <w:snapToGrid w:val="0"/>
          <w:color w:val="auto"/>
          <w:spacing w:val="0"/>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w:t>
      </w:r>
    </w:p>
    <w:p w14:paraId="36093A8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4.6.3</w:t>
      </w:r>
      <w:r>
        <w:rPr>
          <w:rFonts w:hint="eastAsia" w:ascii="宋体" w:hAnsi="宋体" w:eastAsia="宋体" w:cs="宋体"/>
          <w:bCs/>
          <w:snapToGrid w:val="0"/>
          <w:color w:val="auto"/>
          <w:spacing w:val="0"/>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4.7</w:t>
      </w:r>
      <w:r>
        <w:rPr>
          <w:rFonts w:hint="eastAsia" w:ascii="宋体" w:hAnsi="宋体" w:eastAsia="宋体" w:cs="宋体"/>
          <w:bCs/>
          <w:snapToGrid w:val="0"/>
          <w:color w:val="auto"/>
          <w:spacing w:val="0"/>
          <w:kern w:val="0"/>
          <w:sz w:val="24"/>
          <w:szCs w:val="24"/>
          <w:highlight w:val="none"/>
          <w:lang w:val="en-US" w:eastAsia="zh-CN"/>
        </w:rPr>
        <w:t xml:space="preserve"> 监督实施 </w:t>
      </w:r>
    </w:p>
    <w:p w14:paraId="11B9958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4.8</w:t>
      </w:r>
      <w:r>
        <w:rPr>
          <w:rFonts w:hint="eastAsia" w:ascii="宋体" w:hAnsi="宋体" w:eastAsia="宋体" w:cs="宋体"/>
          <w:bCs/>
          <w:snapToGrid w:val="0"/>
          <w:color w:val="auto"/>
          <w:spacing w:val="0"/>
          <w:kern w:val="0"/>
          <w:sz w:val="24"/>
          <w:szCs w:val="24"/>
          <w:highlight w:val="none"/>
          <w:lang w:val="en-US" w:eastAsia="zh-CN"/>
        </w:rPr>
        <w:t xml:space="preserve"> 主材的采购和使用 </w:t>
      </w:r>
    </w:p>
    <w:p w14:paraId="45CFC6F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4.9 </w:t>
      </w:r>
      <w:r>
        <w:rPr>
          <w:rFonts w:hint="eastAsia" w:ascii="宋体" w:hAnsi="宋体" w:eastAsia="宋体" w:cs="宋体"/>
          <w:bCs/>
          <w:snapToGrid w:val="0"/>
          <w:color w:val="auto"/>
          <w:spacing w:val="0"/>
          <w:kern w:val="0"/>
          <w:sz w:val="24"/>
          <w:szCs w:val="24"/>
          <w:highlight w:val="none"/>
          <w:lang w:val="en-US" w:eastAsia="zh-CN"/>
        </w:rPr>
        <w:t xml:space="preserve">竣工资料移交 </w:t>
      </w:r>
    </w:p>
    <w:p w14:paraId="5E7CD97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项目竣工验收时，承包人应向监理单位和发包人提供符合国家档案部门备案要求的，编制成册的竣工图及有关的技术档案资料（含声像档案）一式8份。 </w:t>
      </w:r>
    </w:p>
    <w:p w14:paraId="4941230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w:t>
      </w:r>
      <w:r>
        <w:rPr>
          <w:rFonts w:hint="eastAsia" w:ascii="宋体" w:hAnsi="宋体" w:eastAsia="宋体" w:cs="宋体"/>
          <w:bCs/>
          <w:snapToGrid w:val="0"/>
          <w:color w:val="auto"/>
          <w:spacing w:val="0"/>
          <w:kern w:val="0"/>
          <w:sz w:val="24"/>
          <w:szCs w:val="24"/>
          <w:highlight w:val="none"/>
          <w:lang w:val="en-US" w:eastAsia="zh-CN"/>
        </w:rPr>
        <w:t xml:space="preserve"> 质量保证</w:t>
      </w:r>
    </w:p>
    <w:p w14:paraId="7C977E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4.10.1</w:t>
      </w:r>
      <w:r>
        <w:rPr>
          <w:rFonts w:hint="eastAsia" w:ascii="宋体" w:hAnsi="宋体" w:eastAsia="宋体" w:cs="宋体"/>
          <w:bCs/>
          <w:snapToGrid w:val="0"/>
          <w:color w:val="auto"/>
          <w:spacing w:val="0"/>
          <w:kern w:val="0"/>
          <w:sz w:val="24"/>
          <w:szCs w:val="24"/>
          <w:highlight w:val="none"/>
          <w:lang w:val="en-US" w:eastAsia="zh-CN"/>
        </w:rPr>
        <w:t xml:space="preserve"> 本招标项目缺陷责任期为</w:t>
      </w:r>
      <w:r>
        <w:rPr>
          <w:rFonts w:hint="eastAsia" w:ascii="宋体" w:hAnsi="宋体" w:eastAsia="宋体" w:cs="宋体"/>
          <w:bCs/>
          <w:snapToGrid w:val="0"/>
          <w:color w:val="auto"/>
          <w:spacing w:val="0"/>
          <w:kern w:val="0"/>
          <w:sz w:val="24"/>
          <w:szCs w:val="24"/>
          <w:highlight w:val="none"/>
          <w:u w:val="single"/>
          <w:lang w:val="en-US" w:eastAsia="zh-CN"/>
        </w:rPr>
        <w:t>1</w:t>
      </w:r>
      <w:r>
        <w:rPr>
          <w:rFonts w:hint="eastAsia" w:ascii="宋体" w:hAnsi="宋体" w:eastAsia="宋体" w:cs="宋体"/>
          <w:bCs/>
          <w:snapToGrid w:val="0"/>
          <w:color w:val="auto"/>
          <w:spacing w:val="0"/>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spacing w:val="0"/>
          <w:kern w:val="0"/>
          <w:sz w:val="24"/>
          <w:szCs w:val="24"/>
          <w:highlight w:val="none"/>
          <w:u w:val="single"/>
          <w:lang w:val="en-US" w:eastAsia="zh-CN"/>
        </w:rPr>
        <w:t>3%</w:t>
      </w:r>
      <w:r>
        <w:rPr>
          <w:rFonts w:hint="eastAsia" w:ascii="宋体" w:hAnsi="宋体" w:eastAsia="宋体" w:cs="宋体"/>
          <w:bCs/>
          <w:snapToGrid w:val="0"/>
          <w:color w:val="auto"/>
          <w:spacing w:val="0"/>
          <w:kern w:val="0"/>
          <w:sz w:val="24"/>
          <w:szCs w:val="24"/>
          <w:highlight w:val="none"/>
          <w:lang w:val="en-US" w:eastAsia="zh-CN"/>
        </w:rPr>
        <w:t xml:space="preserve">的质量保证。 </w:t>
      </w:r>
    </w:p>
    <w:p w14:paraId="7A2DA1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4.10.2</w:t>
      </w:r>
      <w:r>
        <w:rPr>
          <w:rFonts w:hint="eastAsia" w:ascii="宋体" w:hAnsi="宋体" w:eastAsia="宋体" w:cs="宋体"/>
          <w:bCs/>
          <w:snapToGrid w:val="0"/>
          <w:color w:val="auto"/>
          <w:spacing w:val="0"/>
          <w:kern w:val="0"/>
          <w:sz w:val="24"/>
          <w:szCs w:val="24"/>
          <w:highlight w:val="none"/>
          <w:lang w:val="en-US" w:eastAsia="zh-CN"/>
        </w:rPr>
        <w:t xml:space="preserve"> 质量保证的形式包括质量保证金、质量保证担保、质量保证保险三种，由承包人自主选择。 </w:t>
      </w:r>
    </w:p>
    <w:p w14:paraId="5014A8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（1）采用质量保证金形式的，在结清审定总造价时一次性扣留相应金额作为质量保证金。</w:t>
      </w:r>
    </w:p>
    <w:p w14:paraId="0CE411C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4.10.3</w:t>
      </w:r>
      <w:r>
        <w:rPr>
          <w:rFonts w:hint="eastAsia" w:ascii="宋体" w:hAnsi="宋体" w:eastAsia="宋体" w:cs="宋体"/>
          <w:bCs/>
          <w:snapToGrid w:val="0"/>
          <w:color w:val="auto"/>
          <w:spacing w:val="0"/>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由他人原因造成的缺陷，发包人负责组织维修，承包人不承担费用，且发包人不得从质量保证中扣除费用。 </w:t>
      </w:r>
    </w:p>
    <w:p w14:paraId="7C6CD6D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4.10.4</w:t>
      </w:r>
      <w:r>
        <w:rPr>
          <w:rFonts w:hint="eastAsia" w:ascii="宋体" w:hAnsi="宋体" w:eastAsia="宋体" w:cs="宋体"/>
          <w:bCs/>
          <w:snapToGrid w:val="0"/>
          <w:color w:val="auto"/>
          <w:spacing w:val="0"/>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4.11</w:t>
      </w:r>
      <w:r>
        <w:rPr>
          <w:rFonts w:hint="eastAsia" w:ascii="宋体" w:hAnsi="宋体" w:eastAsia="宋体" w:cs="宋体"/>
          <w:bCs/>
          <w:snapToGrid w:val="0"/>
          <w:color w:val="auto"/>
          <w:spacing w:val="0"/>
          <w:kern w:val="0"/>
          <w:sz w:val="24"/>
          <w:szCs w:val="24"/>
          <w:highlight w:val="none"/>
          <w:lang w:val="en-US" w:eastAsia="zh-CN"/>
        </w:rPr>
        <w:t xml:space="preserve"> 不良行为处理 </w:t>
      </w:r>
    </w:p>
    <w:p w14:paraId="043D6E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（1）转包、违法分包或违反投标承诺分包工程的； </w:t>
      </w:r>
    </w:p>
    <w:p w14:paraId="01E2E65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（3）投标文件确定的大型机械设备没有进入施工现场的； </w:t>
      </w:r>
    </w:p>
    <w:p w14:paraId="2C56F2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（4）与建设单位、监理单位串通，签认虚假工程量或工程造价的； </w:t>
      </w:r>
    </w:p>
    <w:p w14:paraId="32D0DD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（5）项目经理施工现场管理不到位的； </w:t>
      </w:r>
    </w:p>
    <w:p w14:paraId="01C481B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（6）项目经理在非本人资格证书注册单位从事工程项目施工管理的； </w:t>
      </w:r>
    </w:p>
    <w:p w14:paraId="6E3D80E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（7）项目经理同时承担超过一项工程项目的； </w:t>
      </w:r>
    </w:p>
    <w:p w14:paraId="7A86FA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（8）违反有关法律、法规、规章规定的其它行为。 </w:t>
      </w:r>
    </w:p>
    <w:p w14:paraId="2E4016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4.12 </w:t>
      </w:r>
      <w:r>
        <w:rPr>
          <w:rFonts w:hint="eastAsia" w:ascii="宋体" w:hAnsi="宋体" w:eastAsia="宋体" w:cs="宋体"/>
          <w:bCs/>
          <w:snapToGrid w:val="0"/>
          <w:color w:val="auto"/>
          <w:spacing w:val="0"/>
          <w:kern w:val="0"/>
          <w:sz w:val="24"/>
          <w:szCs w:val="24"/>
          <w:highlight w:val="none"/>
          <w:lang w:val="en-US" w:eastAsia="zh-CN"/>
        </w:rPr>
        <w:t xml:space="preserve">信用评价条款内容 </w:t>
      </w:r>
    </w:p>
    <w:p w14:paraId="00CEB1A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4.13</w:t>
      </w:r>
      <w:r>
        <w:rPr>
          <w:rFonts w:hint="eastAsia" w:ascii="宋体" w:hAnsi="宋体" w:eastAsia="宋体" w:cs="宋体"/>
          <w:bCs/>
          <w:snapToGrid w:val="0"/>
          <w:color w:val="auto"/>
          <w:spacing w:val="0"/>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4.14</w:t>
      </w:r>
      <w:r>
        <w:rPr>
          <w:rFonts w:hint="eastAsia" w:ascii="宋体" w:hAnsi="宋体" w:eastAsia="宋体" w:cs="宋体"/>
          <w:bCs/>
          <w:snapToGrid w:val="0"/>
          <w:color w:val="auto"/>
          <w:spacing w:val="0"/>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4.15</w:t>
      </w:r>
      <w:r>
        <w:rPr>
          <w:rFonts w:hint="eastAsia" w:ascii="宋体" w:hAnsi="宋体" w:eastAsia="宋体" w:cs="宋体"/>
          <w:bCs/>
          <w:snapToGrid w:val="0"/>
          <w:color w:val="auto"/>
          <w:spacing w:val="0"/>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spacing w:val="0"/>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spacing w:val="0"/>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4.16 </w:t>
      </w:r>
      <w:r>
        <w:rPr>
          <w:rFonts w:hint="eastAsia" w:ascii="宋体" w:hAnsi="宋体" w:eastAsia="宋体" w:cs="宋体"/>
          <w:bCs/>
          <w:snapToGrid w:val="0"/>
          <w:color w:val="auto"/>
          <w:spacing w:val="0"/>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4.17</w:t>
      </w:r>
      <w:r>
        <w:rPr>
          <w:rFonts w:hint="eastAsia" w:ascii="宋体" w:hAnsi="宋体" w:eastAsia="宋体" w:cs="宋体"/>
          <w:bCs/>
          <w:snapToGrid w:val="0"/>
          <w:color w:val="auto"/>
          <w:spacing w:val="0"/>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4.18</w:t>
      </w:r>
      <w:r>
        <w:rPr>
          <w:rFonts w:hint="eastAsia" w:ascii="宋体" w:hAnsi="宋体" w:eastAsia="宋体" w:cs="宋体"/>
          <w:bCs/>
          <w:snapToGrid w:val="0"/>
          <w:color w:val="auto"/>
          <w:spacing w:val="0"/>
          <w:kern w:val="0"/>
          <w:sz w:val="24"/>
          <w:szCs w:val="24"/>
          <w:highlight w:val="none"/>
          <w:lang w:val="en-US" w:eastAsia="zh-CN"/>
        </w:rPr>
        <w:t xml:space="preserve"> 承包人中标后必须按规定及时缴交工人工资保证金、环保噪声排污费等。 </w:t>
      </w:r>
    </w:p>
    <w:p w14:paraId="232F19C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4.19</w:t>
      </w:r>
      <w:r>
        <w:rPr>
          <w:rFonts w:hint="eastAsia" w:ascii="宋体" w:hAnsi="宋体" w:eastAsia="宋体" w:cs="宋体"/>
          <w:bCs/>
          <w:snapToGrid w:val="0"/>
          <w:color w:val="auto"/>
          <w:spacing w:val="0"/>
          <w:kern w:val="0"/>
          <w:sz w:val="24"/>
          <w:szCs w:val="24"/>
          <w:highlight w:val="none"/>
          <w:lang w:val="en-US" w:eastAsia="zh-CN"/>
        </w:rPr>
        <w:t xml:space="preserve"> 工程质量保修期按《中华人民共和国建筑法》、《建设工程质量管理条例》等相关规定实施。 </w:t>
      </w:r>
    </w:p>
    <w:p w14:paraId="794DBDF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4.20</w:t>
      </w:r>
      <w:r>
        <w:rPr>
          <w:rFonts w:hint="eastAsia" w:ascii="宋体" w:hAnsi="宋体" w:eastAsia="宋体" w:cs="宋体"/>
          <w:bCs/>
          <w:snapToGrid w:val="0"/>
          <w:color w:val="auto"/>
          <w:spacing w:val="0"/>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质量违约</w:t>
      </w:r>
    </w:p>
    <w:p w14:paraId="3501D7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w:t>
      </w:r>
      <w:r>
        <w:rPr>
          <w:rFonts w:hint="eastAsia" w:ascii="宋体" w:hAnsi="宋体" w:eastAsia="宋体" w:cs="宋体"/>
          <w:bCs/>
          <w:snapToGrid w:val="0"/>
          <w:color w:val="auto"/>
          <w:spacing w:val="0"/>
          <w:kern w:val="0"/>
          <w:sz w:val="24"/>
          <w:szCs w:val="24"/>
          <w:highlight w:val="none"/>
          <w:lang w:val="en-US" w:eastAsia="zh-CN"/>
        </w:rPr>
        <w:t xml:space="preserve">材料违约处理：若发现材料不符合国家标准或发包人在技术规范中规定的标准， </w:t>
      </w:r>
    </w:p>
    <w:p w14:paraId="3A33DEBF">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视为承包人违约，按现行《建设工程质量管理条例》处理。 </w:t>
      </w:r>
    </w:p>
    <w:p w14:paraId="172C2EA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4.24.1.1</w:t>
      </w:r>
      <w:r>
        <w:rPr>
          <w:rFonts w:hint="eastAsia" w:ascii="宋体" w:hAnsi="宋体" w:eastAsia="宋体" w:cs="宋体"/>
          <w:bCs/>
          <w:snapToGrid w:val="0"/>
          <w:color w:val="auto"/>
          <w:spacing w:val="0"/>
          <w:kern w:val="0"/>
          <w:sz w:val="24"/>
          <w:szCs w:val="24"/>
          <w:highlight w:val="none"/>
          <w:lang w:val="en-US" w:eastAsia="zh-CN"/>
        </w:rPr>
        <w:t xml:space="preserve"> 成品采购项目在采购前，承包人必须先行书面征求监理人、发包人的同意并 </w:t>
      </w:r>
    </w:p>
    <w:p w14:paraId="0FE498C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一起看样定版后方能实施。未经监理人、发包人同意擅自先行采购和实施的，否则因不符 </w:t>
      </w:r>
    </w:p>
    <w:p w14:paraId="78BCD3A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合设计要求返工造成的费用由承包人承担。</w:t>
      </w:r>
    </w:p>
    <w:p w14:paraId="77B7961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w:t>
      </w:r>
      <w:r>
        <w:rPr>
          <w:rFonts w:hint="eastAsia" w:ascii="宋体" w:hAnsi="宋体" w:eastAsia="宋体" w:cs="宋体"/>
          <w:b w:val="0"/>
          <w:bCs/>
          <w:snapToGrid w:val="0"/>
          <w:color w:val="auto"/>
          <w:spacing w:val="0"/>
          <w:kern w:val="0"/>
          <w:sz w:val="24"/>
          <w:szCs w:val="24"/>
          <w:highlight w:val="none"/>
          <w:lang w:val="en-US" w:eastAsia="zh-CN"/>
        </w:rPr>
        <w:t xml:space="preserve">工程质量违约： </w:t>
      </w:r>
    </w:p>
    <w:p w14:paraId="433283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4.24.2.1</w:t>
      </w:r>
      <w:r>
        <w:rPr>
          <w:rFonts w:hint="eastAsia" w:ascii="宋体" w:hAnsi="宋体" w:eastAsia="宋体" w:cs="宋体"/>
          <w:b w:val="0"/>
          <w:bCs/>
          <w:snapToGrid w:val="0"/>
          <w:color w:val="auto"/>
          <w:spacing w:val="0"/>
          <w:kern w:val="0"/>
          <w:sz w:val="24"/>
          <w:szCs w:val="24"/>
          <w:highlight w:val="none"/>
          <w:lang w:val="en-US" w:eastAsia="zh-CN"/>
        </w:rPr>
        <w:t xml:space="preserve"> 在施工过程中经监理单位日常巡查或抽检发现未达到合格标准，责令承包人进 </w:t>
      </w:r>
    </w:p>
    <w:p w14:paraId="12C6716D">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4.24.2.2</w:t>
      </w:r>
      <w:r>
        <w:rPr>
          <w:rFonts w:hint="eastAsia" w:ascii="宋体" w:hAnsi="宋体" w:eastAsia="宋体" w:cs="宋体"/>
          <w:b w:val="0"/>
          <w:bCs/>
          <w:snapToGrid w:val="0"/>
          <w:color w:val="auto"/>
          <w:spacing w:val="0"/>
          <w:kern w:val="0"/>
          <w:sz w:val="24"/>
          <w:szCs w:val="24"/>
          <w:highlight w:val="none"/>
          <w:lang w:val="en-US" w:eastAsia="zh-CN"/>
        </w:rPr>
        <w:t xml:space="preserve"> 工程质量标准须达到国家验收合格标准。如未达到合格标准，除无偿返工至合 </w:t>
      </w:r>
    </w:p>
    <w:p w14:paraId="2A82A30B">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格外，还要按合同价款的 1%向招标人支付质量违约金，工期不予顺延。 </w:t>
      </w:r>
    </w:p>
    <w:p w14:paraId="44A72C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w:t>
      </w:r>
      <w:r>
        <w:rPr>
          <w:rFonts w:hint="eastAsia" w:ascii="宋体" w:hAnsi="宋体" w:eastAsia="宋体" w:cs="宋体"/>
          <w:b w:val="0"/>
          <w:bCs/>
          <w:snapToGrid w:val="0"/>
          <w:color w:val="auto"/>
          <w:spacing w:val="0"/>
          <w:kern w:val="0"/>
          <w:sz w:val="24"/>
          <w:szCs w:val="24"/>
          <w:highlight w:val="none"/>
          <w:lang w:val="en-US" w:eastAsia="zh-CN"/>
        </w:rPr>
        <w:t xml:space="preserve"> 重大责任事故违约 </w:t>
      </w:r>
    </w:p>
    <w:p w14:paraId="7EC71D9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4.25.1</w:t>
      </w:r>
      <w:r>
        <w:rPr>
          <w:rFonts w:hint="eastAsia" w:ascii="宋体" w:hAnsi="宋体" w:eastAsia="宋体" w:cs="宋体"/>
          <w:b w:val="0"/>
          <w:bCs/>
          <w:snapToGrid w:val="0"/>
          <w:color w:val="auto"/>
          <w:spacing w:val="0"/>
          <w:kern w:val="0"/>
          <w:sz w:val="24"/>
          <w:szCs w:val="24"/>
          <w:highlight w:val="none"/>
          <w:lang w:val="en-US" w:eastAsia="zh-CN"/>
        </w:rPr>
        <w:t xml:space="preserve"> 承包人因违反国家安全质量法规及合同有关条款约定,出现火灾、坍塌、人员重 </w:t>
      </w:r>
    </w:p>
    <w:p w14:paraId="3E6F36F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伤、死亡等重大责任事故,则承包人应承担全部损失,并按相关法规接受行政处罚；如造成发 </w:t>
      </w:r>
    </w:p>
    <w:p w14:paraId="105736B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包人及对第三人利益的损害,该等损害赔偿责任均由承包人承担。 </w:t>
      </w:r>
    </w:p>
    <w:p w14:paraId="5C6E18C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w:t>
      </w:r>
      <w:r>
        <w:rPr>
          <w:rFonts w:hint="eastAsia" w:ascii="宋体" w:hAnsi="宋体" w:eastAsia="宋体" w:cs="宋体"/>
          <w:b w:val="0"/>
          <w:bCs/>
          <w:snapToGrid w:val="0"/>
          <w:color w:val="auto"/>
          <w:spacing w:val="0"/>
          <w:kern w:val="0"/>
          <w:sz w:val="24"/>
          <w:szCs w:val="24"/>
          <w:highlight w:val="none"/>
          <w:lang w:val="en-US" w:eastAsia="zh-CN"/>
        </w:rPr>
        <w:t xml:space="preserve"> 用工违约 </w:t>
      </w:r>
    </w:p>
    <w:p w14:paraId="244A20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4.26.1</w:t>
      </w:r>
      <w:r>
        <w:rPr>
          <w:rFonts w:hint="eastAsia" w:ascii="宋体" w:hAnsi="宋体" w:eastAsia="宋体" w:cs="宋体"/>
          <w:b w:val="0"/>
          <w:bCs/>
          <w:snapToGrid w:val="0"/>
          <w:color w:val="auto"/>
          <w:spacing w:val="0"/>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扣农民工工资总金额 2 倍的标准向发包人缴纳惩罚性违约金。 </w:t>
      </w:r>
    </w:p>
    <w:p w14:paraId="7980D17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w:t>
      </w:r>
      <w:r>
        <w:rPr>
          <w:rFonts w:hint="eastAsia" w:ascii="宋体" w:hAnsi="宋体" w:eastAsia="宋体" w:cs="宋体"/>
          <w:b w:val="0"/>
          <w:bCs/>
          <w:snapToGrid w:val="0"/>
          <w:color w:val="auto"/>
          <w:spacing w:val="0"/>
          <w:kern w:val="0"/>
          <w:sz w:val="24"/>
          <w:szCs w:val="24"/>
          <w:highlight w:val="none"/>
          <w:lang w:val="en-US" w:eastAsia="zh-CN"/>
        </w:rPr>
        <w:t xml:space="preserve"> 安全文明施工违约 </w:t>
      </w:r>
    </w:p>
    <w:p w14:paraId="58B0684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4.27.1</w:t>
      </w:r>
      <w:r>
        <w:rPr>
          <w:rFonts w:hint="eastAsia" w:ascii="宋体" w:hAnsi="宋体" w:eastAsia="宋体" w:cs="宋体"/>
          <w:b w:val="0"/>
          <w:bCs/>
          <w:snapToGrid w:val="0"/>
          <w:color w:val="auto"/>
          <w:spacing w:val="0"/>
          <w:kern w:val="0"/>
          <w:sz w:val="24"/>
          <w:szCs w:val="24"/>
          <w:highlight w:val="none"/>
          <w:lang w:val="en-US" w:eastAsia="zh-CN"/>
        </w:rPr>
        <w:t xml:space="preserve"> 如承包人违反国家、广东省、发包人及合同关于安全文明施工的规定，但尚未造 </w:t>
      </w:r>
    </w:p>
    <w:p w14:paraId="0E250B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成安全责任事故，承包人应及时改正行为并赔偿相关方的损失，如未及时整改,针对每一违约 </w:t>
      </w:r>
    </w:p>
    <w:p w14:paraId="4F63748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行为每持续一天应缴纳违约金 1000.00 元。</w:t>
      </w:r>
    </w:p>
    <w:p w14:paraId="5152D740">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27</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承包人必须接受发包人及监理单位组织的安全、文明施工的检查，检查中的不合 </w:t>
      </w:r>
    </w:p>
    <w:p w14:paraId="48A3EC33">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格项目、安全隐患必须在规定的时间内整改完成，否则每拖延一天处以 2000.00 元人民币违约金，直至整改合格。 </w:t>
      </w:r>
    </w:p>
    <w:p w14:paraId="1D39E82F">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val="0"/>
          <w:bCs/>
          <w:snapToGrid w:val="0"/>
          <w:color w:val="auto"/>
          <w:spacing w:val="0"/>
          <w:kern w:val="0"/>
          <w:sz w:val="24"/>
          <w:szCs w:val="24"/>
          <w:highlight w:val="none"/>
          <w:lang w:val="en-US" w:eastAsia="zh-CN"/>
        </w:rPr>
        <w:t xml:space="preserve"> 其他违约 </w:t>
      </w:r>
    </w:p>
    <w:p w14:paraId="338BE054">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.1</w:t>
      </w:r>
      <w:r>
        <w:rPr>
          <w:rFonts w:hint="default" w:ascii="宋体" w:hAnsi="宋体" w:eastAsia="宋体" w:cs="宋体"/>
          <w:b w:val="0"/>
          <w:bCs/>
          <w:snapToGrid w:val="0"/>
          <w:color w:val="auto"/>
          <w:spacing w:val="0"/>
          <w:kern w:val="0"/>
          <w:sz w:val="24"/>
          <w:szCs w:val="24"/>
          <w:highlight w:val="none"/>
          <w:lang w:val="en-US" w:eastAsia="zh-CN"/>
        </w:rPr>
        <w:t xml:space="preserve"> 承包人安排在施工场地的主要管理人员（主要指项目经理、项目技术负责人和专 </w:t>
      </w:r>
    </w:p>
    <w:p w14:paraId="3987CEFB">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w:t>
      </w:r>
    </w:p>
    <w:p w14:paraId="7093E00C">
      <w:pPr>
        <w:keepNext w:val="0"/>
        <w:keepLines w:val="0"/>
        <w:pageBreakBefore w:val="0"/>
        <w:wordWrap w:val="0"/>
        <w:overflowPunct/>
        <w:topLinePunct w:val="0"/>
        <w:bidi w:val="0"/>
        <w:adjustRightInd w:val="0"/>
        <w:snapToGrid w:val="0"/>
        <w:spacing w:line="440" w:lineRule="exact"/>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程师审核并报发包人批准后，承包人可安排同等资历的人员替换。 </w:t>
      </w:r>
    </w:p>
    <w:p w14:paraId="06E8294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中标人施工资料必须与形象进度同步。 </w:t>
      </w:r>
    </w:p>
    <w:p w14:paraId="0E435855">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.3</w:t>
      </w:r>
      <w:r>
        <w:rPr>
          <w:rFonts w:hint="default" w:ascii="宋体" w:hAnsi="宋体" w:eastAsia="宋体" w:cs="宋体"/>
          <w:b w:val="0"/>
          <w:bCs/>
          <w:snapToGrid w:val="0"/>
          <w:color w:val="auto"/>
          <w:spacing w:val="0"/>
          <w:kern w:val="0"/>
          <w:sz w:val="24"/>
          <w:szCs w:val="24"/>
          <w:highlight w:val="none"/>
          <w:lang w:val="en-US" w:eastAsia="zh-CN"/>
        </w:rPr>
        <w:t xml:space="preserve"> 承包人没有正当合理的理由中途退场，可扣除承包人已递交的所有履约风险保证 </w:t>
      </w:r>
    </w:p>
    <w:p w14:paraId="7B1DB3D2">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auto"/>
          <w:spacing w:val="0"/>
          <w:kern w:val="0"/>
          <w:sz w:val="24"/>
          <w:szCs w:val="24"/>
          <w:highlight w:val="none"/>
          <w:lang w:val="en-US" w:eastAsia="zh-CN" w:bidi="ar-SA"/>
        </w:rPr>
      </w:pPr>
      <w:r>
        <w:rPr>
          <w:rFonts w:hint="default" w:ascii="宋体" w:hAnsi="宋体" w:eastAsia="宋体" w:cs="宋体"/>
          <w:b w:val="0"/>
          <w:bCs/>
          <w:snapToGrid w:val="0"/>
          <w:color w:val="auto"/>
          <w:spacing w:val="0"/>
          <w:kern w:val="0"/>
          <w:sz w:val="24"/>
          <w:szCs w:val="24"/>
          <w:highlight w:val="none"/>
          <w:lang w:val="en-US" w:eastAsia="zh-CN"/>
        </w:rPr>
        <w:t>金。承包人因上述违约行为而须缴纳的违约金在工程进度款中或结算时一并扣除。</w:t>
      </w:r>
    </w:p>
    <w:p w14:paraId="22A28A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5.其他合同条款由招标人与中标人自行协商约定</w:t>
      </w:r>
    </w:p>
    <w:p w14:paraId="76E3D22A">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592C9070">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64" w:name="_Toc27258"/>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64"/>
    </w:p>
    <w:p w14:paraId="3E6A87FB">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F1228B">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65" w:name="_Toc10155"/>
      <w:bookmarkStart w:id="166" w:name="_Toc5508"/>
      <w:r>
        <w:rPr>
          <w:rFonts w:hint="eastAsia" w:ascii="宋体" w:hAnsi="宋体" w:eastAsia="宋体" w:cs="宋体"/>
          <w:b/>
          <w:bCs/>
          <w:color w:val="auto"/>
          <w:spacing w:val="0"/>
          <w:sz w:val="24"/>
          <w:szCs w:val="24"/>
          <w:highlight w:val="none"/>
        </w:rPr>
        <w:t>1 ．房屋建筑工程建设项目</w:t>
      </w:r>
      <w:bookmarkEnd w:id="165"/>
      <w:bookmarkEnd w:id="166"/>
    </w:p>
    <w:p w14:paraId="0CE4FE26">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2E913A2A">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1289F3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2137985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191C91D8">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3087379D">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3B431104">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47AE272D">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76A79CB0">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7E836C7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2710142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4136A9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94AE18E">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5F96829D">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0198E85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67" w:name="_Toc12084"/>
      <w:bookmarkStart w:id="168" w:name="_Toc16294"/>
      <w:r>
        <w:rPr>
          <w:rFonts w:hint="eastAsia" w:ascii="宋体" w:hAnsi="宋体" w:eastAsia="宋体" w:cs="宋体"/>
          <w:color w:val="auto"/>
          <w:spacing w:val="0"/>
          <w:sz w:val="24"/>
          <w:szCs w:val="24"/>
          <w:highlight w:val="none"/>
        </w:rPr>
        <w:t>（14）《建筑与市政工程无障碍通用规范》 GB 55019-2021；</w:t>
      </w:r>
      <w:bookmarkEnd w:id="167"/>
      <w:bookmarkEnd w:id="168"/>
    </w:p>
    <w:p w14:paraId="208415E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69" w:name="_Toc15158"/>
      <w:bookmarkStart w:id="170" w:name="_Toc1177"/>
      <w:r>
        <w:rPr>
          <w:rFonts w:hint="eastAsia" w:ascii="宋体" w:hAnsi="宋体" w:eastAsia="宋体" w:cs="宋体"/>
          <w:color w:val="auto"/>
          <w:spacing w:val="0"/>
          <w:sz w:val="24"/>
          <w:szCs w:val="24"/>
          <w:highlight w:val="none"/>
        </w:rPr>
        <w:t>（15）《建筑防火通用规范》GB 55037-2022;</w:t>
      </w:r>
      <w:bookmarkEnd w:id="169"/>
      <w:bookmarkEnd w:id="170"/>
    </w:p>
    <w:p w14:paraId="3CAEBDB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1" w:name="_Toc24233"/>
      <w:bookmarkStart w:id="172" w:name="_Toc2461"/>
      <w:r>
        <w:rPr>
          <w:rFonts w:hint="eastAsia" w:ascii="宋体" w:hAnsi="宋体" w:eastAsia="宋体" w:cs="宋体"/>
          <w:color w:val="auto"/>
          <w:spacing w:val="0"/>
          <w:sz w:val="24"/>
          <w:szCs w:val="24"/>
          <w:highlight w:val="none"/>
        </w:rPr>
        <w:t>（16）《建筑与市政工程抗震通用规范》GB55002-2001;</w:t>
      </w:r>
      <w:bookmarkEnd w:id="171"/>
      <w:bookmarkEnd w:id="172"/>
    </w:p>
    <w:p w14:paraId="685DD796">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3" w:name="_Toc5777"/>
      <w:bookmarkStart w:id="174" w:name="_Toc8109"/>
      <w:r>
        <w:rPr>
          <w:rFonts w:hint="eastAsia" w:ascii="宋体" w:hAnsi="宋体" w:eastAsia="宋体" w:cs="宋体"/>
          <w:color w:val="auto"/>
          <w:spacing w:val="0"/>
          <w:sz w:val="24"/>
          <w:szCs w:val="24"/>
          <w:highlight w:val="none"/>
        </w:rPr>
        <w:t>（17）《建筑与市政地基基础通用规范》GB55003-2001;</w:t>
      </w:r>
      <w:bookmarkEnd w:id="173"/>
      <w:bookmarkEnd w:id="174"/>
    </w:p>
    <w:p w14:paraId="00DBFC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5D7737A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5CD8C62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067E85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36B34C1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5E00F81">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75" w:name="_Toc15652"/>
      <w:bookmarkStart w:id="176" w:name="_Toc16055"/>
      <w:r>
        <w:rPr>
          <w:rFonts w:hint="eastAsia" w:ascii="宋体" w:hAnsi="宋体" w:eastAsia="宋体" w:cs="宋体"/>
          <w:b/>
          <w:bCs/>
          <w:color w:val="auto"/>
          <w:spacing w:val="0"/>
          <w:sz w:val="24"/>
          <w:szCs w:val="24"/>
          <w:highlight w:val="none"/>
        </w:rPr>
        <w:t>2 ．市政基础设施工程建设项目</w:t>
      </w:r>
      <w:bookmarkEnd w:id="175"/>
      <w:bookmarkEnd w:id="176"/>
    </w:p>
    <w:p w14:paraId="1DE67B68">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7EF67537">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0FD09BDA">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5E4C6C0A">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FFAA5AA">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5C80DC30">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3DE05869">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D0FA85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3DDEED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0C40551B">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051F222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71A0E2D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77" w:name="_Toc8494"/>
      <w:bookmarkStart w:id="178" w:name="_Toc30781"/>
      <w:r>
        <w:rPr>
          <w:rFonts w:hint="eastAsia" w:ascii="宋体" w:hAnsi="宋体" w:eastAsia="宋体" w:cs="宋体"/>
          <w:color w:val="auto"/>
          <w:spacing w:val="0"/>
          <w:sz w:val="24"/>
          <w:szCs w:val="24"/>
          <w:highlight w:val="none"/>
        </w:rPr>
        <w:t>（11）《建筑与市政工程无障碍通用规范》 GB 55019-2021；</w:t>
      </w:r>
      <w:bookmarkEnd w:id="177"/>
      <w:bookmarkEnd w:id="178"/>
    </w:p>
    <w:p w14:paraId="0BB3048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79" w:name="_Toc17383"/>
      <w:bookmarkStart w:id="180" w:name="_Toc31143"/>
      <w:r>
        <w:rPr>
          <w:rFonts w:hint="eastAsia" w:ascii="宋体" w:hAnsi="宋体" w:eastAsia="宋体" w:cs="宋体"/>
          <w:color w:val="auto"/>
          <w:spacing w:val="0"/>
          <w:sz w:val="24"/>
          <w:szCs w:val="24"/>
          <w:highlight w:val="none"/>
        </w:rPr>
        <w:t>（12）《建筑防火通用规范》GB 55037-2022;</w:t>
      </w:r>
      <w:bookmarkEnd w:id="179"/>
      <w:bookmarkEnd w:id="180"/>
    </w:p>
    <w:p w14:paraId="3167F8C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1" w:name="_Toc32476"/>
      <w:bookmarkStart w:id="182" w:name="_Toc954"/>
      <w:r>
        <w:rPr>
          <w:rFonts w:hint="eastAsia" w:ascii="宋体" w:hAnsi="宋体" w:eastAsia="宋体" w:cs="宋体"/>
          <w:color w:val="auto"/>
          <w:spacing w:val="0"/>
          <w:sz w:val="24"/>
          <w:szCs w:val="24"/>
          <w:highlight w:val="none"/>
        </w:rPr>
        <w:t>（13）《建筑与市政工程抗震通用规范》GB55002-2001;</w:t>
      </w:r>
      <w:bookmarkEnd w:id="181"/>
      <w:bookmarkEnd w:id="182"/>
    </w:p>
    <w:p w14:paraId="7E7E11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3" w:name="_Toc7185"/>
      <w:bookmarkStart w:id="184" w:name="_Toc27898"/>
      <w:r>
        <w:rPr>
          <w:rFonts w:hint="eastAsia" w:ascii="宋体" w:hAnsi="宋体" w:eastAsia="宋体" w:cs="宋体"/>
          <w:color w:val="auto"/>
          <w:spacing w:val="0"/>
          <w:sz w:val="24"/>
          <w:szCs w:val="24"/>
          <w:highlight w:val="none"/>
        </w:rPr>
        <w:t>（14）《建筑与市政地基基础通用规范》GB55003-2001;</w:t>
      </w:r>
      <w:bookmarkEnd w:id="183"/>
      <w:bookmarkEnd w:id="184"/>
    </w:p>
    <w:p w14:paraId="598E0BA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5" w:name="_Toc29669"/>
      <w:bookmarkStart w:id="186" w:name="_Toc17281"/>
      <w:r>
        <w:rPr>
          <w:rFonts w:hint="eastAsia" w:ascii="宋体" w:hAnsi="宋体" w:eastAsia="宋体" w:cs="宋体"/>
          <w:color w:val="auto"/>
          <w:spacing w:val="0"/>
          <w:sz w:val="24"/>
          <w:szCs w:val="24"/>
          <w:highlight w:val="none"/>
        </w:rPr>
        <w:t>（15）《城市道路照明设计标准》（CJJ45-2015）；</w:t>
      </w:r>
      <w:bookmarkEnd w:id="185"/>
      <w:bookmarkEnd w:id="186"/>
    </w:p>
    <w:p w14:paraId="17AD9E7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7" w:name="_Toc31812"/>
      <w:bookmarkStart w:id="188" w:name="_Toc9161"/>
      <w:r>
        <w:rPr>
          <w:rFonts w:hint="eastAsia" w:ascii="宋体" w:hAnsi="宋体" w:eastAsia="宋体" w:cs="宋体"/>
          <w:color w:val="auto"/>
          <w:spacing w:val="0"/>
          <w:sz w:val="24"/>
          <w:szCs w:val="24"/>
          <w:highlight w:val="none"/>
        </w:rPr>
        <w:t>（16）《低压配电设计规范》（GB50054-2011）；</w:t>
      </w:r>
      <w:bookmarkEnd w:id="187"/>
      <w:bookmarkEnd w:id="188"/>
    </w:p>
    <w:p w14:paraId="39AD9BA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9" w:name="_Toc6405"/>
      <w:bookmarkStart w:id="190" w:name="_Toc18255"/>
      <w:r>
        <w:rPr>
          <w:rFonts w:hint="eastAsia" w:ascii="宋体" w:hAnsi="宋体" w:eastAsia="宋体" w:cs="宋体"/>
          <w:color w:val="auto"/>
          <w:spacing w:val="0"/>
          <w:sz w:val="24"/>
          <w:szCs w:val="24"/>
          <w:highlight w:val="none"/>
        </w:rPr>
        <w:t>（17）《城市道路照明工程施工及验收规程》（CJJ89-2012）；</w:t>
      </w:r>
      <w:bookmarkEnd w:id="189"/>
      <w:bookmarkEnd w:id="190"/>
    </w:p>
    <w:p w14:paraId="5C08A85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2E0247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304A14B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2781CAEA">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A2CCAE5">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4C853389">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75A42B65">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191" w:name="_Toc29206"/>
      <w:bookmarkStart w:id="192" w:name="_Toc9200"/>
      <w:r>
        <w:rPr>
          <w:rFonts w:hint="eastAsia" w:ascii="宋体" w:hAnsi="宋体" w:eastAsia="宋体" w:cs="宋体"/>
          <w:b/>
          <w:bCs/>
          <w:color w:val="auto"/>
          <w:spacing w:val="0"/>
          <w:sz w:val="24"/>
          <w:szCs w:val="24"/>
          <w:highlight w:val="none"/>
        </w:rPr>
        <w:t>3 ．备查要求</w:t>
      </w:r>
      <w:bookmarkEnd w:id="191"/>
      <w:bookmarkEnd w:id="192"/>
    </w:p>
    <w:p w14:paraId="0334C0EA">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4E9176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193" w:name="bookmark146"/>
      <w:bookmarkEnd w:id="193"/>
      <w:bookmarkStart w:id="194" w:name="bookmark100"/>
      <w:bookmarkEnd w:id="194"/>
      <w:bookmarkStart w:id="195" w:name="_Toc321"/>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195"/>
    </w:p>
    <w:p w14:paraId="5FC74284">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4531523B">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57E54AE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78499731">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660835A9">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196" w:name="_Toc30038"/>
      <w:bookmarkStart w:id="197" w:name="_Toc24446"/>
      <w:r>
        <w:rPr>
          <w:rFonts w:hint="eastAsia" w:ascii="宋体" w:hAnsi="宋体" w:eastAsia="宋体" w:cs="宋体"/>
          <w:b/>
          <w:bCs/>
          <w:color w:val="auto"/>
          <w:spacing w:val="0"/>
          <w:sz w:val="24"/>
          <w:szCs w:val="24"/>
          <w:highlight w:val="none"/>
        </w:rPr>
        <w:t>1 ．图纸</w:t>
      </w:r>
      <w:bookmarkEnd w:id="196"/>
      <w:bookmarkEnd w:id="197"/>
    </w:p>
    <w:p w14:paraId="00652F97">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48EB0DBD">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7191C978">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198" w:name="_Toc9064"/>
      <w:bookmarkStart w:id="199" w:name="_Toc7174"/>
      <w:r>
        <w:rPr>
          <w:rFonts w:hint="eastAsia" w:ascii="宋体" w:hAnsi="宋体" w:eastAsia="宋体" w:cs="宋体"/>
          <w:b/>
          <w:bCs/>
          <w:color w:val="auto"/>
          <w:spacing w:val="0"/>
          <w:sz w:val="24"/>
          <w:szCs w:val="24"/>
          <w:highlight w:val="none"/>
        </w:rPr>
        <w:t>2 ．招标工程量清单</w:t>
      </w:r>
      <w:bookmarkEnd w:id="198"/>
      <w:bookmarkEnd w:id="199"/>
    </w:p>
    <w:p w14:paraId="6A47FAFD">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0" w:name="OLE_LINK33"/>
      <w:r>
        <w:rPr>
          <w:rFonts w:hint="eastAsia" w:ascii="宋体" w:hAnsi="宋体" w:eastAsia="宋体" w:cs="宋体"/>
          <w:color w:val="auto"/>
          <w:spacing w:val="0"/>
          <w:sz w:val="24"/>
          <w:szCs w:val="24"/>
          <w:highlight w:val="none"/>
          <w:u w:val="single"/>
        </w:rPr>
        <w:t>招标工程量清单  EXCEL 版</w:t>
      </w:r>
      <w:bookmarkEnd w:id="200"/>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076FE901">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01" w:name="bookmark147"/>
      <w:bookmarkEnd w:id="201"/>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678730BC">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3E00F3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E496F3B">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24C45CC5">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D89ED6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B3D583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2C855D25">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7D4A78D6">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17E9DDC">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2618F59">
      <w:pPr>
        <w:pStyle w:val="25"/>
        <w:rPr>
          <w:rFonts w:hint="eastAsia"/>
          <w:highlight w:val="none"/>
        </w:rPr>
      </w:pPr>
    </w:p>
    <w:p w14:paraId="499D0013">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0C8B4CB9">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02" w:name="_Toc10270"/>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02"/>
    </w:p>
    <w:p w14:paraId="5B1AE375">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732FF561">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03" w:name="_Toc10384"/>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03"/>
    </w:p>
    <w:p w14:paraId="3D936F71">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068AB70E">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0DE0F809">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ED9FBF6">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6DEABE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EF5EDE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AB878A">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15E641E6">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098056B">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ECB4A2E">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23F78714">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D43441">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8210BB7">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04" w:name="bookmark105"/>
      <w:bookmarkEnd w:id="204"/>
      <w:r>
        <w:rPr>
          <w:rFonts w:hint="eastAsia" w:ascii="宋体" w:hAnsi="宋体" w:eastAsia="宋体" w:cs="宋体"/>
          <w:b/>
          <w:bCs/>
          <w:color w:val="auto"/>
          <w:spacing w:val="0"/>
          <w:sz w:val="47"/>
          <w:szCs w:val="47"/>
          <w:highlight w:val="none"/>
        </w:rPr>
        <w:t>（商务标书／经济标书／施工组织设计）</w:t>
      </w:r>
    </w:p>
    <w:p w14:paraId="33EFFA4B">
      <w:pPr>
        <w:keepNext w:val="0"/>
        <w:keepLines w:val="0"/>
        <w:pageBreakBefore w:val="0"/>
        <w:wordWrap w:val="0"/>
        <w:overflowPunct/>
        <w:topLinePunct w:val="0"/>
        <w:bidi w:val="0"/>
        <w:rPr>
          <w:rFonts w:hint="eastAsia"/>
          <w:color w:val="auto"/>
          <w:spacing w:val="0"/>
          <w:highlight w:val="none"/>
        </w:rPr>
      </w:pPr>
    </w:p>
    <w:p w14:paraId="71694CDA">
      <w:pPr>
        <w:keepNext w:val="0"/>
        <w:keepLines w:val="0"/>
        <w:pageBreakBefore w:val="0"/>
        <w:wordWrap w:val="0"/>
        <w:overflowPunct/>
        <w:topLinePunct w:val="0"/>
        <w:bidi w:val="0"/>
        <w:rPr>
          <w:rFonts w:hint="eastAsia"/>
          <w:color w:val="auto"/>
          <w:spacing w:val="0"/>
          <w:highlight w:val="none"/>
        </w:rPr>
      </w:pPr>
    </w:p>
    <w:p w14:paraId="7C6BCB43">
      <w:pPr>
        <w:keepNext w:val="0"/>
        <w:keepLines w:val="0"/>
        <w:pageBreakBefore w:val="0"/>
        <w:wordWrap w:val="0"/>
        <w:overflowPunct/>
        <w:topLinePunct w:val="0"/>
        <w:bidi w:val="0"/>
        <w:rPr>
          <w:rFonts w:hint="eastAsia"/>
          <w:color w:val="auto"/>
          <w:spacing w:val="0"/>
          <w:highlight w:val="none"/>
        </w:rPr>
      </w:pPr>
    </w:p>
    <w:p w14:paraId="10E86CD1">
      <w:pPr>
        <w:keepNext w:val="0"/>
        <w:keepLines w:val="0"/>
        <w:pageBreakBefore w:val="0"/>
        <w:wordWrap w:val="0"/>
        <w:overflowPunct/>
        <w:topLinePunct w:val="0"/>
        <w:bidi w:val="0"/>
        <w:rPr>
          <w:rFonts w:hint="eastAsia"/>
          <w:color w:val="auto"/>
          <w:spacing w:val="0"/>
          <w:highlight w:val="none"/>
        </w:rPr>
      </w:pPr>
    </w:p>
    <w:p w14:paraId="7AB4BF47">
      <w:pPr>
        <w:keepNext w:val="0"/>
        <w:keepLines w:val="0"/>
        <w:pageBreakBefore w:val="0"/>
        <w:wordWrap w:val="0"/>
        <w:overflowPunct/>
        <w:topLinePunct w:val="0"/>
        <w:bidi w:val="0"/>
        <w:rPr>
          <w:rFonts w:hint="eastAsia"/>
          <w:color w:val="auto"/>
          <w:spacing w:val="0"/>
          <w:highlight w:val="none"/>
        </w:rPr>
      </w:pPr>
    </w:p>
    <w:p w14:paraId="306BB099">
      <w:pPr>
        <w:keepNext w:val="0"/>
        <w:keepLines w:val="0"/>
        <w:pageBreakBefore w:val="0"/>
        <w:wordWrap w:val="0"/>
        <w:overflowPunct/>
        <w:topLinePunct w:val="0"/>
        <w:bidi w:val="0"/>
        <w:rPr>
          <w:rFonts w:hint="eastAsia"/>
          <w:color w:val="auto"/>
          <w:spacing w:val="0"/>
          <w:highlight w:val="none"/>
        </w:rPr>
      </w:pPr>
    </w:p>
    <w:p w14:paraId="17C1C6BE">
      <w:pPr>
        <w:keepNext w:val="0"/>
        <w:keepLines w:val="0"/>
        <w:pageBreakBefore w:val="0"/>
        <w:wordWrap w:val="0"/>
        <w:overflowPunct/>
        <w:topLinePunct w:val="0"/>
        <w:bidi w:val="0"/>
        <w:rPr>
          <w:rFonts w:hint="eastAsia"/>
          <w:color w:val="auto"/>
          <w:spacing w:val="0"/>
          <w:highlight w:val="none"/>
        </w:rPr>
      </w:pPr>
    </w:p>
    <w:p w14:paraId="313F4F70">
      <w:pPr>
        <w:keepNext w:val="0"/>
        <w:keepLines w:val="0"/>
        <w:pageBreakBefore w:val="0"/>
        <w:wordWrap w:val="0"/>
        <w:overflowPunct/>
        <w:topLinePunct w:val="0"/>
        <w:bidi w:val="0"/>
        <w:rPr>
          <w:rFonts w:hint="eastAsia"/>
          <w:color w:val="auto"/>
          <w:spacing w:val="0"/>
          <w:highlight w:val="none"/>
        </w:rPr>
      </w:pPr>
    </w:p>
    <w:p w14:paraId="2D1F340C">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711C8DA7">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752A510">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7191B4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6469CE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6FBE36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6C1EC97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2D60B74">
      <w:pPr>
        <w:keepNext w:val="0"/>
        <w:keepLines w:val="0"/>
        <w:pageBreakBefore w:val="0"/>
        <w:wordWrap w:val="0"/>
        <w:overflowPunct/>
        <w:topLinePunct w:val="0"/>
        <w:bidi w:val="0"/>
        <w:rPr>
          <w:rFonts w:hint="eastAsia"/>
          <w:color w:val="auto"/>
          <w:spacing w:val="0"/>
          <w:highlight w:val="none"/>
        </w:rPr>
      </w:pPr>
    </w:p>
    <w:p w14:paraId="75ADAE4C">
      <w:pPr>
        <w:keepNext w:val="0"/>
        <w:keepLines w:val="0"/>
        <w:pageBreakBefore w:val="0"/>
        <w:wordWrap w:val="0"/>
        <w:overflowPunct/>
        <w:topLinePunct w:val="0"/>
        <w:bidi w:val="0"/>
        <w:outlineLvl w:val="9"/>
        <w:rPr>
          <w:rFonts w:hint="eastAsia"/>
          <w:color w:val="auto"/>
          <w:spacing w:val="0"/>
          <w:highlight w:val="none"/>
        </w:rPr>
      </w:pPr>
    </w:p>
    <w:p w14:paraId="7A6DF66C">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05" w:name="_Toc2430"/>
      <w:r>
        <w:rPr>
          <w:rFonts w:hint="eastAsia" w:ascii="宋体" w:hAnsi="宋体" w:eastAsia="宋体" w:cs="宋体"/>
          <w:b/>
          <w:bCs/>
          <w:color w:val="auto"/>
          <w:spacing w:val="0"/>
          <w:sz w:val="24"/>
          <w:szCs w:val="24"/>
          <w:highlight w:val="none"/>
        </w:rPr>
        <w:t>格式二 投标函</w:t>
      </w:r>
      <w:bookmarkEnd w:id="205"/>
    </w:p>
    <w:p w14:paraId="392E4C63">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2E98BF1A">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06" w:name="bookmark148"/>
      <w:bookmarkEnd w:id="206"/>
      <w:bookmarkStart w:id="207" w:name="_Toc317"/>
      <w:bookmarkStart w:id="208" w:name="_Toc27397"/>
      <w:bookmarkStart w:id="209" w:name="_Toc29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07"/>
      <w:bookmarkEnd w:id="208"/>
      <w:bookmarkEnd w:id="209"/>
    </w:p>
    <w:p w14:paraId="58F05F57">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08B6DA1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E3DA53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48E62A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342E60C5">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19F6B28C">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725455D2">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0" w:name="OLE_LINK34"/>
      <w:r>
        <w:rPr>
          <w:rFonts w:hint="eastAsia" w:ascii="宋体" w:hAnsi="宋体" w:eastAsia="宋体" w:cs="宋体"/>
          <w:color w:val="auto"/>
          <w:spacing w:val="0"/>
          <w:sz w:val="24"/>
          <w:szCs w:val="24"/>
          <w:highlight w:val="none"/>
          <w:u w:val="single"/>
          <w:lang w:val="en-US" w:eastAsia="zh-CN"/>
        </w:rPr>
        <w:t xml:space="preserve">     </w:t>
      </w:r>
      <w:bookmarkEnd w:id="210"/>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10E8DA76">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36F81C92">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0E71490A">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0954415E">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665C13C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6A293A0C">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338C97A">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6D644921">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53B9F8FC">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FE5B2A2">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70C6C00B">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373311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063FEB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7512AB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02A06E5B">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1" w:name="_Toc3736"/>
      <w:r>
        <w:rPr>
          <w:rFonts w:hint="eastAsia" w:ascii="宋体" w:hAnsi="宋体" w:eastAsia="宋体" w:cs="宋体"/>
          <w:b/>
          <w:bCs/>
          <w:color w:val="auto"/>
          <w:spacing w:val="0"/>
          <w:sz w:val="24"/>
          <w:szCs w:val="24"/>
          <w:highlight w:val="none"/>
        </w:rPr>
        <w:t>格式三 各项承诺一览表</w:t>
      </w:r>
      <w:bookmarkEnd w:id="211"/>
    </w:p>
    <w:p w14:paraId="51E0204F">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4B1A1A4">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12" w:name="bookmark149"/>
      <w:bookmarkEnd w:id="212"/>
      <w:bookmarkStart w:id="213" w:name="_Toc2936"/>
      <w:bookmarkStart w:id="214" w:name="_Toc10326"/>
      <w:bookmarkStart w:id="215" w:name="_Toc4767"/>
      <w:r>
        <w:rPr>
          <w:rFonts w:hint="eastAsia" w:ascii="宋体" w:hAnsi="宋体" w:eastAsia="宋体" w:cs="宋体"/>
          <w:b/>
          <w:bCs/>
          <w:color w:val="auto"/>
          <w:spacing w:val="0"/>
          <w:sz w:val="30"/>
          <w:szCs w:val="30"/>
          <w:highlight w:val="none"/>
        </w:rPr>
        <w:t>各项承诺一览表</w:t>
      </w:r>
      <w:bookmarkEnd w:id="213"/>
      <w:bookmarkEnd w:id="214"/>
      <w:bookmarkEnd w:id="215"/>
    </w:p>
    <w:p w14:paraId="5C63A27F">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1CCE799E">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4EBB8A6D">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31A2719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261D6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01CAE9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2CDC7B5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1955F4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1B3DB23">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F577063">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796EA61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6DBD4A3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68E3A7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7C38C6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5C557624">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D41129A">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7EDF57F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7350A53C">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18E84040">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62CF036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960F52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0A090EF8">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9F3D35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5F8AAB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3D58664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D7FCEF">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EFE29D7">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4A8515D9">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B9DDA4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009D3C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7FA4425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24313CA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0F286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17F7D2E">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B3A988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2"/>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D2FADD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0E95F9BE">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0DF7EDDD">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164999A">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D48F5C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5D5933">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52A221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320F0521">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5782E3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6D8BDFB8">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5874C8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ACFEB2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C2BA4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303911B">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1AB87749">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C876BD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01E678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29A0D19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0CA932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157135E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C8442E1">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7AF6CE0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59576A39">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FCE2A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3246D3A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841BEAA">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5A5A4090">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11F3159F">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09C1B693">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5307D740">
      <w:pPr>
        <w:keepNext w:val="0"/>
        <w:keepLines w:val="0"/>
        <w:pageBreakBefore w:val="0"/>
        <w:wordWrap w:val="0"/>
        <w:overflowPunct/>
        <w:topLinePunct w:val="0"/>
        <w:bidi w:val="0"/>
        <w:outlineLvl w:val="9"/>
        <w:rPr>
          <w:rFonts w:hint="eastAsia"/>
          <w:color w:val="auto"/>
          <w:spacing w:val="0"/>
          <w:highlight w:val="none"/>
        </w:rPr>
      </w:pPr>
    </w:p>
    <w:p w14:paraId="7613316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420BB4E">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6" w:name="_Toc23435"/>
      <w:r>
        <w:rPr>
          <w:rFonts w:hint="eastAsia" w:ascii="宋体" w:hAnsi="宋体" w:eastAsia="宋体" w:cs="宋体"/>
          <w:b/>
          <w:bCs/>
          <w:color w:val="auto"/>
          <w:spacing w:val="0"/>
          <w:sz w:val="24"/>
          <w:szCs w:val="24"/>
          <w:highlight w:val="none"/>
        </w:rPr>
        <w:t>格式四 授权委托书</w:t>
      </w:r>
      <w:bookmarkEnd w:id="216"/>
    </w:p>
    <w:p w14:paraId="03776E3A">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7681910">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710AE74">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17" w:name="bookmark151"/>
      <w:bookmarkEnd w:id="217"/>
      <w:r>
        <w:rPr>
          <w:rFonts w:hint="eastAsia" w:ascii="宋体" w:hAnsi="宋体" w:eastAsia="宋体" w:cs="宋体"/>
          <w:b/>
          <w:bCs/>
          <w:color w:val="auto"/>
          <w:spacing w:val="0"/>
          <w:sz w:val="30"/>
          <w:szCs w:val="30"/>
          <w:highlight w:val="none"/>
        </w:rPr>
        <w:t>授权委托书</w:t>
      </w:r>
    </w:p>
    <w:p w14:paraId="6B19C13D">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761B3015">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86EF8E7">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29794F47">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61311643">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065F5DA6">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03D08A77">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43532AC3">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2B7914F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7C771EC">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67E8684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D39F848">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67D7E7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7B8E691">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58F6FE5">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4C2FB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7963A6">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732A1D8F">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B567FA1">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C2BC505">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2DFD23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09CD99D4">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723A21F5">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1E0667E6">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3D5EEA8">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189E6F9">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1D9240F">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0F2804B">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76A489E">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5A6EA383">
            <w:pPr>
              <w:pStyle w:val="28"/>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46299238">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1CD2E23D">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14108A7">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8" w:name="_Toc9240"/>
      <w:r>
        <w:rPr>
          <w:rFonts w:hint="eastAsia" w:ascii="宋体" w:hAnsi="宋体" w:eastAsia="宋体" w:cs="宋体"/>
          <w:b/>
          <w:bCs/>
          <w:color w:val="auto"/>
          <w:spacing w:val="0"/>
          <w:sz w:val="24"/>
          <w:szCs w:val="24"/>
          <w:highlight w:val="none"/>
        </w:rPr>
        <w:t>格式五 法定代表人身份证明</w:t>
      </w:r>
      <w:bookmarkEnd w:id="218"/>
    </w:p>
    <w:p w14:paraId="64F0910B">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2888A3EE">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0601B29">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19" w:name="bookmark152"/>
      <w:bookmarkEnd w:id="219"/>
      <w:r>
        <w:rPr>
          <w:rFonts w:hint="eastAsia" w:ascii="宋体" w:hAnsi="宋体" w:eastAsia="宋体" w:cs="宋体"/>
          <w:b/>
          <w:bCs/>
          <w:color w:val="auto"/>
          <w:spacing w:val="0"/>
          <w:sz w:val="30"/>
          <w:szCs w:val="30"/>
          <w:highlight w:val="none"/>
        </w:rPr>
        <w:t>法定代表人身份证明</w:t>
      </w:r>
    </w:p>
    <w:p w14:paraId="176A168B">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B8D004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7A552CC">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44189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78081EA7">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572BE33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7898B9FA">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1DA8C0EE">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6E051EF">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1074CD7">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7DE923C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5195DD8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5329DE">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910EDC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4A7032E">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09F911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24B1B1E8">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33908D8">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4CB3CC8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1A118B4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9B7FFB7">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FB212A0">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61DD784">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F8DA62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391F7A">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3"/>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3"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2BB2EBC8">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0" w:name="_Toc12207"/>
      <w:r>
        <w:rPr>
          <w:rFonts w:hint="eastAsia" w:ascii="宋体" w:hAnsi="宋体" w:eastAsia="宋体" w:cs="宋体"/>
          <w:b/>
          <w:bCs/>
          <w:color w:val="auto"/>
          <w:spacing w:val="0"/>
          <w:sz w:val="24"/>
          <w:szCs w:val="24"/>
          <w:highlight w:val="none"/>
        </w:rPr>
        <w:t>格式六 联合体协议书</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bookmarkEnd w:id="220"/>
    </w:p>
    <w:p w14:paraId="7EE6374E">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21" w:name="bookmark153"/>
      <w:bookmarkEnd w:id="221"/>
      <w:r>
        <w:rPr>
          <w:rFonts w:hint="eastAsia" w:ascii="宋体" w:hAnsi="宋体" w:eastAsia="宋体" w:cs="宋体"/>
          <w:b/>
          <w:bCs/>
          <w:color w:val="auto"/>
          <w:spacing w:val="0"/>
          <w:sz w:val="30"/>
          <w:szCs w:val="30"/>
          <w:highlight w:val="none"/>
        </w:rPr>
        <w:t>联合体协议书</w:t>
      </w:r>
    </w:p>
    <w:p w14:paraId="66B66C30">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2B0D39DC">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0F9C623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6133798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0B7EEC45">
      <w:pPr>
        <w:keepNext w:val="0"/>
        <w:keepLines w:val="0"/>
        <w:pageBreakBefore w:val="0"/>
        <w:wordWrap w:val="0"/>
        <w:overflowPunct/>
        <w:topLinePunct w:val="0"/>
        <w:bidi w:val="0"/>
        <w:outlineLvl w:val="9"/>
        <w:rPr>
          <w:rFonts w:hint="eastAsia"/>
          <w:color w:val="auto"/>
          <w:spacing w:val="0"/>
          <w:highlight w:val="none"/>
        </w:rPr>
      </w:pPr>
    </w:p>
    <w:p w14:paraId="207AD2AE">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35C3774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4A1D6D6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7C0F8432">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09D55383">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470AEF9A">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1E61A89">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DCDF28">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22" w:name="_Toc5365"/>
      <w:bookmarkStart w:id="223" w:name="_Toc32149"/>
      <w:r>
        <w:rPr>
          <w:rFonts w:hint="eastAsia" w:ascii="宋体" w:hAnsi="宋体" w:eastAsia="宋体" w:cs="宋体"/>
          <w:color w:val="auto"/>
          <w:spacing w:val="0"/>
          <w:sz w:val="24"/>
          <w:szCs w:val="24"/>
          <w:highlight w:val="none"/>
        </w:rPr>
        <w:t>4 ．联合体各成员单位内部的职责分工如下：。</w:t>
      </w:r>
      <w:bookmarkEnd w:id="222"/>
      <w:bookmarkEnd w:id="223"/>
    </w:p>
    <w:p w14:paraId="66972B38">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16602AE1">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A791BDA">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45E52A06">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24" w:name="_Toc22612"/>
      <w:bookmarkStart w:id="225" w:name="_Toc26708"/>
      <w:r>
        <w:rPr>
          <w:rFonts w:hint="eastAsia" w:ascii="宋体" w:hAnsi="宋体" w:eastAsia="宋体" w:cs="宋体"/>
          <w:color w:val="auto"/>
          <w:spacing w:val="0"/>
          <w:sz w:val="24"/>
          <w:szCs w:val="24"/>
          <w:highlight w:val="none"/>
        </w:rPr>
        <w:t>8 ．本协议书一式份，联合体成员和招标人各执一份。</w:t>
      </w:r>
      <w:bookmarkEnd w:id="224"/>
      <w:bookmarkEnd w:id="225"/>
    </w:p>
    <w:p w14:paraId="7383C992">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26" w:name="bookmark154"/>
      <w:bookmarkEnd w:id="226"/>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473F379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326D8E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A50685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5B247C4F">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EC39C4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2C910984">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5367030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7C2788A4">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1A78BC6F">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17122"/>
      <w:r>
        <w:rPr>
          <w:rFonts w:hint="eastAsia" w:ascii="宋体" w:hAnsi="宋体" w:eastAsia="宋体" w:cs="宋体"/>
          <w:b/>
          <w:bCs/>
          <w:color w:val="auto"/>
          <w:spacing w:val="0"/>
          <w:sz w:val="24"/>
          <w:szCs w:val="24"/>
          <w:highlight w:val="none"/>
        </w:rPr>
        <w:t>格式七 投标人基本情况表</w:t>
      </w:r>
      <w:bookmarkEnd w:id="227"/>
    </w:p>
    <w:p w14:paraId="3C060929">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06DA9422">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4A7C5B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0DB2A2C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5451CF9">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7BF1DE6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E7F119C">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47A44F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0F6ED57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33FA9D06">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3A1A86D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8D00D8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478BD97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E9A5F01">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04A5A85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408C023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C350B75">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717515D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33F0792">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434E07A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8583C8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2CF8127D">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55F10CB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1248557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345CCE7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63CA2C03">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21775F2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B30980">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1528A61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29648EC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54FA43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4BDC0C8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177F106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02DBC66">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2278305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3262520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310579">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771E005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949ACF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6C5F14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484C31E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99E82AD">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8BB056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B79069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27F0636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18CD39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32F27D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4195547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65DFBEF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31F677A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336B438">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00F898E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E52826A">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33D5D73F">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60A346F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322C4E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D44C804">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46D2B23A">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F7B50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07997BA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5DF8A3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1E7ADE4D">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0A579FF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20E6965C">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585BD72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94CEF9">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3A6976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34C67D2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69B3166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5F7DADAA">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28" w:name="_Toc5131"/>
      <w:bookmarkStart w:id="229" w:name="_Toc14048"/>
      <w:r>
        <w:rPr>
          <w:rFonts w:hint="eastAsia" w:ascii="宋体" w:hAnsi="宋体" w:eastAsia="宋体" w:cs="宋体"/>
          <w:color w:val="auto"/>
          <w:spacing w:val="0"/>
          <w:sz w:val="21"/>
          <w:szCs w:val="21"/>
          <w:highlight w:val="none"/>
        </w:rPr>
        <w:t>1 ．《投标人基本情况表》后应附以下资料：</w:t>
      </w:r>
      <w:bookmarkEnd w:id="228"/>
      <w:bookmarkEnd w:id="229"/>
    </w:p>
    <w:p w14:paraId="230E1626">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49CB0524">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14750A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12C8021">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AB7BED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0" w:name="_Toc30292"/>
      <w:r>
        <w:rPr>
          <w:rFonts w:hint="eastAsia" w:ascii="宋体" w:hAnsi="宋体" w:eastAsia="宋体" w:cs="宋体"/>
          <w:b/>
          <w:bCs/>
          <w:color w:val="auto"/>
          <w:spacing w:val="0"/>
          <w:sz w:val="24"/>
          <w:szCs w:val="24"/>
          <w:highlight w:val="none"/>
        </w:rPr>
        <w:t>格式八 项目经理简历表</w:t>
      </w:r>
      <w:bookmarkEnd w:id="230"/>
    </w:p>
    <w:p w14:paraId="07245D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C78A5C7">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31" w:name="bookmark156"/>
      <w:bookmarkEnd w:id="231"/>
      <w:bookmarkStart w:id="232" w:name="bookmark89"/>
      <w:bookmarkEnd w:id="232"/>
      <w:bookmarkStart w:id="233" w:name="_Toc24489"/>
      <w:bookmarkStart w:id="234" w:name="_Toc31533"/>
      <w:r>
        <w:rPr>
          <w:rFonts w:hint="eastAsia" w:ascii="宋体" w:hAnsi="宋体" w:eastAsia="宋体" w:cs="宋体"/>
          <w:b/>
          <w:bCs/>
          <w:color w:val="auto"/>
          <w:spacing w:val="0"/>
          <w:sz w:val="30"/>
          <w:szCs w:val="30"/>
          <w:highlight w:val="none"/>
        </w:rPr>
        <w:t>项目经理简历表</w:t>
      </w:r>
      <w:bookmarkEnd w:id="233"/>
      <w:bookmarkEnd w:id="234"/>
    </w:p>
    <w:p w14:paraId="733B316D">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4005FF2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459C112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1B35C80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606F045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44F8EE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248A87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C5EBB9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497032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275BEF66">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16D1E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B726250">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18686FE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6CA0A6E3">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D8F273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1DCA256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5F6DD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985FCD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226DD45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67B2AAA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4801985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027FA0A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13665F3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1363170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67F61AF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6B906EE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9014A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5E44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91B5C4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60162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D37EB6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3F9424A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5C8C87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4B5D2BB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47BC37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0D3458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C8FBE2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05CB1FA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67C95E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F3F3F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EEF915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1073B93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68FD65E9">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11BEC3E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178352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C4C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DE5047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6308B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2A57AD35">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006CE30E">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16855C1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3503D5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46C6DB">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338141CB">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0D47170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4709B043">
      <w:pPr>
        <w:wordWrap w:val="0"/>
        <w:adjustRightInd w:val="0"/>
        <w:snapToGrid w:val="0"/>
        <w:spacing w:line="360" w:lineRule="auto"/>
        <w:ind w:left="210" w:leftChars="100" w:firstLine="0" w:firstLineChars="0"/>
        <w:rPr>
          <w:rFonts w:hint="eastAsia" w:ascii="宋体" w:hAnsi="宋体" w:eastAsia="宋体" w:cs="宋体"/>
          <w:color w:val="auto"/>
          <w:spacing w:val="0"/>
          <w:sz w:val="24"/>
          <w:szCs w:val="24"/>
          <w:highlight w:val="none"/>
        </w:rPr>
      </w:pPr>
      <w:bookmarkStart w:id="235" w:name="_Toc1942"/>
      <w:bookmarkStart w:id="236" w:name="_Toc25271"/>
      <w:r>
        <w:rPr>
          <w:rFonts w:hint="eastAsia" w:ascii="宋体" w:hAnsi="宋体" w:eastAsia="宋体" w:cs="宋体"/>
          <w:color w:val="auto"/>
          <w:spacing w:val="0"/>
          <w:sz w:val="24"/>
          <w:szCs w:val="24"/>
          <w:highlight w:val="none"/>
        </w:rPr>
        <w:t>1 ．身份证彩色扫描件；</w:t>
      </w:r>
      <w:bookmarkEnd w:id="235"/>
      <w:bookmarkEnd w:id="236"/>
      <w:r>
        <w:rPr>
          <w:rFonts w:hint="eastAsia" w:ascii="宋体" w:hAnsi="宋体" w:eastAsia="宋体" w:cs="宋体"/>
          <w:color w:val="auto"/>
          <w:spacing w:val="0"/>
          <w:sz w:val="24"/>
          <w:szCs w:val="24"/>
          <w:highlight w:val="none"/>
        </w:rPr>
        <w:br w:type="textWrapping"/>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 xml:space="preserve"> ．文物保护工程责任工程师（业务范围须包括：古文化遗址古墓葬）</w:t>
      </w:r>
      <w:r>
        <w:rPr>
          <w:rFonts w:hint="eastAsia" w:ascii="宋体" w:hAnsi="宋体" w:eastAsia="宋体" w:cs="宋体"/>
          <w:color w:val="auto"/>
          <w:spacing w:val="0"/>
          <w:sz w:val="24"/>
          <w:szCs w:val="24"/>
          <w:highlight w:val="none"/>
          <w:lang w:eastAsia="zh-CN"/>
        </w:rPr>
        <w:t>。</w:t>
      </w:r>
    </w:p>
    <w:p w14:paraId="76F37EF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240" w:firstLineChars="1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 xml:space="preserve"> ．在本单位缴纳社保</w:t>
      </w:r>
      <w:r>
        <w:rPr>
          <w:rFonts w:hint="eastAsia" w:ascii="宋体" w:hAnsi="宋体" w:eastAsia="宋体" w:cs="宋体"/>
          <w:color w:val="auto"/>
          <w:spacing w:val="0"/>
          <w:sz w:val="24"/>
          <w:szCs w:val="24"/>
          <w:highlight w:val="none"/>
          <w:lang w:eastAsia="zh-CN"/>
        </w:rPr>
        <w:t>的证明（至少6个月，其中必须有2026年</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2A87991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p>
    <w:p w14:paraId="4BCF539F">
      <w:pPr>
        <w:pStyle w:val="25"/>
        <w:rPr>
          <w:rFonts w:hint="eastAsia"/>
          <w:highlight w:val="none"/>
        </w:rPr>
      </w:pPr>
    </w:p>
    <w:p w14:paraId="00386200">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7" w:name="_Toc10251"/>
      <w:r>
        <w:rPr>
          <w:rFonts w:hint="eastAsia" w:ascii="宋体" w:hAnsi="宋体" w:eastAsia="宋体" w:cs="宋体"/>
          <w:b/>
          <w:bCs/>
          <w:color w:val="auto"/>
          <w:spacing w:val="0"/>
          <w:sz w:val="24"/>
          <w:szCs w:val="24"/>
          <w:highlight w:val="none"/>
        </w:rPr>
        <w:t>格式九 项目经理任职声明</w:t>
      </w:r>
      <w:bookmarkEnd w:id="237"/>
    </w:p>
    <w:p w14:paraId="0578F8FA">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8B0634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40F834A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38" w:name="bookmark157"/>
      <w:bookmarkEnd w:id="238"/>
      <w:r>
        <w:rPr>
          <w:rFonts w:hint="eastAsia" w:ascii="宋体" w:hAnsi="宋体" w:eastAsia="宋体" w:cs="宋体"/>
          <w:b/>
          <w:bCs/>
          <w:color w:val="auto"/>
          <w:spacing w:val="0"/>
          <w:sz w:val="30"/>
          <w:szCs w:val="30"/>
          <w:highlight w:val="none"/>
        </w:rPr>
        <w:t>项目经理任职声明</w:t>
      </w:r>
    </w:p>
    <w:p w14:paraId="532E615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161A47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41FA57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5A6A53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6DF111E3">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30B4DC4A">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FFEA1FE">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CFADE2D">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187690F7">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CA4FAA1">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6166C76">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07DB27C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AF704E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421D56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7188D60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A29B34B">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6AD9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34EACC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48EEA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C2A738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13610"/>
      <w:r>
        <w:rPr>
          <w:rFonts w:hint="eastAsia" w:ascii="宋体" w:hAnsi="宋体" w:eastAsia="宋体" w:cs="宋体"/>
          <w:b/>
          <w:bCs/>
          <w:color w:val="auto"/>
          <w:spacing w:val="0"/>
          <w:sz w:val="24"/>
          <w:szCs w:val="24"/>
          <w:highlight w:val="none"/>
        </w:rPr>
        <w:t>格式十 项目技术负责人简历表</w:t>
      </w:r>
      <w:bookmarkEnd w:id="239"/>
    </w:p>
    <w:p w14:paraId="4A542C8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19FD339A">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0" w:name="_Toc25712"/>
      <w:bookmarkStart w:id="241" w:name="_Toc1553"/>
      <w:r>
        <w:rPr>
          <w:rFonts w:hint="eastAsia" w:ascii="宋体" w:hAnsi="宋体" w:eastAsia="宋体" w:cs="宋体"/>
          <w:b/>
          <w:bCs/>
          <w:color w:val="auto"/>
          <w:spacing w:val="0"/>
          <w:sz w:val="30"/>
          <w:szCs w:val="30"/>
          <w:highlight w:val="none"/>
        </w:rPr>
        <w:t>项目技术负责人简历表</w:t>
      </w:r>
      <w:bookmarkEnd w:id="240"/>
      <w:bookmarkEnd w:id="241"/>
    </w:p>
    <w:p w14:paraId="76293364">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202B1A61">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35180F1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411B9C9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F452FF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A711865">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5240B45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29B76BC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307065D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E6461F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59539D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F83FFA8">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46640CD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A561424">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4B003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B86484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18B2FE9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0F93C38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23B1418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7FF7FF7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075F8FD">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00179D2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36A70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2BE768CF">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63873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78F80B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6F99EC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4631B1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230ED0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169407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7F39EB96">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2429E20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1F3968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87647C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2E10B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CCF984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C3BEFDC">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4CA19BC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B5F7A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C82DE6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E9203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264D79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68DEEC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4D6AC80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77B40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E64AC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0A6E2C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62B31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6E9589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6C7700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FB1A6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748C336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47051D9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5DDD380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5A12D51">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6CDD6A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23DA4F53">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765047A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48E9D4A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7AFA30E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EF6B21B">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5ED95DA0">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1DB79E91">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21264357">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至少6个月，其中必须有2026年</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03E99B1D">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0C4B51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2" w:name="_Toc21428"/>
      <w:r>
        <w:rPr>
          <w:rFonts w:hint="eastAsia" w:ascii="宋体" w:hAnsi="宋体" w:eastAsia="宋体" w:cs="宋体"/>
          <w:b/>
          <w:bCs/>
          <w:color w:val="auto"/>
          <w:spacing w:val="0"/>
          <w:sz w:val="24"/>
          <w:szCs w:val="24"/>
          <w:highlight w:val="none"/>
        </w:rPr>
        <w:t>格式十一 项目管理机构组成表</w:t>
      </w:r>
      <w:bookmarkEnd w:id="242"/>
    </w:p>
    <w:p w14:paraId="3B084A82">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5B0F7B1">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DF3D9BA">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43" w:name="bookmark158"/>
      <w:bookmarkEnd w:id="243"/>
      <w:bookmarkStart w:id="244" w:name="_Toc19973"/>
      <w:bookmarkStart w:id="245" w:name="_Toc28765"/>
      <w:r>
        <w:rPr>
          <w:rFonts w:hint="eastAsia" w:ascii="宋体" w:hAnsi="宋体" w:eastAsia="宋体" w:cs="宋体"/>
          <w:b/>
          <w:bCs/>
          <w:color w:val="auto"/>
          <w:spacing w:val="0"/>
          <w:sz w:val="30"/>
          <w:szCs w:val="30"/>
          <w:highlight w:val="none"/>
        </w:rPr>
        <w:t>项目管理机构组成表</w:t>
      </w:r>
      <w:bookmarkEnd w:id="244"/>
      <w:bookmarkEnd w:id="245"/>
    </w:p>
    <w:p w14:paraId="14B78991">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0869D9E">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439BD66">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7EBB74F3">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3DE10A8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3050ABB3">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59C156EA">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7FE3C97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36AB410A">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1997300C">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05C5473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7F30F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F1D6E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1672C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DE9F0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31D50A1B">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3A12DDFD">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6A048F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2616D6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90403F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13D574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4350E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7FC001D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5920EAB">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539D56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6625F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934B0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733019E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A7AA2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773F671">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30C10F88">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05CA2BD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108C0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4A0A4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9755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8296E4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1C720381">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3CAE22C0">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16086B6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03D9B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465E5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1AC236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B74D74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DD916F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00D908A3">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7A4124E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1B90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429CA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5EF2B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3D80AE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F1DC0C4">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2B81E2B2">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5830A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BE2E7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AEE4D9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62B06F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5D8694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01C2855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40723A7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7F1F6A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7322F0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2FB4E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6E46A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450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1A2216AD">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3469D01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39CA077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0CE589C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02AA64C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至少6个月，其中必须有2026年</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3503A7F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73BD7082">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0C3F1F2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p>
    <w:p w14:paraId="734EE390">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p>
    <w:p w14:paraId="64B4C36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4"/>
                    <a:stretch>
                      <a:fillRect/>
                    </a:stretch>
                  </pic:blipFill>
                  <pic:spPr>
                    <a:xfrm>
                      <a:off x="0" y="0"/>
                      <a:ext cx="6285865" cy="6925310"/>
                    </a:xfrm>
                    <a:prstGeom prst="rect">
                      <a:avLst/>
                    </a:prstGeom>
                    <a:noFill/>
                    <a:ln>
                      <a:noFill/>
                    </a:ln>
                  </pic:spPr>
                </pic:pic>
              </a:graphicData>
            </a:graphic>
          </wp:inline>
        </w:drawing>
      </w:r>
    </w:p>
    <w:p w14:paraId="174F962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F0F2A5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p>
    <w:p w14:paraId="749D726F">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46" w:name="_Toc24660"/>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val="en-US" w:eastAsia="zh-CN"/>
        </w:rPr>
        <w:t xml:space="preserve">二  </w:t>
      </w:r>
      <w:r>
        <w:rPr>
          <w:rFonts w:hint="eastAsia" w:ascii="宋体" w:hAnsi="宋体" w:eastAsia="宋体" w:cs="宋体"/>
          <w:b/>
          <w:bCs/>
          <w:color w:val="auto"/>
          <w:spacing w:val="0"/>
          <w:position w:val="3"/>
          <w:sz w:val="21"/>
          <w:szCs w:val="21"/>
          <w:highlight w:val="none"/>
        </w:rPr>
        <w:t>投标保证金信用承诺函</w:t>
      </w:r>
      <w:bookmarkEnd w:id="246"/>
    </w:p>
    <w:p w14:paraId="0C4BB79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3DA26AC">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2318544C">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2B9D0EA5">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EFDE8F2">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28F04F87">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420808">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30729E54">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0761697F">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71665105">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301930B0">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2C853675">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1304A271">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1892BA66">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5DBB6F71">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2D5FF0AE">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CF3EB86">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352EA194">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7" w:name="_Toc5098"/>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val="en-US" w:eastAsia="zh-CN"/>
        </w:rPr>
        <w:t>三</w:t>
      </w:r>
      <w:r>
        <w:rPr>
          <w:rFonts w:hint="eastAsia" w:ascii="宋体" w:hAnsi="宋体" w:eastAsia="宋体" w:cs="宋体"/>
          <w:b/>
          <w:bCs/>
          <w:color w:val="auto"/>
          <w:spacing w:val="0"/>
          <w:sz w:val="24"/>
          <w:szCs w:val="24"/>
          <w:highlight w:val="none"/>
        </w:rPr>
        <w:t xml:space="preserve">  原件一览表</w:t>
      </w:r>
      <w:bookmarkEnd w:id="247"/>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3FBA86E">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5F792F2C">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0F353D0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7969720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58C1E63A">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460A230E">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6022230E">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35D769FC">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3EEA02B2">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66A03B25">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92559B5">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3BEEA542">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CE3B1D0">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48BEE8B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69FF32C9">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3FE965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F70EA6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2C3C76C">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969C21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32F846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AD8029B">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6E7CE753">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8"/>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6EBABEED">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78AEE5F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6A6BE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5AD4B06">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8"/>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12A84F17">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4DCB2179">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0A613965">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04434907">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8"/>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2A419AAE">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1690E6DB">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275A898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474D634">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6DC3DCF2">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674EC6F">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14CF6FE5">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D2D58A7">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705600D0">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1CDD5251">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66FA3EB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37AC43BC">
            <w:pPr>
              <w:pStyle w:val="28"/>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3C24FA50">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7DD435CD">
            <w:pPr>
              <w:pStyle w:val="28"/>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683946A7">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1BC6BFE4">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8" w:name="bookmark107"/>
      <w:bookmarkEnd w:id="248"/>
      <w:r>
        <w:rPr>
          <w:rFonts w:hint="eastAsia" w:ascii="宋体" w:hAnsi="宋体" w:eastAsia="宋体" w:cs="宋体"/>
          <w:b/>
          <w:bCs/>
          <w:color w:val="auto"/>
          <w:spacing w:val="0"/>
          <w:sz w:val="24"/>
          <w:szCs w:val="24"/>
          <w:highlight w:val="none"/>
        </w:rPr>
        <w:br w:type="page"/>
      </w:r>
      <w:bookmarkStart w:id="249" w:name="_Toc30269"/>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十四</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w:t>
      </w:r>
      <w:r>
        <w:rPr>
          <w:rFonts w:hint="eastAsia" w:ascii="宋体" w:hAnsi="宋体" w:eastAsia="宋体" w:cs="宋体"/>
          <w:b/>
          <w:bCs/>
          <w:color w:val="auto"/>
          <w:spacing w:val="0"/>
          <w:sz w:val="24"/>
          <w:szCs w:val="24"/>
          <w:highlight w:val="none"/>
        </w:rPr>
        <w:t>封面</w:t>
      </w:r>
      <w:bookmarkEnd w:id="249"/>
    </w:p>
    <w:p w14:paraId="5006DC9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34B09997">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4A87BBC5">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5CDFBA3">
      <w:pPr>
        <w:spacing w:line="500" w:lineRule="exact"/>
        <w:jc w:val="left"/>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0"/>
          <w:sz w:val="24"/>
          <w:szCs w:val="24"/>
          <w:highlight w:val="none"/>
        </w:rPr>
        <w:br w:type="page"/>
      </w:r>
      <w:bookmarkStart w:id="250" w:name="_Toc31668"/>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十五</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定标因素评审资料</w:t>
      </w:r>
      <w:r>
        <w:rPr>
          <w:rFonts w:hint="eastAsia" w:ascii="宋体" w:hAnsi="宋体" w:eastAsia="宋体" w:cs="宋体"/>
          <w:b/>
          <w:bCs/>
          <w:color w:val="auto"/>
          <w:spacing w:val="0"/>
          <w:sz w:val="24"/>
          <w:szCs w:val="24"/>
          <w:highlight w:val="none"/>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z w:val="30"/>
          <w:szCs w:val="30"/>
          <w:highlight w:val="none"/>
          <w:lang w:eastAsia="zh-CN"/>
        </w:rPr>
        <w:t>定标因素评审资料</w:t>
      </w:r>
      <w:bookmarkEnd w:id="250"/>
    </w:p>
    <w:p w14:paraId="5876F9F4">
      <w:pPr>
        <w:jc w:val="left"/>
        <w:rPr>
          <w:rFonts w:hint="eastAsia" w:ascii="宋体" w:hAnsi="宋体" w:eastAsia="宋体" w:cs="宋体"/>
          <w:color w:val="auto"/>
          <w:sz w:val="24"/>
          <w:highlight w:val="none"/>
          <w:lang w:eastAsia="zh-CN"/>
        </w:rPr>
      </w:pPr>
    </w:p>
    <w:p w14:paraId="3931FE62">
      <w:pPr>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r>
        <w:rPr>
          <w:rFonts w:hint="eastAsia" w:ascii="宋体" w:hAnsi="宋体" w:eastAsia="宋体" w:cs="宋体"/>
          <w:b/>
          <w:bCs/>
          <w:color w:val="auto"/>
          <w:sz w:val="24"/>
          <w:szCs w:val="24"/>
          <w:highlight w:val="none"/>
          <w:lang w:val="en-US" w:eastAsia="zh-CN"/>
        </w:rPr>
        <w:t>提交的评审资料包括但不限于以下内容</w:t>
      </w:r>
      <w:r>
        <w:rPr>
          <w:rFonts w:hint="eastAsia" w:ascii="宋体" w:hAnsi="宋体" w:eastAsia="宋体" w:cs="宋体"/>
          <w:b/>
          <w:bCs/>
          <w:color w:val="auto"/>
          <w:sz w:val="24"/>
          <w:szCs w:val="24"/>
          <w:highlight w:val="none"/>
          <w:lang w:eastAsia="zh-CN"/>
        </w:rPr>
        <w:t>。</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w:t>
      </w:r>
      <w:r>
        <w:rPr>
          <w:rFonts w:hint="eastAsia" w:ascii="宋体" w:hAnsi="宋体" w:eastAsia="宋体" w:cs="宋体"/>
          <w:color w:val="auto"/>
          <w:spacing w:val="0"/>
          <w:sz w:val="24"/>
          <w:szCs w:val="24"/>
          <w:highlight w:val="none"/>
        </w:rPr>
        <w:t>投标人认为有必要补充的其他资料</w:t>
      </w:r>
    </w:p>
    <w:p w14:paraId="328C5C4C">
      <w:pPr>
        <w:spacing w:line="540" w:lineRule="exact"/>
        <w:ind w:firstLine="862" w:firstLineChars="308"/>
        <w:rPr>
          <w:rFonts w:hint="eastAsia" w:ascii="宋体" w:hAnsi="宋体" w:eastAsia="宋体" w:cs="宋体"/>
          <w:color w:val="auto"/>
          <w:sz w:val="28"/>
          <w:szCs w:val="28"/>
          <w:highlight w:val="none"/>
        </w:rPr>
      </w:pPr>
    </w:p>
    <w:p w14:paraId="6998EFA2">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p>
    <w:p w14:paraId="4C1EC471">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3E438A30">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51" w:name="_Toc15085"/>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51"/>
    </w:p>
    <w:p w14:paraId="0F14ACD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51CC36E">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01801F5B">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D61DC8"/>
    <w:rsid w:val="00F661CB"/>
    <w:rsid w:val="01203FAE"/>
    <w:rsid w:val="012A2737"/>
    <w:rsid w:val="013F232E"/>
    <w:rsid w:val="014B09BB"/>
    <w:rsid w:val="014C6B51"/>
    <w:rsid w:val="016471F9"/>
    <w:rsid w:val="01916C5A"/>
    <w:rsid w:val="01B841E6"/>
    <w:rsid w:val="01D95F0B"/>
    <w:rsid w:val="02337D11"/>
    <w:rsid w:val="026E699E"/>
    <w:rsid w:val="0273635F"/>
    <w:rsid w:val="027619AC"/>
    <w:rsid w:val="02AA30B8"/>
    <w:rsid w:val="02B7625C"/>
    <w:rsid w:val="02BF0C55"/>
    <w:rsid w:val="03091250"/>
    <w:rsid w:val="03200BA0"/>
    <w:rsid w:val="032C4E8C"/>
    <w:rsid w:val="0358304C"/>
    <w:rsid w:val="035D0AB7"/>
    <w:rsid w:val="03696A9E"/>
    <w:rsid w:val="037C563F"/>
    <w:rsid w:val="038453D9"/>
    <w:rsid w:val="039E06FB"/>
    <w:rsid w:val="03B524C9"/>
    <w:rsid w:val="03C5042E"/>
    <w:rsid w:val="04021749"/>
    <w:rsid w:val="04200D92"/>
    <w:rsid w:val="043C0BB8"/>
    <w:rsid w:val="04540333"/>
    <w:rsid w:val="048719B2"/>
    <w:rsid w:val="04B51863"/>
    <w:rsid w:val="04B67F25"/>
    <w:rsid w:val="04BF763A"/>
    <w:rsid w:val="04C07235"/>
    <w:rsid w:val="04C93D12"/>
    <w:rsid w:val="04CE00F8"/>
    <w:rsid w:val="053D0F60"/>
    <w:rsid w:val="05654685"/>
    <w:rsid w:val="05E732EC"/>
    <w:rsid w:val="05EC614B"/>
    <w:rsid w:val="05FE0636"/>
    <w:rsid w:val="06342423"/>
    <w:rsid w:val="063C112F"/>
    <w:rsid w:val="064E6EC7"/>
    <w:rsid w:val="066642EF"/>
    <w:rsid w:val="066C1D20"/>
    <w:rsid w:val="066E18CA"/>
    <w:rsid w:val="069B537E"/>
    <w:rsid w:val="06B156A8"/>
    <w:rsid w:val="06C70A28"/>
    <w:rsid w:val="06C929F2"/>
    <w:rsid w:val="06E67100"/>
    <w:rsid w:val="06EE2458"/>
    <w:rsid w:val="07133987"/>
    <w:rsid w:val="073360BD"/>
    <w:rsid w:val="073C35E3"/>
    <w:rsid w:val="074B3407"/>
    <w:rsid w:val="07A1396F"/>
    <w:rsid w:val="07A71DAB"/>
    <w:rsid w:val="07B90CB8"/>
    <w:rsid w:val="07EC510E"/>
    <w:rsid w:val="08000695"/>
    <w:rsid w:val="082A5712"/>
    <w:rsid w:val="083D3697"/>
    <w:rsid w:val="08C55606"/>
    <w:rsid w:val="08CD7283"/>
    <w:rsid w:val="08DB07BA"/>
    <w:rsid w:val="08EB6C4F"/>
    <w:rsid w:val="08F939AD"/>
    <w:rsid w:val="092D5890"/>
    <w:rsid w:val="09C339A8"/>
    <w:rsid w:val="09F06AB0"/>
    <w:rsid w:val="09FA34EB"/>
    <w:rsid w:val="0A182626"/>
    <w:rsid w:val="0A2763AD"/>
    <w:rsid w:val="0A4D56E8"/>
    <w:rsid w:val="0A62467A"/>
    <w:rsid w:val="0A7D4664"/>
    <w:rsid w:val="0AD33307"/>
    <w:rsid w:val="0AEE3BCC"/>
    <w:rsid w:val="0AFB0342"/>
    <w:rsid w:val="0B04049C"/>
    <w:rsid w:val="0B3866B7"/>
    <w:rsid w:val="0B3B5F5C"/>
    <w:rsid w:val="0B644CDF"/>
    <w:rsid w:val="0BD240F7"/>
    <w:rsid w:val="0C120997"/>
    <w:rsid w:val="0C350433"/>
    <w:rsid w:val="0C3D67FB"/>
    <w:rsid w:val="0C4153D2"/>
    <w:rsid w:val="0C4E3A2A"/>
    <w:rsid w:val="0CA07D76"/>
    <w:rsid w:val="0CA247B5"/>
    <w:rsid w:val="0CC51EAD"/>
    <w:rsid w:val="0CEB3524"/>
    <w:rsid w:val="0CFE2CC9"/>
    <w:rsid w:val="0D03679A"/>
    <w:rsid w:val="0D410E67"/>
    <w:rsid w:val="0D786450"/>
    <w:rsid w:val="0D847672"/>
    <w:rsid w:val="0DB97443"/>
    <w:rsid w:val="0DCB0DFD"/>
    <w:rsid w:val="0DD203DE"/>
    <w:rsid w:val="0DDC125D"/>
    <w:rsid w:val="0DF525DE"/>
    <w:rsid w:val="0DF61CE0"/>
    <w:rsid w:val="0E122ED0"/>
    <w:rsid w:val="0E1E1875"/>
    <w:rsid w:val="0E8E37ED"/>
    <w:rsid w:val="0EAF2E14"/>
    <w:rsid w:val="0EDB59B8"/>
    <w:rsid w:val="0EF30E7F"/>
    <w:rsid w:val="0F1B4006"/>
    <w:rsid w:val="0F312AB7"/>
    <w:rsid w:val="0F87169C"/>
    <w:rsid w:val="0FB775B8"/>
    <w:rsid w:val="0FF44D8A"/>
    <w:rsid w:val="103425BC"/>
    <w:rsid w:val="10433815"/>
    <w:rsid w:val="10484987"/>
    <w:rsid w:val="105858FC"/>
    <w:rsid w:val="1069143D"/>
    <w:rsid w:val="108403E2"/>
    <w:rsid w:val="109275A9"/>
    <w:rsid w:val="10945E1E"/>
    <w:rsid w:val="10C15734"/>
    <w:rsid w:val="110D36CE"/>
    <w:rsid w:val="11183B29"/>
    <w:rsid w:val="11533574"/>
    <w:rsid w:val="11785740"/>
    <w:rsid w:val="117874EE"/>
    <w:rsid w:val="11862732"/>
    <w:rsid w:val="118F278E"/>
    <w:rsid w:val="119105B0"/>
    <w:rsid w:val="11994D85"/>
    <w:rsid w:val="11A47985"/>
    <w:rsid w:val="11D80D88"/>
    <w:rsid w:val="11F50B3F"/>
    <w:rsid w:val="12906AB9"/>
    <w:rsid w:val="12B46AE6"/>
    <w:rsid w:val="12C7072D"/>
    <w:rsid w:val="12E7492B"/>
    <w:rsid w:val="12E74FC1"/>
    <w:rsid w:val="12F27F6E"/>
    <w:rsid w:val="12F53397"/>
    <w:rsid w:val="131A26A8"/>
    <w:rsid w:val="132A4818"/>
    <w:rsid w:val="13313DF9"/>
    <w:rsid w:val="133D279D"/>
    <w:rsid w:val="13842E04"/>
    <w:rsid w:val="1385172F"/>
    <w:rsid w:val="13B36C86"/>
    <w:rsid w:val="13C438FA"/>
    <w:rsid w:val="13E34C75"/>
    <w:rsid w:val="14141B79"/>
    <w:rsid w:val="148650F4"/>
    <w:rsid w:val="1505553D"/>
    <w:rsid w:val="150D2643"/>
    <w:rsid w:val="15192D96"/>
    <w:rsid w:val="155663AB"/>
    <w:rsid w:val="15674B8D"/>
    <w:rsid w:val="15DC13FE"/>
    <w:rsid w:val="15F3699E"/>
    <w:rsid w:val="16005D04"/>
    <w:rsid w:val="161F618A"/>
    <w:rsid w:val="16223ECC"/>
    <w:rsid w:val="16351E52"/>
    <w:rsid w:val="16737FC1"/>
    <w:rsid w:val="16C60CFC"/>
    <w:rsid w:val="16DF591A"/>
    <w:rsid w:val="1722468F"/>
    <w:rsid w:val="17233A97"/>
    <w:rsid w:val="172C4685"/>
    <w:rsid w:val="173157BB"/>
    <w:rsid w:val="1767428D"/>
    <w:rsid w:val="1776627E"/>
    <w:rsid w:val="17C50FB3"/>
    <w:rsid w:val="18226406"/>
    <w:rsid w:val="182A472E"/>
    <w:rsid w:val="1862610F"/>
    <w:rsid w:val="18710487"/>
    <w:rsid w:val="187C6927"/>
    <w:rsid w:val="18C06D07"/>
    <w:rsid w:val="190B3062"/>
    <w:rsid w:val="192D6E10"/>
    <w:rsid w:val="192E77AB"/>
    <w:rsid w:val="19355CC5"/>
    <w:rsid w:val="19597C05"/>
    <w:rsid w:val="1963464B"/>
    <w:rsid w:val="197764F6"/>
    <w:rsid w:val="1A200723"/>
    <w:rsid w:val="1A2C70C8"/>
    <w:rsid w:val="1A3A6836"/>
    <w:rsid w:val="1A4A3FE0"/>
    <w:rsid w:val="1A5B5BFF"/>
    <w:rsid w:val="1A6040D2"/>
    <w:rsid w:val="1AE57555"/>
    <w:rsid w:val="1B2B0B2B"/>
    <w:rsid w:val="1BB32838"/>
    <w:rsid w:val="1BC25F36"/>
    <w:rsid w:val="1BCD48DA"/>
    <w:rsid w:val="1C116575"/>
    <w:rsid w:val="1C2A3ADB"/>
    <w:rsid w:val="1C324211"/>
    <w:rsid w:val="1C623275"/>
    <w:rsid w:val="1C7F3E27"/>
    <w:rsid w:val="1C977356"/>
    <w:rsid w:val="1CEA7FA2"/>
    <w:rsid w:val="1CEE68B6"/>
    <w:rsid w:val="1CFE11EF"/>
    <w:rsid w:val="1D1C4C74"/>
    <w:rsid w:val="1D4666F2"/>
    <w:rsid w:val="1DED3012"/>
    <w:rsid w:val="1DFB74DD"/>
    <w:rsid w:val="1E02178A"/>
    <w:rsid w:val="1E3B5065"/>
    <w:rsid w:val="1E3B5B2B"/>
    <w:rsid w:val="1E491296"/>
    <w:rsid w:val="1E504393"/>
    <w:rsid w:val="1E5B1F6F"/>
    <w:rsid w:val="1E5D49E3"/>
    <w:rsid w:val="1E6432D4"/>
    <w:rsid w:val="1E9F430C"/>
    <w:rsid w:val="1EB53B18"/>
    <w:rsid w:val="1EBD4792"/>
    <w:rsid w:val="1EE461C3"/>
    <w:rsid w:val="1F1F71FB"/>
    <w:rsid w:val="1F2962CC"/>
    <w:rsid w:val="1F297E9B"/>
    <w:rsid w:val="1F3C3740"/>
    <w:rsid w:val="1F487665"/>
    <w:rsid w:val="1F4E5D32"/>
    <w:rsid w:val="1F683A66"/>
    <w:rsid w:val="1F793D64"/>
    <w:rsid w:val="1F82221D"/>
    <w:rsid w:val="1FA6791C"/>
    <w:rsid w:val="1FB65DB1"/>
    <w:rsid w:val="1FDA1374"/>
    <w:rsid w:val="20210F16"/>
    <w:rsid w:val="20264FF8"/>
    <w:rsid w:val="206770AC"/>
    <w:rsid w:val="208714FC"/>
    <w:rsid w:val="20B41F4E"/>
    <w:rsid w:val="20B73CE8"/>
    <w:rsid w:val="20CB1F07"/>
    <w:rsid w:val="20E76E0C"/>
    <w:rsid w:val="21244F9D"/>
    <w:rsid w:val="216E1E9C"/>
    <w:rsid w:val="222C2B90"/>
    <w:rsid w:val="22457E73"/>
    <w:rsid w:val="2248233E"/>
    <w:rsid w:val="22592440"/>
    <w:rsid w:val="227D2BB6"/>
    <w:rsid w:val="229E3272"/>
    <w:rsid w:val="22E70030"/>
    <w:rsid w:val="22EC3898"/>
    <w:rsid w:val="22F866E1"/>
    <w:rsid w:val="23260E04"/>
    <w:rsid w:val="233953DA"/>
    <w:rsid w:val="23481ED7"/>
    <w:rsid w:val="234F2844"/>
    <w:rsid w:val="23515DF1"/>
    <w:rsid w:val="237613B4"/>
    <w:rsid w:val="23790749"/>
    <w:rsid w:val="237B4B25"/>
    <w:rsid w:val="23931F66"/>
    <w:rsid w:val="24782AD4"/>
    <w:rsid w:val="249C3951"/>
    <w:rsid w:val="249F17D3"/>
    <w:rsid w:val="24A10C0D"/>
    <w:rsid w:val="250C7A19"/>
    <w:rsid w:val="251E59E0"/>
    <w:rsid w:val="254479BB"/>
    <w:rsid w:val="254C2D14"/>
    <w:rsid w:val="25622C50"/>
    <w:rsid w:val="256D06AE"/>
    <w:rsid w:val="2582242A"/>
    <w:rsid w:val="259077D0"/>
    <w:rsid w:val="25981BD9"/>
    <w:rsid w:val="25AF7A72"/>
    <w:rsid w:val="25B20381"/>
    <w:rsid w:val="25DB33C1"/>
    <w:rsid w:val="25F25669"/>
    <w:rsid w:val="260357AC"/>
    <w:rsid w:val="26081331"/>
    <w:rsid w:val="260B6FC2"/>
    <w:rsid w:val="264763B7"/>
    <w:rsid w:val="268B2A3A"/>
    <w:rsid w:val="268B3DAD"/>
    <w:rsid w:val="26A61FB0"/>
    <w:rsid w:val="26B13700"/>
    <w:rsid w:val="26E1530D"/>
    <w:rsid w:val="275131CB"/>
    <w:rsid w:val="277025E4"/>
    <w:rsid w:val="27734537"/>
    <w:rsid w:val="279B1E5B"/>
    <w:rsid w:val="282B4E63"/>
    <w:rsid w:val="282B6C11"/>
    <w:rsid w:val="28541BD2"/>
    <w:rsid w:val="28884FF7"/>
    <w:rsid w:val="28B60B0F"/>
    <w:rsid w:val="28E16404"/>
    <w:rsid w:val="28F60FCD"/>
    <w:rsid w:val="290F389D"/>
    <w:rsid w:val="291572CF"/>
    <w:rsid w:val="293033DF"/>
    <w:rsid w:val="293D2CA4"/>
    <w:rsid w:val="293E21D3"/>
    <w:rsid w:val="29567CBD"/>
    <w:rsid w:val="2962542C"/>
    <w:rsid w:val="296F1102"/>
    <w:rsid w:val="298250A2"/>
    <w:rsid w:val="29893309"/>
    <w:rsid w:val="29A9794B"/>
    <w:rsid w:val="2A58372E"/>
    <w:rsid w:val="2A5D6CB9"/>
    <w:rsid w:val="2A7228D5"/>
    <w:rsid w:val="2AD73080"/>
    <w:rsid w:val="2AF37B03"/>
    <w:rsid w:val="2B160E6F"/>
    <w:rsid w:val="2B351DFD"/>
    <w:rsid w:val="2B367172"/>
    <w:rsid w:val="2B784A6E"/>
    <w:rsid w:val="2B9A7B07"/>
    <w:rsid w:val="2BAE2033"/>
    <w:rsid w:val="2BB37649"/>
    <w:rsid w:val="2BB82A63"/>
    <w:rsid w:val="2BC730F4"/>
    <w:rsid w:val="2BE42462"/>
    <w:rsid w:val="2BFA2F81"/>
    <w:rsid w:val="2BFD3113"/>
    <w:rsid w:val="2BFD6B16"/>
    <w:rsid w:val="2C0003B4"/>
    <w:rsid w:val="2C15160E"/>
    <w:rsid w:val="2C3A068B"/>
    <w:rsid w:val="2CA156F3"/>
    <w:rsid w:val="2D236108"/>
    <w:rsid w:val="2D906B09"/>
    <w:rsid w:val="2D9C5EBB"/>
    <w:rsid w:val="2DAC0A59"/>
    <w:rsid w:val="2DCE076A"/>
    <w:rsid w:val="2E9A689E"/>
    <w:rsid w:val="2ED7388A"/>
    <w:rsid w:val="2EDD4BB1"/>
    <w:rsid w:val="2EE212D0"/>
    <w:rsid w:val="2F2729AC"/>
    <w:rsid w:val="2F3C0F4C"/>
    <w:rsid w:val="2F5A6566"/>
    <w:rsid w:val="2FAB20EE"/>
    <w:rsid w:val="2FB82F9F"/>
    <w:rsid w:val="2FD61B58"/>
    <w:rsid w:val="2FE5383E"/>
    <w:rsid w:val="306B49F6"/>
    <w:rsid w:val="30E67B79"/>
    <w:rsid w:val="313C778B"/>
    <w:rsid w:val="319C13AD"/>
    <w:rsid w:val="31D9592F"/>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B1049E"/>
    <w:rsid w:val="34C22379"/>
    <w:rsid w:val="34D4478E"/>
    <w:rsid w:val="34EF2E71"/>
    <w:rsid w:val="34F206CA"/>
    <w:rsid w:val="34F51A33"/>
    <w:rsid w:val="35233259"/>
    <w:rsid w:val="357E4769"/>
    <w:rsid w:val="35846234"/>
    <w:rsid w:val="358636D8"/>
    <w:rsid w:val="35B20971"/>
    <w:rsid w:val="35F03248"/>
    <w:rsid w:val="360B729D"/>
    <w:rsid w:val="361E1B63"/>
    <w:rsid w:val="365D08DD"/>
    <w:rsid w:val="369F27CF"/>
    <w:rsid w:val="36B60605"/>
    <w:rsid w:val="36C73FA8"/>
    <w:rsid w:val="36CF7301"/>
    <w:rsid w:val="36DB3EF8"/>
    <w:rsid w:val="3701395E"/>
    <w:rsid w:val="3727713D"/>
    <w:rsid w:val="375B08FF"/>
    <w:rsid w:val="37704A11"/>
    <w:rsid w:val="379538CC"/>
    <w:rsid w:val="379D2F5B"/>
    <w:rsid w:val="37C45ACE"/>
    <w:rsid w:val="37CB7AC8"/>
    <w:rsid w:val="37E335F2"/>
    <w:rsid w:val="37E76AA3"/>
    <w:rsid w:val="37F60FE9"/>
    <w:rsid w:val="38125B90"/>
    <w:rsid w:val="3835053A"/>
    <w:rsid w:val="387463B2"/>
    <w:rsid w:val="38BE1535"/>
    <w:rsid w:val="39322A36"/>
    <w:rsid w:val="395A2DA3"/>
    <w:rsid w:val="397A7B42"/>
    <w:rsid w:val="39B4157B"/>
    <w:rsid w:val="39DF785B"/>
    <w:rsid w:val="3A1A0893"/>
    <w:rsid w:val="3A5C534F"/>
    <w:rsid w:val="3A5E69D2"/>
    <w:rsid w:val="3A60099C"/>
    <w:rsid w:val="3A751F07"/>
    <w:rsid w:val="3A8B1791"/>
    <w:rsid w:val="3AA16B06"/>
    <w:rsid w:val="3AD969A0"/>
    <w:rsid w:val="3B2C2F74"/>
    <w:rsid w:val="3B351E28"/>
    <w:rsid w:val="3B78218B"/>
    <w:rsid w:val="3B8B205B"/>
    <w:rsid w:val="3BA174BE"/>
    <w:rsid w:val="3BAE1FDB"/>
    <w:rsid w:val="3BAE3989"/>
    <w:rsid w:val="3BC05FBD"/>
    <w:rsid w:val="3BCC3E0F"/>
    <w:rsid w:val="3BD258C9"/>
    <w:rsid w:val="3C123FA5"/>
    <w:rsid w:val="3C242530"/>
    <w:rsid w:val="3C607CD7"/>
    <w:rsid w:val="3C8B7826"/>
    <w:rsid w:val="3C8D17F0"/>
    <w:rsid w:val="3CA078D1"/>
    <w:rsid w:val="3CCA02B2"/>
    <w:rsid w:val="3CE62383"/>
    <w:rsid w:val="3CEC7A2A"/>
    <w:rsid w:val="3D0433A8"/>
    <w:rsid w:val="3D15699B"/>
    <w:rsid w:val="3D6A66B2"/>
    <w:rsid w:val="3D867B10"/>
    <w:rsid w:val="3DA07301"/>
    <w:rsid w:val="3DBF44D4"/>
    <w:rsid w:val="3DC207FD"/>
    <w:rsid w:val="3DCE35B6"/>
    <w:rsid w:val="3DD136B5"/>
    <w:rsid w:val="3DF14E3C"/>
    <w:rsid w:val="3DFC6C2D"/>
    <w:rsid w:val="3E043D34"/>
    <w:rsid w:val="3E0A3EC6"/>
    <w:rsid w:val="3E0D6740"/>
    <w:rsid w:val="3E1D441D"/>
    <w:rsid w:val="3E2609B2"/>
    <w:rsid w:val="3E7F6463"/>
    <w:rsid w:val="3EAF459C"/>
    <w:rsid w:val="3ECB4852"/>
    <w:rsid w:val="3EEB0292"/>
    <w:rsid w:val="3EF142B8"/>
    <w:rsid w:val="3EF313C9"/>
    <w:rsid w:val="3F281B00"/>
    <w:rsid w:val="3F3E0C3D"/>
    <w:rsid w:val="3F4D76DD"/>
    <w:rsid w:val="3F930BE9"/>
    <w:rsid w:val="3F952DC8"/>
    <w:rsid w:val="3FE15005"/>
    <w:rsid w:val="3FE77469"/>
    <w:rsid w:val="400E2C48"/>
    <w:rsid w:val="401B4FB0"/>
    <w:rsid w:val="401C11D4"/>
    <w:rsid w:val="40324B88"/>
    <w:rsid w:val="403D2804"/>
    <w:rsid w:val="40515615"/>
    <w:rsid w:val="40B21825"/>
    <w:rsid w:val="40BE641C"/>
    <w:rsid w:val="40C14BE6"/>
    <w:rsid w:val="40E85E9C"/>
    <w:rsid w:val="41173D7E"/>
    <w:rsid w:val="417778B2"/>
    <w:rsid w:val="42056C09"/>
    <w:rsid w:val="428D039F"/>
    <w:rsid w:val="42D77BC6"/>
    <w:rsid w:val="42FC0E58"/>
    <w:rsid w:val="431379ED"/>
    <w:rsid w:val="4315253F"/>
    <w:rsid w:val="436C6603"/>
    <w:rsid w:val="437454B8"/>
    <w:rsid w:val="43947908"/>
    <w:rsid w:val="43AA0EDA"/>
    <w:rsid w:val="43CC2BFE"/>
    <w:rsid w:val="43D25E53"/>
    <w:rsid w:val="43FE4D82"/>
    <w:rsid w:val="440138A0"/>
    <w:rsid w:val="44246EDE"/>
    <w:rsid w:val="44384737"/>
    <w:rsid w:val="44692B43"/>
    <w:rsid w:val="44740E09"/>
    <w:rsid w:val="447A2ACE"/>
    <w:rsid w:val="44983428"/>
    <w:rsid w:val="44C47D79"/>
    <w:rsid w:val="450F07D9"/>
    <w:rsid w:val="451A208F"/>
    <w:rsid w:val="453170D2"/>
    <w:rsid w:val="453E5D7D"/>
    <w:rsid w:val="45464C32"/>
    <w:rsid w:val="45AD2F03"/>
    <w:rsid w:val="45BE2A1A"/>
    <w:rsid w:val="45D60635"/>
    <w:rsid w:val="45F17038"/>
    <w:rsid w:val="460B7B64"/>
    <w:rsid w:val="4612476D"/>
    <w:rsid w:val="46276812"/>
    <w:rsid w:val="462F50FB"/>
    <w:rsid w:val="46617E0B"/>
    <w:rsid w:val="468F5CB4"/>
    <w:rsid w:val="46953618"/>
    <w:rsid w:val="46C027C2"/>
    <w:rsid w:val="46E75FA1"/>
    <w:rsid w:val="474820C5"/>
    <w:rsid w:val="475B13E7"/>
    <w:rsid w:val="476B2262"/>
    <w:rsid w:val="477A7EE5"/>
    <w:rsid w:val="477C5396"/>
    <w:rsid w:val="47DD7AD0"/>
    <w:rsid w:val="47F0715F"/>
    <w:rsid w:val="47F51E94"/>
    <w:rsid w:val="481D611E"/>
    <w:rsid w:val="4851130F"/>
    <w:rsid w:val="485D476D"/>
    <w:rsid w:val="48665BDE"/>
    <w:rsid w:val="48B545A9"/>
    <w:rsid w:val="48B979EC"/>
    <w:rsid w:val="48D34790"/>
    <w:rsid w:val="494D6EBA"/>
    <w:rsid w:val="49557B3A"/>
    <w:rsid w:val="49753CDE"/>
    <w:rsid w:val="49877DA8"/>
    <w:rsid w:val="498C348F"/>
    <w:rsid w:val="49BA4655"/>
    <w:rsid w:val="49CD757C"/>
    <w:rsid w:val="49DA3B9B"/>
    <w:rsid w:val="49EF5898"/>
    <w:rsid w:val="49FA5FEB"/>
    <w:rsid w:val="4A3C6BE3"/>
    <w:rsid w:val="4A62606A"/>
    <w:rsid w:val="4A6F0787"/>
    <w:rsid w:val="4A7638C4"/>
    <w:rsid w:val="4AA76173"/>
    <w:rsid w:val="4AAE1013"/>
    <w:rsid w:val="4ADE1878"/>
    <w:rsid w:val="4ADE2E23"/>
    <w:rsid w:val="4AE64EED"/>
    <w:rsid w:val="4B380D6F"/>
    <w:rsid w:val="4B7F745A"/>
    <w:rsid w:val="4BA47B1F"/>
    <w:rsid w:val="4BBC29D4"/>
    <w:rsid w:val="4C37599E"/>
    <w:rsid w:val="4C560DCF"/>
    <w:rsid w:val="4C9F604B"/>
    <w:rsid w:val="4CA73452"/>
    <w:rsid w:val="4CBE77A4"/>
    <w:rsid w:val="4CC32763"/>
    <w:rsid w:val="4D0F1621"/>
    <w:rsid w:val="4D24354A"/>
    <w:rsid w:val="4D4E6D7A"/>
    <w:rsid w:val="4D64659D"/>
    <w:rsid w:val="4D785BA5"/>
    <w:rsid w:val="4DEB45C9"/>
    <w:rsid w:val="4DF97234"/>
    <w:rsid w:val="4E437F61"/>
    <w:rsid w:val="4E4C36AA"/>
    <w:rsid w:val="4E4F6531"/>
    <w:rsid w:val="4EB7021F"/>
    <w:rsid w:val="4F377967"/>
    <w:rsid w:val="4F411EB6"/>
    <w:rsid w:val="4F42646A"/>
    <w:rsid w:val="4F582EF7"/>
    <w:rsid w:val="4F5F63A7"/>
    <w:rsid w:val="4FBA24A4"/>
    <w:rsid w:val="4FDA6E22"/>
    <w:rsid w:val="4FFD0EF1"/>
    <w:rsid w:val="50127E61"/>
    <w:rsid w:val="502F4C40"/>
    <w:rsid w:val="50353716"/>
    <w:rsid w:val="50AC44E3"/>
    <w:rsid w:val="510E3C07"/>
    <w:rsid w:val="5135755A"/>
    <w:rsid w:val="514F12D7"/>
    <w:rsid w:val="51754B1B"/>
    <w:rsid w:val="517B73AD"/>
    <w:rsid w:val="518A5306"/>
    <w:rsid w:val="51A37E3C"/>
    <w:rsid w:val="51B66656"/>
    <w:rsid w:val="51D16F4E"/>
    <w:rsid w:val="51D610EC"/>
    <w:rsid w:val="521045FE"/>
    <w:rsid w:val="52534816"/>
    <w:rsid w:val="52634928"/>
    <w:rsid w:val="52C2513C"/>
    <w:rsid w:val="52E2243E"/>
    <w:rsid w:val="52FE057D"/>
    <w:rsid w:val="53277999"/>
    <w:rsid w:val="53353269"/>
    <w:rsid w:val="533B7DA0"/>
    <w:rsid w:val="536746F1"/>
    <w:rsid w:val="53764934"/>
    <w:rsid w:val="53A35FB7"/>
    <w:rsid w:val="53B536AF"/>
    <w:rsid w:val="53C80FD0"/>
    <w:rsid w:val="53E30294"/>
    <w:rsid w:val="54296415"/>
    <w:rsid w:val="544B3A05"/>
    <w:rsid w:val="5472334E"/>
    <w:rsid w:val="549269FE"/>
    <w:rsid w:val="54A86D6F"/>
    <w:rsid w:val="54CA0898"/>
    <w:rsid w:val="550F1330"/>
    <w:rsid w:val="556829A3"/>
    <w:rsid w:val="55782BE6"/>
    <w:rsid w:val="55B415BA"/>
    <w:rsid w:val="55CD4E7B"/>
    <w:rsid w:val="55D46448"/>
    <w:rsid w:val="560E3442"/>
    <w:rsid w:val="56111251"/>
    <w:rsid w:val="56193729"/>
    <w:rsid w:val="56252ADC"/>
    <w:rsid w:val="56327239"/>
    <w:rsid w:val="56426E9F"/>
    <w:rsid w:val="564725B8"/>
    <w:rsid w:val="56652099"/>
    <w:rsid w:val="56680EAC"/>
    <w:rsid w:val="566D353C"/>
    <w:rsid w:val="569B3338"/>
    <w:rsid w:val="56F269C8"/>
    <w:rsid w:val="572F3778"/>
    <w:rsid w:val="576176AA"/>
    <w:rsid w:val="5765355C"/>
    <w:rsid w:val="57690BD0"/>
    <w:rsid w:val="57CA1153"/>
    <w:rsid w:val="58460B49"/>
    <w:rsid w:val="584A495B"/>
    <w:rsid w:val="586675E4"/>
    <w:rsid w:val="58765D26"/>
    <w:rsid w:val="58947716"/>
    <w:rsid w:val="58B66C06"/>
    <w:rsid w:val="58C919AA"/>
    <w:rsid w:val="58D345D7"/>
    <w:rsid w:val="59152645"/>
    <w:rsid w:val="591F4A55"/>
    <w:rsid w:val="59407EBE"/>
    <w:rsid w:val="59495785"/>
    <w:rsid w:val="5962393D"/>
    <w:rsid w:val="59816B33"/>
    <w:rsid w:val="599C2C1B"/>
    <w:rsid w:val="59AC7302"/>
    <w:rsid w:val="59BE5287"/>
    <w:rsid w:val="59BF67D8"/>
    <w:rsid w:val="59BF6E54"/>
    <w:rsid w:val="59C96098"/>
    <w:rsid w:val="59CD22DC"/>
    <w:rsid w:val="5A2F2D66"/>
    <w:rsid w:val="5A9467BF"/>
    <w:rsid w:val="5AAE69DB"/>
    <w:rsid w:val="5AC261B4"/>
    <w:rsid w:val="5ACA056B"/>
    <w:rsid w:val="5AEC0684"/>
    <w:rsid w:val="5AF0582F"/>
    <w:rsid w:val="5B1B6AA6"/>
    <w:rsid w:val="5B224E28"/>
    <w:rsid w:val="5B9C02BE"/>
    <w:rsid w:val="5BAF7B56"/>
    <w:rsid w:val="5BF611E3"/>
    <w:rsid w:val="5C0E6052"/>
    <w:rsid w:val="5C313AEE"/>
    <w:rsid w:val="5C7D4F86"/>
    <w:rsid w:val="5C86208C"/>
    <w:rsid w:val="5CAC7619"/>
    <w:rsid w:val="5D072AA1"/>
    <w:rsid w:val="5D211242"/>
    <w:rsid w:val="5D2B49E2"/>
    <w:rsid w:val="5D730EDB"/>
    <w:rsid w:val="5D7C18C6"/>
    <w:rsid w:val="5D902A97"/>
    <w:rsid w:val="5D916BB6"/>
    <w:rsid w:val="5DC32E6C"/>
    <w:rsid w:val="5DC65EB1"/>
    <w:rsid w:val="5DE3467B"/>
    <w:rsid w:val="5E000678"/>
    <w:rsid w:val="5E634018"/>
    <w:rsid w:val="5EB639EA"/>
    <w:rsid w:val="5F0537AA"/>
    <w:rsid w:val="5F1267B5"/>
    <w:rsid w:val="5F2B3E04"/>
    <w:rsid w:val="5F4A1A8C"/>
    <w:rsid w:val="5F760F40"/>
    <w:rsid w:val="5FD9212E"/>
    <w:rsid w:val="5FFF5CB2"/>
    <w:rsid w:val="600532C8"/>
    <w:rsid w:val="60213B2C"/>
    <w:rsid w:val="60673F83"/>
    <w:rsid w:val="606E1F64"/>
    <w:rsid w:val="607F0240"/>
    <w:rsid w:val="60AD1128"/>
    <w:rsid w:val="60CE0B25"/>
    <w:rsid w:val="610E5FB8"/>
    <w:rsid w:val="61113EEE"/>
    <w:rsid w:val="61555832"/>
    <w:rsid w:val="6194560C"/>
    <w:rsid w:val="619C4100"/>
    <w:rsid w:val="61A30FEA"/>
    <w:rsid w:val="61BE5E24"/>
    <w:rsid w:val="61D300DB"/>
    <w:rsid w:val="61D5316E"/>
    <w:rsid w:val="61DB6D9C"/>
    <w:rsid w:val="623C3CCB"/>
    <w:rsid w:val="6277131B"/>
    <w:rsid w:val="62894736"/>
    <w:rsid w:val="62A274F4"/>
    <w:rsid w:val="62A72D5C"/>
    <w:rsid w:val="62DC02C2"/>
    <w:rsid w:val="62E679C4"/>
    <w:rsid w:val="632E6FDA"/>
    <w:rsid w:val="6345292E"/>
    <w:rsid w:val="635D5082"/>
    <w:rsid w:val="63964B41"/>
    <w:rsid w:val="63CD05A1"/>
    <w:rsid w:val="6410048D"/>
    <w:rsid w:val="64421F3D"/>
    <w:rsid w:val="64487C27"/>
    <w:rsid w:val="647C3D75"/>
    <w:rsid w:val="648570CD"/>
    <w:rsid w:val="64AD03D2"/>
    <w:rsid w:val="64B66E59"/>
    <w:rsid w:val="64CC5E52"/>
    <w:rsid w:val="650F4B9B"/>
    <w:rsid w:val="654E657D"/>
    <w:rsid w:val="656B2244"/>
    <w:rsid w:val="65864EAB"/>
    <w:rsid w:val="65AC2438"/>
    <w:rsid w:val="65B768E4"/>
    <w:rsid w:val="65BF216B"/>
    <w:rsid w:val="65C57872"/>
    <w:rsid w:val="65DA0D53"/>
    <w:rsid w:val="65EF0F14"/>
    <w:rsid w:val="66042274"/>
    <w:rsid w:val="66043DF1"/>
    <w:rsid w:val="6614083B"/>
    <w:rsid w:val="661D46CA"/>
    <w:rsid w:val="667B0788"/>
    <w:rsid w:val="66887A48"/>
    <w:rsid w:val="669F48C5"/>
    <w:rsid w:val="66B94E0C"/>
    <w:rsid w:val="66BB1AFB"/>
    <w:rsid w:val="66C8643E"/>
    <w:rsid w:val="66CA0DC7"/>
    <w:rsid w:val="66F0707E"/>
    <w:rsid w:val="66F20D2E"/>
    <w:rsid w:val="66F95B50"/>
    <w:rsid w:val="673D6A15"/>
    <w:rsid w:val="67960780"/>
    <w:rsid w:val="67BB2DBB"/>
    <w:rsid w:val="682E5386"/>
    <w:rsid w:val="683F57E5"/>
    <w:rsid w:val="68415A7C"/>
    <w:rsid w:val="688D47A2"/>
    <w:rsid w:val="68CD623B"/>
    <w:rsid w:val="68FD36D6"/>
    <w:rsid w:val="694D7A8E"/>
    <w:rsid w:val="69562DE6"/>
    <w:rsid w:val="696012B6"/>
    <w:rsid w:val="69642093"/>
    <w:rsid w:val="6985191D"/>
    <w:rsid w:val="69BD2E65"/>
    <w:rsid w:val="69CA6B08"/>
    <w:rsid w:val="69E95A08"/>
    <w:rsid w:val="6A042666"/>
    <w:rsid w:val="6A9736F0"/>
    <w:rsid w:val="6AB26742"/>
    <w:rsid w:val="6AF97ECD"/>
    <w:rsid w:val="6B680BAF"/>
    <w:rsid w:val="6B6C68F1"/>
    <w:rsid w:val="6B7A5BC1"/>
    <w:rsid w:val="6BA17D14"/>
    <w:rsid w:val="6BCC55E2"/>
    <w:rsid w:val="6BE41292"/>
    <w:rsid w:val="6BF43D6E"/>
    <w:rsid w:val="6C3A781B"/>
    <w:rsid w:val="6C884442"/>
    <w:rsid w:val="6CF25FA0"/>
    <w:rsid w:val="6CF3094C"/>
    <w:rsid w:val="6CF3436B"/>
    <w:rsid w:val="6D257FA0"/>
    <w:rsid w:val="6D5B6316"/>
    <w:rsid w:val="6D77157D"/>
    <w:rsid w:val="6D9143ED"/>
    <w:rsid w:val="6DC40A12"/>
    <w:rsid w:val="6DC74A88"/>
    <w:rsid w:val="6DDD7C5D"/>
    <w:rsid w:val="6DEA2117"/>
    <w:rsid w:val="6E113780"/>
    <w:rsid w:val="6E2178BF"/>
    <w:rsid w:val="6E6C4C84"/>
    <w:rsid w:val="6E8C1058"/>
    <w:rsid w:val="6EBF142E"/>
    <w:rsid w:val="6F0F5F11"/>
    <w:rsid w:val="6F120DB6"/>
    <w:rsid w:val="6F2946DA"/>
    <w:rsid w:val="6F550DE0"/>
    <w:rsid w:val="6F694185"/>
    <w:rsid w:val="6FD1766A"/>
    <w:rsid w:val="70294E19"/>
    <w:rsid w:val="707443AD"/>
    <w:rsid w:val="70990122"/>
    <w:rsid w:val="70C60851"/>
    <w:rsid w:val="70D00980"/>
    <w:rsid w:val="70E51DA8"/>
    <w:rsid w:val="71213150"/>
    <w:rsid w:val="712D267F"/>
    <w:rsid w:val="712F47EA"/>
    <w:rsid w:val="713C6679"/>
    <w:rsid w:val="714802B0"/>
    <w:rsid w:val="71812600"/>
    <w:rsid w:val="71946BA2"/>
    <w:rsid w:val="719C15B2"/>
    <w:rsid w:val="71A843FB"/>
    <w:rsid w:val="71D82792"/>
    <w:rsid w:val="71F94EA8"/>
    <w:rsid w:val="721E450C"/>
    <w:rsid w:val="72514A93"/>
    <w:rsid w:val="7262278F"/>
    <w:rsid w:val="72A745C8"/>
    <w:rsid w:val="730C2768"/>
    <w:rsid w:val="7329331A"/>
    <w:rsid w:val="732A300A"/>
    <w:rsid w:val="73742537"/>
    <w:rsid w:val="73A429A0"/>
    <w:rsid w:val="73BE1CB4"/>
    <w:rsid w:val="73CC7691"/>
    <w:rsid w:val="73D85A6B"/>
    <w:rsid w:val="74AE1D28"/>
    <w:rsid w:val="74C2331D"/>
    <w:rsid w:val="74CF1255"/>
    <w:rsid w:val="74E7523A"/>
    <w:rsid w:val="74FB54A4"/>
    <w:rsid w:val="751610E2"/>
    <w:rsid w:val="751A7B05"/>
    <w:rsid w:val="751C63E4"/>
    <w:rsid w:val="75611CC1"/>
    <w:rsid w:val="759233F8"/>
    <w:rsid w:val="75D25EEA"/>
    <w:rsid w:val="75DD731F"/>
    <w:rsid w:val="75FE283B"/>
    <w:rsid w:val="764B039C"/>
    <w:rsid w:val="764C5C54"/>
    <w:rsid w:val="766641C7"/>
    <w:rsid w:val="766656C3"/>
    <w:rsid w:val="76740D50"/>
    <w:rsid w:val="768014A2"/>
    <w:rsid w:val="768D4B1F"/>
    <w:rsid w:val="76B352F7"/>
    <w:rsid w:val="76B7148E"/>
    <w:rsid w:val="76C22210"/>
    <w:rsid w:val="76CA7E5A"/>
    <w:rsid w:val="76ED3071"/>
    <w:rsid w:val="77120FDD"/>
    <w:rsid w:val="77224D6E"/>
    <w:rsid w:val="77490EAB"/>
    <w:rsid w:val="775C2950"/>
    <w:rsid w:val="77610F13"/>
    <w:rsid w:val="776B3787"/>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E61C7"/>
    <w:rsid w:val="7836235A"/>
    <w:rsid w:val="783B33E4"/>
    <w:rsid w:val="78482494"/>
    <w:rsid w:val="78534B66"/>
    <w:rsid w:val="787B0197"/>
    <w:rsid w:val="787E1A12"/>
    <w:rsid w:val="78A00DCC"/>
    <w:rsid w:val="78BE10F6"/>
    <w:rsid w:val="78BF6934"/>
    <w:rsid w:val="78C25DA2"/>
    <w:rsid w:val="78D43D28"/>
    <w:rsid w:val="78EE56C6"/>
    <w:rsid w:val="78FD502C"/>
    <w:rsid w:val="792275BE"/>
    <w:rsid w:val="794672BF"/>
    <w:rsid w:val="79532E9E"/>
    <w:rsid w:val="79585130"/>
    <w:rsid w:val="79797086"/>
    <w:rsid w:val="797A5F8B"/>
    <w:rsid w:val="79A47B9E"/>
    <w:rsid w:val="7A3C1D44"/>
    <w:rsid w:val="7A8B158A"/>
    <w:rsid w:val="7AB102CB"/>
    <w:rsid w:val="7ADD5362"/>
    <w:rsid w:val="7B1A0118"/>
    <w:rsid w:val="7B62386D"/>
    <w:rsid w:val="7B6E2211"/>
    <w:rsid w:val="7BD217F3"/>
    <w:rsid w:val="7C277454"/>
    <w:rsid w:val="7C594C70"/>
    <w:rsid w:val="7C7C270C"/>
    <w:rsid w:val="7C85264B"/>
    <w:rsid w:val="7CB63E70"/>
    <w:rsid w:val="7CC266CE"/>
    <w:rsid w:val="7CC76395"/>
    <w:rsid w:val="7CD73DE6"/>
    <w:rsid w:val="7CE64029"/>
    <w:rsid w:val="7D00333D"/>
    <w:rsid w:val="7D7A30EF"/>
    <w:rsid w:val="7D906276"/>
    <w:rsid w:val="7D9D293A"/>
    <w:rsid w:val="7DB41364"/>
    <w:rsid w:val="7DE44A0D"/>
    <w:rsid w:val="7DF24EA8"/>
    <w:rsid w:val="7E1E7F1F"/>
    <w:rsid w:val="7E2F667A"/>
    <w:rsid w:val="7E321E60"/>
    <w:rsid w:val="7E493D4F"/>
    <w:rsid w:val="7E5356EF"/>
    <w:rsid w:val="7E916B3D"/>
    <w:rsid w:val="7E9B65C0"/>
    <w:rsid w:val="7EA95725"/>
    <w:rsid w:val="7F1205F3"/>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table" w:customStyle="1" w:styleId="54">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7.png"/><Relationship Id="rId53" Type="http://schemas.openxmlformats.org/officeDocument/2006/relationships/image" Target="media/image16.png"/><Relationship Id="rId52" Type="http://schemas.openxmlformats.org/officeDocument/2006/relationships/image" Target="media/image15.png"/><Relationship Id="rId51" Type="http://schemas.openxmlformats.org/officeDocument/2006/relationships/image" Target="media/image14.wmf"/><Relationship Id="rId50" Type="http://schemas.openxmlformats.org/officeDocument/2006/relationships/oleObject" Target="embeddings/oleObject12.bin"/><Relationship Id="rId5" Type="http://schemas.openxmlformats.org/officeDocument/2006/relationships/footer" Target="footer2.xml"/><Relationship Id="rId49" Type="http://schemas.openxmlformats.org/officeDocument/2006/relationships/image" Target="media/image13.wmf"/><Relationship Id="rId48" Type="http://schemas.openxmlformats.org/officeDocument/2006/relationships/oleObject" Target="embeddings/oleObject11.bin"/><Relationship Id="rId47" Type="http://schemas.openxmlformats.org/officeDocument/2006/relationships/image" Target="media/image12.wmf"/><Relationship Id="rId46" Type="http://schemas.openxmlformats.org/officeDocument/2006/relationships/oleObject" Target="embeddings/oleObject10.bin"/><Relationship Id="rId45" Type="http://schemas.openxmlformats.org/officeDocument/2006/relationships/image" Target="media/image11.wmf"/><Relationship Id="rId44" Type="http://schemas.openxmlformats.org/officeDocument/2006/relationships/oleObject" Target="embeddings/oleObject9.bin"/><Relationship Id="rId43" Type="http://schemas.openxmlformats.org/officeDocument/2006/relationships/image" Target="media/image10.wmf"/><Relationship Id="rId42" Type="http://schemas.openxmlformats.org/officeDocument/2006/relationships/oleObject" Target="embeddings/oleObject8.bin"/><Relationship Id="rId41" Type="http://schemas.openxmlformats.org/officeDocument/2006/relationships/image" Target="media/image9.wmf"/><Relationship Id="rId40" Type="http://schemas.openxmlformats.org/officeDocument/2006/relationships/oleObject" Target="embeddings/oleObject7.bin"/><Relationship Id="rId4" Type="http://schemas.openxmlformats.org/officeDocument/2006/relationships/footer" Target="footer1.xml"/><Relationship Id="rId39" Type="http://schemas.openxmlformats.org/officeDocument/2006/relationships/image" Target="media/image8.wmf"/><Relationship Id="rId38" Type="http://schemas.openxmlformats.org/officeDocument/2006/relationships/oleObject" Target="embeddings/oleObject6.bin"/><Relationship Id="rId37" Type="http://schemas.openxmlformats.org/officeDocument/2006/relationships/image" Target="media/image7.wmf"/><Relationship Id="rId36" Type="http://schemas.openxmlformats.org/officeDocument/2006/relationships/oleObject" Target="embeddings/oleObject5.bin"/><Relationship Id="rId35" Type="http://schemas.openxmlformats.org/officeDocument/2006/relationships/image" Target="media/image6.wmf"/><Relationship Id="rId34" Type="http://schemas.openxmlformats.org/officeDocument/2006/relationships/oleObject" Target="embeddings/oleObject4.bin"/><Relationship Id="rId33" Type="http://schemas.openxmlformats.org/officeDocument/2006/relationships/image" Target="media/image5.wmf"/><Relationship Id="rId32" Type="http://schemas.openxmlformats.org/officeDocument/2006/relationships/oleObject" Target="embeddings/oleObject3.bin"/><Relationship Id="rId31" Type="http://schemas.openxmlformats.org/officeDocument/2006/relationships/image" Target="media/image4.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3.wmf"/><Relationship Id="rId28" Type="http://schemas.openxmlformats.org/officeDocument/2006/relationships/oleObject" Target="embeddings/oleObject1.bin"/><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14583</Words>
  <Characters>15730</Characters>
  <Lines>0</Lines>
  <Paragraphs>0</Paragraphs>
  <TotalTime>2</TotalTime>
  <ScaleCrop>false</ScaleCrop>
  <LinksUpToDate>false</LinksUpToDate>
  <CharactersWithSpaces>16310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wisvhnoiwnvl</cp:lastModifiedBy>
  <cp:lastPrinted>2024-09-29T01:33:00Z</cp:lastPrinted>
  <dcterms:modified xsi:type="dcterms:W3CDTF">2026-03-31T09:28:18Z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28FD884A523C405DB074BF13B283319A_13</vt:lpwstr>
  </property>
  <property fmtid="{D5CDD505-2E9C-101B-9397-08002B2CF9AE}" pid="4" name="KSOTemplateDocerSaveRecord">
    <vt:lpwstr>eyJoZGlkIjoiMjgzYmU5OThlZjM2MDdhYmRjZTMzNjQ0NzZlYTFhMWQiLCJ1c2VySWQiOiIzMzc1OTIyNzgifQ==</vt:lpwstr>
  </property>
</Properties>
</file>