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48C3">
      <w:pPr>
        <w:rPr>
          <w:rFonts w:hint="eastAsia" w:ascii="宋体" w:hAnsi="宋体" w:eastAsia="宋体" w:cs="宋体"/>
          <w:color w:val="auto"/>
        </w:rPr>
      </w:pPr>
    </w:p>
    <w:p w14:paraId="73C23197">
      <w:pPr>
        <w:widowControl w:val="0"/>
        <w:wordWrap w:val="0"/>
        <w:adjustRightInd w:val="0"/>
        <w:snapToGrid w:val="0"/>
        <w:spacing w:line="360" w:lineRule="auto"/>
        <w:jc w:val="center"/>
        <w:rPr>
          <w:rFonts w:hint="eastAsia" w:ascii="宋体" w:hAnsi="宋体" w:eastAsia="宋体" w:cs="宋体"/>
          <w:b/>
          <w:bCs w:val="0"/>
          <w:snapToGrid w:val="0"/>
          <w:color w:val="auto"/>
          <w:kern w:val="0"/>
          <w:sz w:val="52"/>
          <w:szCs w:val="52"/>
          <w:highlight w:val="none"/>
          <w:lang w:val="en-US" w:eastAsia="zh-CN" w:bidi="ar-SA"/>
        </w:rPr>
      </w:pPr>
      <w:r>
        <w:rPr>
          <w:rFonts w:hint="eastAsia" w:ascii="宋体" w:hAnsi="宋体" w:cs="宋体"/>
          <w:b/>
          <w:bCs w:val="0"/>
          <w:snapToGrid w:val="0"/>
          <w:color w:val="auto"/>
          <w:kern w:val="0"/>
          <w:sz w:val="52"/>
          <w:szCs w:val="52"/>
          <w:highlight w:val="none"/>
          <w:lang w:val="en-US" w:eastAsia="zh-CN" w:bidi="ar-SA"/>
        </w:rPr>
        <w:t>浈江区犁市镇内腾村人居环境整治提升项目</w:t>
      </w:r>
      <w:r>
        <w:rPr>
          <w:rFonts w:hint="eastAsia" w:ascii="宋体" w:hAnsi="宋体" w:eastAsia="宋体" w:cs="宋体"/>
          <w:b/>
          <w:bCs w:val="0"/>
          <w:snapToGrid w:val="0"/>
          <w:color w:val="auto"/>
          <w:kern w:val="0"/>
          <w:sz w:val="52"/>
          <w:szCs w:val="52"/>
          <w:highlight w:val="none"/>
          <w:lang w:val="en-US" w:eastAsia="zh-CN" w:bidi="ar-SA"/>
        </w:rPr>
        <w:t>施工</w:t>
      </w:r>
    </w:p>
    <w:p w14:paraId="19B7CF04">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p>
    <w:p w14:paraId="0D89D061">
      <w:pPr>
        <w:widowControl w:val="0"/>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lang w:val="en-US" w:eastAsia="zh-CN" w:bidi="ar-SA"/>
        </w:rPr>
      </w:pPr>
    </w:p>
    <w:p w14:paraId="4AA43829">
      <w:pPr>
        <w:widowControl w:val="0"/>
        <w:wordWrap w:val="0"/>
        <w:adjustRightInd w:val="0"/>
        <w:snapToGrid w:val="0"/>
        <w:spacing w:line="360" w:lineRule="auto"/>
        <w:jc w:val="center"/>
        <w:rPr>
          <w:rFonts w:hint="eastAsia" w:ascii="黑体" w:hAnsi="黑体" w:eastAsia="黑体" w:cs="黑体"/>
          <w:b/>
          <w:bCs/>
          <w:snapToGrid w:val="0"/>
          <w:color w:val="auto"/>
          <w:kern w:val="0"/>
          <w:sz w:val="72"/>
          <w:szCs w:val="72"/>
          <w:highlight w:val="none"/>
          <w:lang w:val="en-US" w:eastAsia="zh-CN" w:bidi="ar-SA"/>
        </w:rPr>
      </w:pPr>
      <w:r>
        <w:rPr>
          <w:rFonts w:hint="eastAsia" w:ascii="黑体" w:hAnsi="黑体" w:eastAsia="黑体" w:cs="黑体"/>
          <w:b/>
          <w:bCs/>
          <w:snapToGrid w:val="0"/>
          <w:color w:val="auto"/>
          <w:kern w:val="0"/>
          <w:sz w:val="72"/>
          <w:szCs w:val="72"/>
          <w:highlight w:val="none"/>
          <w:lang w:val="en-US" w:eastAsia="zh-CN" w:bidi="ar-SA"/>
        </w:rPr>
        <w:t>招标文件</w:t>
      </w:r>
    </w:p>
    <w:p w14:paraId="17E69725">
      <w:pPr>
        <w:widowControl w:val="0"/>
        <w:wordWrap w:val="0"/>
        <w:adjustRightInd w:val="0"/>
        <w:snapToGrid w:val="0"/>
        <w:spacing w:line="360" w:lineRule="auto"/>
        <w:jc w:val="center"/>
        <w:rPr>
          <w:rFonts w:hint="eastAsia" w:ascii="黑体" w:hAnsi="黑体" w:eastAsia="黑体" w:cs="黑体"/>
          <w:b/>
          <w:bCs/>
          <w:snapToGrid w:val="0"/>
          <w:color w:val="auto"/>
          <w:kern w:val="0"/>
          <w:sz w:val="72"/>
          <w:szCs w:val="72"/>
          <w:highlight w:val="none"/>
          <w:lang w:val="en-US" w:eastAsia="zh-CN" w:bidi="ar-SA"/>
        </w:rPr>
      </w:pPr>
    </w:p>
    <w:p w14:paraId="0445315F">
      <w:pPr>
        <w:widowControl w:val="0"/>
        <w:jc w:val="left"/>
        <w:rPr>
          <w:rFonts w:hint="eastAsia" w:ascii="宋体" w:hAnsi="宋体" w:eastAsia="宋体" w:cs="宋体"/>
          <w:color w:val="auto"/>
          <w:kern w:val="2"/>
          <w:sz w:val="28"/>
          <w:szCs w:val="20"/>
          <w:highlight w:val="none"/>
          <w:lang w:val="en-US" w:eastAsia="zh-CN" w:bidi="ar-SA"/>
        </w:rPr>
      </w:pPr>
    </w:p>
    <w:tbl>
      <w:tblPr>
        <w:tblStyle w:val="21"/>
        <w:tblpPr w:leftFromText="180" w:rightFromText="180" w:vertAnchor="text" w:horzAnchor="page" w:tblpX="1342" w:tblpY="191"/>
        <w:tblOverlap w:val="never"/>
        <w:tblW w:w="9161" w:type="dxa"/>
        <w:tblInd w:w="0" w:type="dxa"/>
        <w:tblLayout w:type="fixed"/>
        <w:tblCellMar>
          <w:top w:w="0" w:type="dxa"/>
          <w:left w:w="0" w:type="dxa"/>
          <w:bottom w:w="0" w:type="dxa"/>
          <w:right w:w="0" w:type="dxa"/>
        </w:tblCellMar>
      </w:tblPr>
      <w:tblGrid>
        <w:gridCol w:w="4771"/>
        <w:gridCol w:w="4390"/>
      </w:tblGrid>
      <w:tr w14:paraId="55732D86">
        <w:tblPrEx>
          <w:tblCellMar>
            <w:top w:w="0" w:type="dxa"/>
            <w:left w:w="0" w:type="dxa"/>
            <w:bottom w:w="0" w:type="dxa"/>
            <w:right w:w="0" w:type="dxa"/>
          </w:tblCellMar>
        </w:tblPrEx>
        <w:trPr>
          <w:trHeight w:val="868" w:hRule="atLeast"/>
        </w:trPr>
        <w:tc>
          <w:tcPr>
            <w:tcW w:w="4771" w:type="dxa"/>
            <w:noWrap w:val="0"/>
            <w:vAlign w:val="center"/>
          </w:tcPr>
          <w:p w14:paraId="5FE1E285">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标</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人（盖单位章）：</w:t>
            </w:r>
          </w:p>
        </w:tc>
        <w:tc>
          <w:tcPr>
            <w:tcW w:w="4390" w:type="dxa"/>
            <w:noWrap w:val="0"/>
            <w:vAlign w:val="center"/>
          </w:tcPr>
          <w:p w14:paraId="5A056B83">
            <w:pPr>
              <w:pStyle w:val="51"/>
              <w:wordWrap w:val="0"/>
              <w:adjustRightInd w:val="0"/>
              <w:snapToGrid w:val="0"/>
              <w:spacing w:line="240" w:lineRule="auto"/>
              <w:jc w:val="left"/>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val="en-US" w:eastAsia="zh-CN"/>
              </w:rPr>
              <w:t>韶关市浈江区犁市镇人民政府</w:t>
            </w:r>
          </w:p>
        </w:tc>
      </w:tr>
      <w:tr w14:paraId="2BF4B804">
        <w:tblPrEx>
          <w:tblCellMar>
            <w:top w:w="0" w:type="dxa"/>
            <w:left w:w="0" w:type="dxa"/>
            <w:bottom w:w="0" w:type="dxa"/>
            <w:right w:w="0" w:type="dxa"/>
          </w:tblCellMar>
        </w:tblPrEx>
        <w:trPr>
          <w:trHeight w:val="805" w:hRule="atLeast"/>
        </w:trPr>
        <w:tc>
          <w:tcPr>
            <w:tcW w:w="4771" w:type="dxa"/>
            <w:noWrap w:val="0"/>
            <w:vAlign w:val="center"/>
          </w:tcPr>
          <w:p w14:paraId="4884C730">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招标人工作领导小组负责人（签字）：</w:t>
            </w:r>
          </w:p>
        </w:tc>
        <w:tc>
          <w:tcPr>
            <w:tcW w:w="4390" w:type="dxa"/>
            <w:noWrap w:val="0"/>
            <w:vAlign w:val="center"/>
          </w:tcPr>
          <w:p w14:paraId="25884724">
            <w:pPr>
              <w:pStyle w:val="51"/>
              <w:wordWrap w:val="0"/>
              <w:adjustRightInd w:val="0"/>
              <w:snapToGrid w:val="0"/>
              <w:spacing w:line="240" w:lineRule="auto"/>
              <w:jc w:val="left"/>
              <w:rPr>
                <w:rFonts w:hint="eastAsia" w:ascii="Times New Roman"/>
                <w:snapToGrid w:val="0"/>
                <w:color w:val="auto"/>
                <w:kern w:val="0"/>
                <w:sz w:val="28"/>
                <w:szCs w:val="28"/>
                <w:highlight w:val="none"/>
              </w:rPr>
            </w:pPr>
          </w:p>
        </w:tc>
      </w:tr>
      <w:tr w14:paraId="272DC90C">
        <w:tblPrEx>
          <w:tblCellMar>
            <w:top w:w="0" w:type="dxa"/>
            <w:left w:w="0" w:type="dxa"/>
            <w:bottom w:w="0" w:type="dxa"/>
            <w:right w:w="0" w:type="dxa"/>
          </w:tblCellMar>
        </w:tblPrEx>
        <w:trPr>
          <w:trHeight w:val="906" w:hRule="atLeast"/>
        </w:trPr>
        <w:tc>
          <w:tcPr>
            <w:tcW w:w="4771" w:type="dxa"/>
            <w:noWrap w:val="0"/>
            <w:vAlign w:val="center"/>
          </w:tcPr>
          <w:p w14:paraId="645233CA">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 标 代 理 机 构 （盖单位章）：</w:t>
            </w:r>
          </w:p>
        </w:tc>
        <w:tc>
          <w:tcPr>
            <w:tcW w:w="4390" w:type="dxa"/>
            <w:noWrap w:val="0"/>
            <w:vAlign w:val="center"/>
          </w:tcPr>
          <w:p w14:paraId="2A1E8C4C">
            <w:pPr>
              <w:pStyle w:val="51"/>
              <w:wordWrap w:val="0"/>
              <w:adjustRightInd w:val="0"/>
              <w:snapToGrid w:val="0"/>
              <w:spacing w:line="240" w:lineRule="auto"/>
              <w:jc w:val="left"/>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eastAsia="zh-CN"/>
              </w:rPr>
              <w:t>海通国际设计有限公司</w:t>
            </w:r>
          </w:p>
        </w:tc>
      </w:tr>
      <w:tr w14:paraId="65DFFA28">
        <w:tblPrEx>
          <w:tblCellMar>
            <w:top w:w="0" w:type="dxa"/>
            <w:left w:w="0" w:type="dxa"/>
            <w:bottom w:w="0" w:type="dxa"/>
            <w:right w:w="0" w:type="dxa"/>
          </w:tblCellMar>
        </w:tblPrEx>
        <w:trPr>
          <w:trHeight w:val="902" w:hRule="atLeast"/>
        </w:trPr>
        <w:tc>
          <w:tcPr>
            <w:tcW w:w="4771" w:type="dxa"/>
            <w:noWrap w:val="0"/>
            <w:vAlign w:val="center"/>
          </w:tcPr>
          <w:p w14:paraId="42A04EA9">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招标文件编制人（签字）：</w:t>
            </w:r>
          </w:p>
        </w:tc>
        <w:tc>
          <w:tcPr>
            <w:tcW w:w="4390" w:type="dxa"/>
            <w:noWrap w:val="0"/>
            <w:vAlign w:val="center"/>
          </w:tcPr>
          <w:p w14:paraId="10AC6DE4">
            <w:pPr>
              <w:pStyle w:val="51"/>
              <w:wordWrap w:val="0"/>
              <w:adjustRightInd w:val="0"/>
              <w:snapToGrid w:val="0"/>
              <w:spacing w:line="240" w:lineRule="auto"/>
              <w:jc w:val="left"/>
              <w:rPr>
                <w:rFonts w:hint="eastAsia" w:ascii="Times New Roman"/>
                <w:snapToGrid w:val="0"/>
                <w:color w:val="auto"/>
                <w:kern w:val="0"/>
                <w:sz w:val="28"/>
                <w:szCs w:val="28"/>
                <w:highlight w:val="none"/>
              </w:rPr>
            </w:pPr>
          </w:p>
        </w:tc>
      </w:tr>
      <w:tr w14:paraId="54A076AE">
        <w:tblPrEx>
          <w:tblCellMar>
            <w:top w:w="0" w:type="dxa"/>
            <w:left w:w="0" w:type="dxa"/>
            <w:bottom w:w="0" w:type="dxa"/>
            <w:right w:w="0" w:type="dxa"/>
          </w:tblCellMar>
        </w:tblPrEx>
        <w:trPr>
          <w:trHeight w:val="831" w:hRule="atLeast"/>
        </w:trPr>
        <w:tc>
          <w:tcPr>
            <w:tcW w:w="4771" w:type="dxa"/>
            <w:noWrap w:val="0"/>
            <w:vAlign w:val="center"/>
          </w:tcPr>
          <w:p w14:paraId="1A8E058C">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招标代理机构项目负责人（签字）：</w:t>
            </w:r>
          </w:p>
        </w:tc>
        <w:tc>
          <w:tcPr>
            <w:tcW w:w="4390" w:type="dxa"/>
            <w:noWrap w:val="0"/>
            <w:vAlign w:val="center"/>
          </w:tcPr>
          <w:p w14:paraId="5626E139">
            <w:pPr>
              <w:pStyle w:val="51"/>
              <w:wordWrap w:val="0"/>
              <w:adjustRightInd w:val="0"/>
              <w:snapToGrid w:val="0"/>
              <w:spacing w:line="240" w:lineRule="auto"/>
              <w:jc w:val="left"/>
              <w:rPr>
                <w:rFonts w:hint="eastAsia" w:ascii="Times New Roman"/>
                <w:snapToGrid w:val="0"/>
                <w:color w:val="auto"/>
                <w:kern w:val="0"/>
                <w:sz w:val="28"/>
                <w:szCs w:val="28"/>
                <w:highlight w:val="none"/>
              </w:rPr>
            </w:pPr>
          </w:p>
        </w:tc>
      </w:tr>
      <w:tr w14:paraId="5642B542">
        <w:tblPrEx>
          <w:tblCellMar>
            <w:top w:w="0" w:type="dxa"/>
            <w:left w:w="0" w:type="dxa"/>
            <w:bottom w:w="0" w:type="dxa"/>
            <w:right w:w="0" w:type="dxa"/>
          </w:tblCellMar>
        </w:tblPrEx>
        <w:trPr>
          <w:trHeight w:val="1075" w:hRule="atLeast"/>
        </w:trPr>
        <w:tc>
          <w:tcPr>
            <w:tcW w:w="4771" w:type="dxa"/>
            <w:noWrap w:val="0"/>
            <w:vAlign w:val="center"/>
          </w:tcPr>
          <w:p w14:paraId="09950E2D">
            <w:pPr>
              <w:pStyle w:val="51"/>
              <w:wordWrap w:val="0"/>
              <w:adjustRightInd w:val="0"/>
              <w:snapToGrid w:val="0"/>
              <w:spacing w:line="240" w:lineRule="auto"/>
              <w:jc w:val="distribute"/>
              <w:rPr>
                <w:rFonts w:hint="eastAsia"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招标文件编制日期：</w:t>
            </w:r>
          </w:p>
        </w:tc>
        <w:tc>
          <w:tcPr>
            <w:tcW w:w="4390" w:type="dxa"/>
            <w:noWrap w:val="0"/>
            <w:vAlign w:val="center"/>
          </w:tcPr>
          <w:p w14:paraId="05578379">
            <w:pPr>
              <w:pStyle w:val="51"/>
              <w:wordWrap w:val="0"/>
              <w:adjustRightInd w:val="0"/>
              <w:snapToGrid w:val="0"/>
              <w:spacing w:line="240" w:lineRule="auto"/>
              <w:jc w:val="left"/>
              <w:rPr>
                <w:rFonts w:ascii="Times New Roman"/>
                <w:snapToGrid w:val="0"/>
                <w:color w:val="auto"/>
                <w:kern w:val="0"/>
                <w:sz w:val="28"/>
                <w:highlight w:val="none"/>
              </w:rPr>
            </w:pPr>
            <w:r>
              <w:rPr>
                <w:rFonts w:hint="eastAsia" w:ascii="Times New Roman"/>
                <w:snapToGrid w:val="0"/>
                <w:color w:val="auto"/>
                <w:kern w:val="0"/>
                <w:sz w:val="28"/>
                <w:highlight w:val="none"/>
                <w:lang w:eastAsia="zh-CN"/>
              </w:rPr>
              <w:t>202</w:t>
            </w:r>
            <w:r>
              <w:rPr>
                <w:rFonts w:hint="eastAsia" w:ascii="Times New Roman"/>
                <w:snapToGrid w:val="0"/>
                <w:color w:val="auto"/>
                <w:kern w:val="0"/>
                <w:sz w:val="28"/>
                <w:highlight w:val="none"/>
                <w:lang w:val="en-US" w:eastAsia="zh-CN"/>
              </w:rPr>
              <w:t>6</w:t>
            </w:r>
            <w:r>
              <w:rPr>
                <w:rFonts w:hint="eastAsia" w:ascii="Times New Roman"/>
                <w:snapToGrid w:val="0"/>
                <w:color w:val="auto"/>
                <w:kern w:val="0"/>
                <w:sz w:val="28"/>
                <w:highlight w:val="none"/>
              </w:rPr>
              <w:t>年</w:t>
            </w:r>
            <w:r>
              <w:rPr>
                <w:rFonts w:hint="eastAsia" w:ascii="Times New Roman"/>
                <w:snapToGrid w:val="0"/>
                <w:color w:val="auto"/>
                <w:kern w:val="0"/>
                <w:sz w:val="28"/>
                <w:highlight w:val="none"/>
                <w:lang w:val="en-US" w:eastAsia="zh-CN"/>
              </w:rPr>
              <w:t>4</w:t>
            </w:r>
            <w:r>
              <w:rPr>
                <w:rFonts w:hint="eastAsia" w:ascii="Times New Roman"/>
                <w:snapToGrid w:val="0"/>
                <w:color w:val="auto"/>
                <w:kern w:val="0"/>
                <w:sz w:val="28"/>
                <w:highlight w:val="none"/>
              </w:rPr>
              <w:t>月</w:t>
            </w:r>
          </w:p>
        </w:tc>
      </w:tr>
    </w:tbl>
    <w:p w14:paraId="51C7D66C">
      <w:pPr>
        <w:rPr>
          <w:rFonts w:hint="eastAsia" w:ascii="宋体" w:hAnsi="宋体" w:eastAsia="宋体" w:cs="宋体"/>
          <w:color w:val="auto"/>
          <w:lang w:eastAsia="zh-CN"/>
        </w:rPr>
      </w:pPr>
    </w:p>
    <w:p w14:paraId="23510407">
      <w:pPr>
        <w:shd w:val="clear" w:color="auto" w:fill="auto"/>
        <w:spacing w:line="240" w:lineRule="auto"/>
        <w:jc w:val="center"/>
        <w:outlineLvl w:val="9"/>
        <w:rPr>
          <w:rFonts w:hint="eastAsia" w:ascii="宋体" w:hAnsi="宋体" w:eastAsia="宋体" w:cs="宋体"/>
          <w:b/>
          <w:bCs/>
          <w:color w:val="auto"/>
          <w:sz w:val="44"/>
          <w:szCs w:val="44"/>
          <w:highlight w:val="none"/>
        </w:rPr>
        <w:sectPr>
          <w:headerReference r:id="rId3" w:type="default"/>
          <w:footerReference r:id="rId4" w:type="default"/>
          <w:pgSz w:w="11906" w:h="16838"/>
          <w:pgMar w:top="1134" w:right="1134" w:bottom="1134" w:left="1134" w:header="851" w:footer="850" w:gutter="0"/>
          <w:pgBorders>
            <w:top w:val="none" w:sz="0" w:space="0"/>
            <w:left w:val="none" w:sz="0" w:space="0"/>
            <w:bottom w:val="none" w:sz="0" w:space="0"/>
            <w:right w:val="none" w:sz="0" w:space="0"/>
          </w:pgBorders>
          <w:pgNumType w:fmt="decimal" w:start="0"/>
          <w:cols w:space="0" w:num="1"/>
          <w:rtlGutter w:val="0"/>
          <w:docGrid w:type="lines" w:linePitch="312" w:charSpace="0"/>
        </w:sectPr>
      </w:pPr>
    </w:p>
    <w:p w14:paraId="3AC6F9BF">
      <w:pPr>
        <w:shd w:val="clear" w:color="auto" w:fill="auto"/>
        <w:spacing w:line="240" w:lineRule="auto"/>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42FF43DE">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_Toc8566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第一章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招标公告</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_Toc8566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3692A13">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_Toc28710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第二章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投标人须知</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_Toc28710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0A02A69">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_Toc8081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一、投标人须知前附表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_Toc8081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A15A540">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_Toc11980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二、重要事项时间地点一览表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_Toc11980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1F63B80">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_Toc6353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三、投标人须知</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_Toc6353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11</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17FCFA0">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_Toc788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一</w:t>
      </w:r>
      <w:r>
        <w:rPr>
          <w:rFonts w:hint="eastAsia" w:ascii="宋体" w:hAnsi="宋体" w:eastAsia="宋体" w:cs="宋体"/>
          <w:b w:val="0"/>
          <w:bCs w:val="0"/>
          <w:color w:val="auto"/>
          <w:kern w:val="0"/>
          <w:sz w:val="24"/>
          <w:szCs w:val="24"/>
          <w:highlight w:val="none"/>
        </w:rPr>
        <w:t>）总</w:t>
      </w: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rPr>
        <w:t>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_Toc788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11</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5A9D0F6">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_Toc15625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二</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投标否决</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_Toc15625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E4DF130">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_Toc4062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三</w:t>
      </w:r>
      <w:r>
        <w:rPr>
          <w:rFonts w:hint="eastAsia" w:ascii="宋体" w:hAnsi="宋体" w:eastAsia="宋体" w:cs="宋体"/>
          <w:b w:val="0"/>
          <w:bCs w:val="0"/>
          <w:color w:val="auto"/>
          <w:kern w:val="0"/>
          <w:sz w:val="24"/>
          <w:szCs w:val="24"/>
          <w:highlight w:val="none"/>
        </w:rPr>
        <w:t>）招标文件</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_Toc4062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9CEE172">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_Toc5230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四</w:t>
      </w:r>
      <w:r>
        <w:rPr>
          <w:rFonts w:hint="eastAsia" w:ascii="宋体" w:hAnsi="宋体" w:eastAsia="宋体" w:cs="宋体"/>
          <w:b w:val="0"/>
          <w:bCs w:val="0"/>
          <w:color w:val="auto"/>
          <w:sz w:val="24"/>
          <w:szCs w:val="24"/>
        </w:rPr>
        <w:t>）投标文件</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_Toc5230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19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E83CB9A">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_Toc20998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五</w:t>
      </w:r>
      <w:r>
        <w:rPr>
          <w:rFonts w:hint="eastAsia" w:ascii="宋体" w:hAnsi="宋体" w:eastAsia="宋体" w:cs="宋体"/>
          <w:b w:val="0"/>
          <w:bCs w:val="0"/>
          <w:color w:val="auto"/>
          <w:sz w:val="24"/>
          <w:szCs w:val="24"/>
        </w:rPr>
        <w:t>）开标规定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_Toc20998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C3B39E7">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_Toc12314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）评标</w:t>
      </w:r>
      <w:r>
        <w:rPr>
          <w:rFonts w:hint="eastAsia" w:ascii="宋体" w:hAnsi="宋体" w:eastAsia="宋体" w:cs="宋体"/>
          <w:b w:val="0"/>
          <w:bCs w:val="0"/>
          <w:color w:val="auto"/>
          <w:sz w:val="24"/>
          <w:szCs w:val="24"/>
          <w:lang w:eastAsia="zh-CN"/>
        </w:rPr>
        <w:t>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_Toc12314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E1C327A">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_Toc10039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七</w:t>
      </w:r>
      <w:r>
        <w:rPr>
          <w:rFonts w:hint="eastAsia" w:ascii="宋体" w:hAnsi="宋体" w:eastAsia="宋体" w:cs="宋体"/>
          <w:b w:val="0"/>
          <w:bCs w:val="0"/>
          <w:color w:val="auto"/>
          <w:sz w:val="24"/>
          <w:szCs w:val="24"/>
        </w:rPr>
        <w:t>）定标</w:t>
      </w:r>
      <w:r>
        <w:rPr>
          <w:rFonts w:hint="eastAsia" w:ascii="宋体" w:hAnsi="宋体" w:eastAsia="宋体" w:cs="宋体"/>
          <w:b w:val="0"/>
          <w:bCs w:val="0"/>
          <w:color w:val="auto"/>
          <w:sz w:val="24"/>
          <w:szCs w:val="24"/>
          <w:lang w:eastAsia="zh-CN"/>
        </w:rPr>
        <w:t>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_Toc10039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53DF02C">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_Toc19457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八</w:t>
      </w:r>
      <w:r>
        <w:rPr>
          <w:rFonts w:hint="eastAsia" w:ascii="宋体" w:hAnsi="宋体" w:eastAsia="宋体" w:cs="宋体"/>
          <w:b w:val="0"/>
          <w:bCs w:val="0"/>
          <w:color w:val="auto"/>
          <w:sz w:val="24"/>
          <w:szCs w:val="24"/>
        </w:rPr>
        <w:t>）中标确认</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_Toc19457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29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6F0C295">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_Toc17580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九</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合同授予</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_Toc17580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CCD7F9A">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_Toc21828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rPr>
        <w:t>）电子管理规定</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_Toc21828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31</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13244FE">
      <w:pPr>
        <w:pStyle w:val="12"/>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_Toc25765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十</w:t>
      </w:r>
      <w:r>
        <w:rPr>
          <w:rFonts w:hint="eastAsia" w:ascii="宋体" w:hAnsi="宋体" w:eastAsia="宋体" w:cs="宋体"/>
          <w:b w:val="0"/>
          <w:bCs w:val="0"/>
          <w:color w:val="auto"/>
          <w:sz w:val="24"/>
          <w:szCs w:val="24"/>
          <w:lang w:val="en-US" w:eastAsia="zh-CN"/>
        </w:rPr>
        <w:t>一</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其他</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_Toc25765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33</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498E3AE">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_Toc8246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第三章   评标</w:t>
      </w:r>
      <w:r>
        <w:rPr>
          <w:rFonts w:hint="eastAsia" w:ascii="宋体" w:hAnsi="宋体" w:eastAsia="宋体" w:cs="宋体"/>
          <w:b w:val="0"/>
          <w:bCs w:val="0"/>
          <w:color w:val="auto"/>
          <w:sz w:val="24"/>
          <w:szCs w:val="24"/>
          <w:lang w:eastAsia="zh-CN"/>
        </w:rPr>
        <w:t>定标</w:t>
      </w:r>
      <w:r>
        <w:rPr>
          <w:rFonts w:hint="eastAsia" w:ascii="宋体" w:hAnsi="宋体" w:eastAsia="宋体" w:cs="宋体"/>
          <w:b w:val="0"/>
          <w:bCs w:val="0"/>
          <w:color w:val="auto"/>
          <w:sz w:val="24"/>
          <w:szCs w:val="24"/>
        </w:rPr>
        <w:t>办法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_Toc8246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9981410">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_Toc26840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一、评标</w:t>
      </w:r>
      <w:r>
        <w:rPr>
          <w:rFonts w:hint="eastAsia" w:ascii="宋体" w:hAnsi="宋体" w:eastAsia="宋体" w:cs="宋体"/>
          <w:b w:val="0"/>
          <w:bCs w:val="0"/>
          <w:color w:val="auto"/>
          <w:sz w:val="24"/>
          <w:szCs w:val="24"/>
          <w:lang w:eastAsia="zh-CN"/>
        </w:rPr>
        <w:t>定标</w:t>
      </w:r>
      <w:r>
        <w:rPr>
          <w:rFonts w:hint="eastAsia" w:ascii="宋体" w:hAnsi="宋体" w:eastAsia="宋体" w:cs="宋体"/>
          <w:b w:val="0"/>
          <w:bCs w:val="0"/>
          <w:color w:val="auto"/>
          <w:sz w:val="24"/>
          <w:szCs w:val="24"/>
        </w:rPr>
        <w:t>原则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_Toc26840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9FFDA13">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_Toc13215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、评标</w:t>
      </w:r>
      <w:r>
        <w:rPr>
          <w:rFonts w:hint="eastAsia" w:ascii="宋体" w:hAnsi="宋体" w:eastAsia="宋体" w:cs="宋体"/>
          <w:b w:val="0"/>
          <w:bCs w:val="0"/>
          <w:color w:val="auto"/>
          <w:sz w:val="24"/>
          <w:szCs w:val="24"/>
          <w:lang w:val="en-US" w:eastAsia="zh-CN"/>
        </w:rPr>
        <w:t>定标</w:t>
      </w:r>
      <w:r>
        <w:rPr>
          <w:rFonts w:hint="eastAsia" w:ascii="宋体" w:hAnsi="宋体" w:eastAsia="宋体" w:cs="宋体"/>
          <w:b w:val="0"/>
          <w:bCs w:val="0"/>
          <w:color w:val="auto"/>
          <w:sz w:val="24"/>
          <w:szCs w:val="24"/>
          <w:lang w:eastAsia="zh-CN"/>
        </w:rPr>
        <w:t>规则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_Toc13215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5179156">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_Toc24880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三、评标细则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_Toc24880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95087F0">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_Toc31485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四、定标细则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_Toc31485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37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CADEB0D">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_Toc8582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第四章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投标文件格式</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_Toc8582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A2B77B2">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_Toc32717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格式一</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封面</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_Toc32717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405AE6E">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_Toc9797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格式二</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投标函</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_Toc9797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14E4FF9">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_Toc2597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eastAsia="zh-CN"/>
        </w:rPr>
        <w:t>格式三</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各项承诺一览表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_Toc2597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35837C7">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_Toc18202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格式四   法定代表人身份证明</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_Toc18202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49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946A032">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_Toc19245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格式五   授权委托书</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_Toc19245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1B855BA">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_Toc28692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格式六   投标人基本情况表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_Toc28692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51</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261C767">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_Toc2093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格式七   项目经理简历表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_Toc2093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52</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67FB05B">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_Toc7400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格式八   项目经理任职声明</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_Toc7400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53</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830F311">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_Toc13137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格式九   项目技术负责人简历表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_Toc13137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54</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1308D8CB">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_Toc28470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   专职安全员简历表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_Toc28470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250B9D7">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_Toc1879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格式十一   项目管理机构组成表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_Toc1879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465C7248">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_Toc16377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格式十二   建造师查询页（有效期+建造师签字）</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_Toc16377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58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2E001DA9">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_Toc9651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格式十三   危险性较大的分部分项工程清单及超过一定规模的危险性较大的分部分项工程清单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_Toc9651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60</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3FEDA6A">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_Toc19859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格式十四   履约保函</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_Toc19859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58AF2083">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_Toc29437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格式十五   助力项目承诺书</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_Toc29437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7A1CA78E">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_Toc29452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格式十六   原件一览表</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_Toc29452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67</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68A2CF1">
      <w:pPr>
        <w:pStyle w:val="17"/>
        <w:tabs>
          <w:tab w:val="right" w:leader="dot" w:pos="9638"/>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_Toc2979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lang w:val="en-US" w:eastAsia="zh-CN"/>
        </w:rPr>
        <w:t>格式十七   定标因素评审资料</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_Toc2979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68</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8874DFD">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_Toc31363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第五章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合同文件格式</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_Toc31363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3F077B33">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_Toc15144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第六章</w:t>
      </w:r>
      <w:r>
        <w:rPr>
          <w:rFonts w:hint="eastAsia" w:ascii="宋体" w:hAnsi="宋体" w:eastAsia="宋体" w:cs="宋体"/>
          <w:b w:val="0"/>
          <w:bCs w:val="0"/>
          <w:color w:val="auto"/>
          <w:sz w:val="24"/>
          <w:szCs w:val="24"/>
          <w:lang w:val="en-US" w:eastAsia="zh-CN"/>
        </w:rPr>
        <w:t xml:space="preserve">  </w:t>
      </w:r>
      <w:r>
        <w:rPr>
          <w:rFonts w:hint="eastAsia"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施工图纸</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_Toc15144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69</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07148D23">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_Toc27612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第七章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工程量清单</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_Toc27612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95</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8B94631">
      <w:pPr>
        <w:pStyle w:val="16"/>
        <w:tabs>
          <w:tab w:val="right" w:leader="dot" w:pos="9638"/>
          <w:tab w:val="clear" w:pos="8296"/>
        </w:tabs>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_Toc29316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rPr>
        <w:t>第八章</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最高投标限</w:t>
      </w:r>
      <w:r>
        <w:rPr>
          <w:rFonts w:hint="eastAsia" w:ascii="宋体" w:hAnsi="宋体" w:eastAsia="宋体" w:cs="宋体"/>
          <w:b w:val="0"/>
          <w:bCs w:val="0"/>
          <w:color w:val="auto"/>
          <w:sz w:val="24"/>
          <w:szCs w:val="24"/>
        </w:rPr>
        <w:t>价</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PAGEREF _Toc29316 \h </w:instrText>
      </w:r>
      <w:r>
        <w:rPr>
          <w:rFonts w:hint="eastAsia" w:ascii="宋体" w:hAnsi="宋体" w:eastAsia="宋体" w:cs="宋体"/>
          <w:b w:val="0"/>
          <w:bCs w:val="0"/>
          <w:color w:val="auto"/>
          <w:sz w:val="24"/>
          <w:szCs w:val="24"/>
        </w:rPr>
        <w:fldChar w:fldCharType="separate"/>
      </w:r>
      <w:r>
        <w:rPr>
          <w:rFonts w:hint="eastAsia" w:ascii="宋体" w:hAnsi="宋体" w:eastAsia="宋体" w:cs="宋体"/>
          <w:b w:val="0"/>
          <w:bCs w:val="0"/>
          <w:color w:val="auto"/>
          <w:sz w:val="24"/>
          <w:szCs w:val="24"/>
        </w:rPr>
        <w:t>96</w:t>
      </w:r>
      <w:r>
        <w:rPr>
          <w:rFonts w:hint="eastAsia" w:ascii="宋体" w:hAnsi="宋体" w:eastAsia="宋体" w:cs="宋体"/>
          <w:b w:val="0"/>
          <w:bCs w:val="0"/>
          <w:color w:val="auto"/>
          <w:sz w:val="24"/>
          <w:szCs w:val="24"/>
        </w:rPr>
        <w:fldChar w:fldCharType="end"/>
      </w:r>
      <w:r>
        <w:rPr>
          <w:rFonts w:hint="eastAsia" w:ascii="宋体" w:hAnsi="宋体" w:eastAsia="宋体" w:cs="宋体"/>
          <w:b w:val="0"/>
          <w:bCs w:val="0"/>
          <w:color w:val="auto"/>
          <w:sz w:val="24"/>
          <w:szCs w:val="24"/>
          <w:highlight w:val="none"/>
        </w:rPr>
        <w:fldChar w:fldCharType="end"/>
      </w:r>
    </w:p>
    <w:p w14:paraId="64290BB7">
      <w:pPr>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rPr>
        <w:fldChar w:fldCharType="end"/>
      </w:r>
    </w:p>
    <w:p w14:paraId="08BB4BAF">
      <w:pPr>
        <w:pStyle w:val="3"/>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bCs/>
          <w:color w:val="auto"/>
          <w:sz w:val="32"/>
          <w:szCs w:val="32"/>
          <w:highlight w:val="none"/>
        </w:rPr>
      </w:pPr>
      <w:bookmarkStart w:id="0" w:name="_Toc8566"/>
      <w:r>
        <w:rPr>
          <w:rFonts w:hint="eastAsia" w:ascii="宋体" w:hAnsi="宋体" w:eastAsia="宋体" w:cs="宋体"/>
          <w:color w:val="auto"/>
          <w:sz w:val="32"/>
          <w:szCs w:val="32"/>
          <w:highlight w:val="none"/>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招标公告</w:t>
      </w:r>
      <w:bookmarkEnd w:id="0"/>
    </w:p>
    <w:p w14:paraId="7D70B6EB">
      <w:pPr>
        <w:shd w:val="clear" w:color="auto" w:fill="auto"/>
        <w:spacing w:line="240" w:lineRule="auto"/>
        <w:jc w:val="center"/>
        <w:rPr>
          <w:rFonts w:hint="eastAsia" w:ascii="宋体" w:hAnsi="宋体" w:eastAsia="宋体" w:cs="宋体"/>
          <w:b/>
          <w:bCs w:val="0"/>
          <w:i w:val="0"/>
          <w:color w:val="auto"/>
          <w:kern w:val="0"/>
          <w:sz w:val="30"/>
          <w:szCs w:val="30"/>
          <w:highlight w:val="none"/>
          <w:u w:val="none"/>
          <w:lang w:val="en-US" w:eastAsia="zh-CN" w:bidi="ar"/>
        </w:rPr>
      </w:pPr>
      <w:r>
        <w:rPr>
          <w:rFonts w:hint="eastAsia" w:ascii="宋体" w:hAnsi="宋体" w:cs="宋体"/>
          <w:b/>
          <w:bCs w:val="0"/>
          <w:i w:val="0"/>
          <w:color w:val="auto"/>
          <w:kern w:val="0"/>
          <w:sz w:val="30"/>
          <w:szCs w:val="30"/>
          <w:highlight w:val="none"/>
          <w:u w:val="none"/>
          <w:lang w:val="en-US" w:eastAsia="zh-CN" w:bidi="ar"/>
        </w:rPr>
        <w:t>浈江区犁市镇内腾村人居环境整治提升项目施工</w:t>
      </w:r>
      <w:r>
        <w:rPr>
          <w:rFonts w:hint="eastAsia" w:ascii="宋体" w:hAnsi="宋体" w:eastAsia="宋体" w:cs="宋体"/>
          <w:b/>
          <w:bCs w:val="0"/>
          <w:i w:val="0"/>
          <w:color w:val="auto"/>
          <w:kern w:val="0"/>
          <w:sz w:val="30"/>
          <w:szCs w:val="30"/>
          <w:highlight w:val="none"/>
          <w:u w:val="none"/>
          <w:lang w:val="en-US" w:eastAsia="zh-CN" w:bidi="ar"/>
        </w:rPr>
        <w:t>招标公告</w:t>
      </w:r>
    </w:p>
    <w:tbl>
      <w:tblPr>
        <w:tblStyle w:val="21"/>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943"/>
        <w:gridCol w:w="995"/>
        <w:gridCol w:w="662"/>
        <w:gridCol w:w="691"/>
        <w:gridCol w:w="175"/>
        <w:gridCol w:w="481"/>
        <w:gridCol w:w="355"/>
        <w:gridCol w:w="1402"/>
        <w:gridCol w:w="1202"/>
      </w:tblGrid>
      <w:tr w14:paraId="0C7C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13109A75">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投资项目代码/</w:t>
            </w:r>
          </w:p>
          <w:p w14:paraId="3CD9FA4D">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lang w:val="en-US"/>
              </w:rPr>
            </w:pPr>
            <w:r>
              <w:rPr>
                <w:rFonts w:hint="eastAsia" w:ascii="宋体" w:hAnsi="宋体" w:eastAsia="宋体" w:cs="宋体"/>
                <w:b w:val="0"/>
                <w:bCs w:val="0"/>
                <w:i w:val="0"/>
                <w:color w:val="auto"/>
                <w:kern w:val="0"/>
                <w:sz w:val="24"/>
                <w:szCs w:val="24"/>
                <w:highlight w:val="none"/>
                <w:u w:val="none"/>
                <w:lang w:val="en-US" w:eastAsia="zh-CN" w:bidi="ar"/>
              </w:rPr>
              <w:t>项目备案号</w:t>
            </w:r>
          </w:p>
        </w:tc>
        <w:tc>
          <w:tcPr>
            <w:tcW w:w="7906" w:type="dxa"/>
            <w:gridSpan w:val="9"/>
            <w:tcBorders>
              <w:top w:val="single" w:color="auto" w:sz="4" w:space="0"/>
              <w:left w:val="single" w:color="auto" w:sz="4" w:space="0"/>
              <w:bottom w:val="single" w:color="auto" w:sz="4" w:space="0"/>
              <w:right w:val="single" w:color="auto" w:sz="4" w:space="0"/>
            </w:tcBorders>
            <w:noWrap w:val="0"/>
            <w:vAlign w:val="center"/>
          </w:tcPr>
          <w:p w14:paraId="2FCCFC87">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2601-440204-04-01-636216</w:t>
            </w:r>
          </w:p>
        </w:tc>
      </w:tr>
      <w:tr w14:paraId="1D39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3CAEEAD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投资项目名称</w:t>
            </w:r>
          </w:p>
        </w:tc>
        <w:tc>
          <w:tcPr>
            <w:tcW w:w="7906" w:type="dxa"/>
            <w:gridSpan w:val="9"/>
            <w:tcBorders>
              <w:top w:val="single" w:color="auto" w:sz="4" w:space="0"/>
              <w:left w:val="single" w:color="auto" w:sz="4" w:space="0"/>
              <w:bottom w:val="single" w:color="auto" w:sz="4" w:space="0"/>
              <w:right w:val="single" w:color="auto" w:sz="4" w:space="0"/>
            </w:tcBorders>
            <w:noWrap w:val="0"/>
            <w:vAlign w:val="center"/>
          </w:tcPr>
          <w:p w14:paraId="6A73BCCF">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浈江区犁市镇内腾村人居环境整治提升项目</w:t>
            </w:r>
          </w:p>
        </w:tc>
      </w:tr>
      <w:tr w14:paraId="0F6C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4C2D4FF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招标项目名称</w:t>
            </w:r>
          </w:p>
        </w:tc>
        <w:tc>
          <w:tcPr>
            <w:tcW w:w="7906" w:type="dxa"/>
            <w:gridSpan w:val="9"/>
            <w:tcBorders>
              <w:top w:val="single" w:color="auto" w:sz="4" w:space="0"/>
              <w:left w:val="single" w:color="auto" w:sz="4" w:space="0"/>
              <w:bottom w:val="single" w:color="auto" w:sz="4" w:space="0"/>
              <w:right w:val="single" w:color="auto" w:sz="4" w:space="0"/>
            </w:tcBorders>
            <w:noWrap w:val="0"/>
            <w:vAlign w:val="center"/>
          </w:tcPr>
          <w:p w14:paraId="6366B7F5">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浈江区犁市镇内腾村人居环境整治提升项目施工</w:t>
            </w:r>
          </w:p>
        </w:tc>
      </w:tr>
      <w:tr w14:paraId="0ADE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auto" w:sz="4" w:space="0"/>
              <w:left w:val="single" w:color="000000" w:sz="4" w:space="0"/>
              <w:bottom w:val="single" w:color="000000" w:sz="4" w:space="0"/>
              <w:right w:val="single" w:color="000000" w:sz="4" w:space="0"/>
            </w:tcBorders>
            <w:noWrap w:val="0"/>
            <w:vAlign w:val="center"/>
          </w:tcPr>
          <w:p w14:paraId="0603163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标段名称</w:t>
            </w:r>
          </w:p>
        </w:tc>
        <w:tc>
          <w:tcPr>
            <w:tcW w:w="5302" w:type="dxa"/>
            <w:gridSpan w:val="7"/>
            <w:tcBorders>
              <w:top w:val="single" w:color="auto" w:sz="4" w:space="0"/>
              <w:left w:val="single" w:color="000000" w:sz="4" w:space="0"/>
              <w:bottom w:val="single" w:color="000000" w:sz="4" w:space="0"/>
              <w:right w:val="single" w:color="000000" w:sz="4" w:space="0"/>
            </w:tcBorders>
            <w:noWrap w:val="0"/>
            <w:vAlign w:val="center"/>
          </w:tcPr>
          <w:p w14:paraId="67582928">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浈江区犁市镇内腾村人居环境整治提升项目施工</w:t>
            </w:r>
          </w:p>
        </w:tc>
        <w:tc>
          <w:tcPr>
            <w:tcW w:w="1402" w:type="dxa"/>
            <w:tcBorders>
              <w:top w:val="single" w:color="auto" w:sz="4" w:space="0"/>
              <w:left w:val="single" w:color="000000" w:sz="4" w:space="0"/>
              <w:bottom w:val="single" w:color="000000" w:sz="4" w:space="0"/>
              <w:right w:val="single" w:color="auto" w:sz="4" w:space="0"/>
            </w:tcBorders>
            <w:noWrap w:val="0"/>
            <w:vAlign w:val="center"/>
          </w:tcPr>
          <w:p w14:paraId="64D4ED8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公告性质</w:t>
            </w:r>
          </w:p>
        </w:tc>
        <w:tc>
          <w:tcPr>
            <w:tcW w:w="1202" w:type="dxa"/>
            <w:tcBorders>
              <w:top w:val="single" w:color="auto" w:sz="4" w:space="0"/>
              <w:left w:val="single" w:color="auto" w:sz="4" w:space="0"/>
              <w:bottom w:val="single" w:color="000000" w:sz="4" w:space="0"/>
              <w:right w:val="single" w:color="000000" w:sz="4" w:space="0"/>
            </w:tcBorders>
            <w:noWrap w:val="0"/>
            <w:vAlign w:val="center"/>
          </w:tcPr>
          <w:p w14:paraId="4594573E">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正常</w:t>
            </w:r>
          </w:p>
        </w:tc>
      </w:tr>
      <w:tr w14:paraId="6CA4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86" w:type="dxa"/>
            <w:tcBorders>
              <w:top w:val="single" w:color="auto" w:sz="4" w:space="0"/>
              <w:left w:val="single" w:color="000000" w:sz="4" w:space="0"/>
              <w:bottom w:val="single" w:color="000000" w:sz="4" w:space="0"/>
              <w:right w:val="single" w:color="000000" w:sz="4" w:space="0"/>
            </w:tcBorders>
            <w:noWrap w:val="0"/>
            <w:vAlign w:val="center"/>
          </w:tcPr>
          <w:p w14:paraId="1F51AC3D">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资格审查方式</w:t>
            </w:r>
          </w:p>
        </w:tc>
        <w:tc>
          <w:tcPr>
            <w:tcW w:w="7906" w:type="dxa"/>
            <w:gridSpan w:val="9"/>
            <w:tcBorders>
              <w:top w:val="single" w:color="auto" w:sz="4" w:space="0"/>
              <w:left w:val="single" w:color="000000" w:sz="4" w:space="0"/>
              <w:bottom w:val="single" w:color="000000" w:sz="4" w:space="0"/>
              <w:right w:val="single" w:color="000000" w:sz="4" w:space="0"/>
            </w:tcBorders>
            <w:noWrap w:val="0"/>
            <w:vAlign w:val="center"/>
          </w:tcPr>
          <w:p w14:paraId="10C22B1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资格后审</w:t>
            </w:r>
          </w:p>
        </w:tc>
      </w:tr>
      <w:tr w14:paraId="3EB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3BB820F">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招标项目</w:t>
            </w:r>
          </w:p>
          <w:p w14:paraId="2442689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实施地点</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4CB9A2D8">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cs="宋体"/>
                <w:bCs/>
                <w:snapToGrid w:val="0"/>
                <w:color w:val="auto"/>
                <w:kern w:val="0"/>
                <w:sz w:val="24"/>
                <w:szCs w:val="24"/>
                <w:highlight w:val="none"/>
                <w:lang w:val="en-US" w:eastAsia="zh-CN"/>
              </w:rPr>
              <w:t>韶关市浈江区犁市镇内腾村</w:t>
            </w:r>
          </w:p>
        </w:tc>
      </w:tr>
      <w:tr w14:paraId="4D1F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2414F9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资金来源</w:t>
            </w:r>
          </w:p>
        </w:tc>
        <w:tc>
          <w:tcPr>
            <w:tcW w:w="2938" w:type="dxa"/>
            <w:gridSpan w:val="2"/>
            <w:tcBorders>
              <w:top w:val="single" w:color="000000" w:sz="4" w:space="0"/>
              <w:left w:val="single" w:color="000000" w:sz="4" w:space="0"/>
              <w:bottom w:val="single" w:color="000000" w:sz="4" w:space="0"/>
              <w:right w:val="nil"/>
            </w:tcBorders>
            <w:noWrap w:val="0"/>
            <w:vAlign w:val="center"/>
          </w:tcPr>
          <w:p w14:paraId="0D54F9DF">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cs="宋体"/>
                <w:bCs/>
                <w:snapToGrid w:val="0"/>
                <w:color w:val="auto"/>
                <w:kern w:val="0"/>
                <w:sz w:val="24"/>
                <w:szCs w:val="24"/>
                <w:highlight w:val="none"/>
                <w:lang w:val="en-US" w:eastAsia="zh-CN"/>
              </w:rPr>
              <w:t>上级财政投资、地方配套和自筹解决</w:t>
            </w:r>
          </w:p>
        </w:tc>
        <w:tc>
          <w:tcPr>
            <w:tcW w:w="1353" w:type="dxa"/>
            <w:gridSpan w:val="2"/>
            <w:tcBorders>
              <w:top w:val="single" w:color="000000" w:sz="4" w:space="0"/>
              <w:left w:val="single" w:color="000000" w:sz="4" w:space="0"/>
              <w:bottom w:val="single" w:color="000000" w:sz="4" w:space="0"/>
              <w:right w:val="single" w:color="000000" w:sz="4" w:space="0"/>
            </w:tcBorders>
            <w:noWrap w:val="0"/>
            <w:vAlign w:val="center"/>
          </w:tcPr>
          <w:p w14:paraId="0122AF34">
            <w:pPr>
              <w:keepNext w:val="0"/>
              <w:keepLines w:val="0"/>
              <w:widowControl/>
              <w:suppressLineNumbers w:val="0"/>
              <w:shd w:val="clear" w:color="auto" w:fill="auto"/>
              <w:spacing w:line="360" w:lineRule="auto"/>
              <w:jc w:val="center"/>
              <w:textAlignment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资金到位情况</w:t>
            </w:r>
          </w:p>
        </w:tc>
        <w:tc>
          <w:tcPr>
            <w:tcW w:w="3615" w:type="dxa"/>
            <w:gridSpan w:val="5"/>
            <w:tcBorders>
              <w:top w:val="single" w:color="000000" w:sz="4" w:space="0"/>
              <w:left w:val="nil"/>
              <w:bottom w:val="single" w:color="000000" w:sz="4" w:space="0"/>
              <w:right w:val="single" w:color="000000" w:sz="4" w:space="0"/>
            </w:tcBorders>
            <w:noWrap w:val="0"/>
            <w:vAlign w:val="center"/>
          </w:tcPr>
          <w:p w14:paraId="2D2F8AC6">
            <w:pPr>
              <w:keepNext w:val="0"/>
              <w:keepLines w:val="0"/>
              <w:widowControl/>
              <w:suppressLineNumbers w:val="0"/>
              <w:shd w:val="clear" w:color="auto" w:fill="auto"/>
              <w:spacing w:line="360" w:lineRule="auto"/>
              <w:jc w:val="center"/>
              <w:textAlignment w:val="center"/>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已落实</w:t>
            </w:r>
          </w:p>
        </w:tc>
      </w:tr>
      <w:tr w14:paraId="2F92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A82E36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招标范围及规模</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7FD2A3C0">
            <w:pPr>
              <w:pStyle w:val="7"/>
              <w:spacing w:line="360" w:lineRule="auto"/>
              <w:rPr>
                <w:rFonts w:hint="eastAsia" w:ascii="宋体" w:hAnsi="宋体" w:eastAsia="宋体" w:cs="宋体"/>
                <w:bCs/>
                <w:snapToGrid w:val="0"/>
                <w:color w:val="auto"/>
                <w:kern w:val="0"/>
                <w:sz w:val="24"/>
                <w:szCs w:val="24"/>
                <w:highlight w:val="none"/>
                <w:lang w:eastAsia="zh-CN"/>
              </w:rPr>
            </w:pPr>
            <w:r>
              <w:rPr>
                <w:rFonts w:hint="eastAsia" w:ascii="宋体" w:hAnsi="宋体" w:eastAsia="宋体" w:cs="宋体"/>
                <w:bCs/>
                <w:snapToGrid w:val="0"/>
                <w:color w:val="auto"/>
                <w:kern w:val="0"/>
                <w:sz w:val="24"/>
                <w:szCs w:val="24"/>
                <w:highlight w:val="none"/>
                <w:lang w:eastAsia="zh-CN"/>
              </w:rPr>
              <w:t>按审查合格的施工图纸及工程量清单内容施工。</w:t>
            </w:r>
          </w:p>
          <w:p w14:paraId="49129690">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bCs/>
                <w:snapToGrid w:val="0"/>
                <w:color w:val="auto"/>
                <w:kern w:val="0"/>
                <w:sz w:val="24"/>
                <w:szCs w:val="24"/>
                <w:highlight w:val="none"/>
                <w:lang w:val="en-US" w:eastAsia="zh-CN"/>
              </w:rPr>
              <w:t>项目概算总投资647.91万元，其中工程费用574.85万元。</w:t>
            </w:r>
          </w:p>
        </w:tc>
      </w:tr>
      <w:tr w14:paraId="5F24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7175B46">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招标内容</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1C622803">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bCs/>
                <w:snapToGrid w:val="0"/>
                <w:color w:val="auto"/>
                <w:kern w:val="0"/>
                <w:sz w:val="24"/>
                <w:szCs w:val="24"/>
                <w:highlight w:val="none"/>
                <w:lang w:val="en-US" w:eastAsia="zh-CN"/>
              </w:rPr>
              <w:t>本项目工程位于犁市镇内腾村，项目用地总面积约156341.45平方米(约234.51亩)。主要建设内容为重要节点提升、道路修复、三线整治和绿美绿化等</w:t>
            </w:r>
            <w:r>
              <w:rPr>
                <w:rFonts w:hint="eastAsia" w:ascii="宋体" w:hAnsi="宋体" w:eastAsia="宋体" w:cs="宋体"/>
                <w:bCs/>
                <w:snapToGrid w:val="0"/>
                <w:color w:val="auto"/>
                <w:kern w:val="0"/>
                <w:sz w:val="24"/>
                <w:szCs w:val="24"/>
                <w:highlight w:val="none"/>
                <w:lang w:val="en-US" w:eastAsia="zh-CN"/>
              </w:rPr>
              <w:t>。</w:t>
            </w:r>
          </w:p>
        </w:tc>
      </w:tr>
      <w:tr w14:paraId="0194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3F821FB6">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工期</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119484E9">
            <w:pPr>
              <w:pStyle w:val="7"/>
              <w:spacing w:line="360" w:lineRule="auto"/>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本项目施工招标工期为</w:t>
            </w:r>
            <w:r>
              <w:rPr>
                <w:rFonts w:hint="eastAsia" w:hAnsi="宋体" w:cs="宋体"/>
                <w:b w:val="0"/>
                <w:bCs/>
                <w:i w:val="0"/>
                <w:iCs/>
                <w:color w:val="auto"/>
                <w:kern w:val="2"/>
                <w:sz w:val="24"/>
                <w:szCs w:val="24"/>
                <w:highlight w:val="none"/>
                <w:lang w:val="en-US" w:eastAsia="zh-CN" w:bidi="ar-SA"/>
              </w:rPr>
              <w:t>120</w:t>
            </w:r>
            <w:r>
              <w:rPr>
                <w:rFonts w:hint="eastAsia" w:ascii="宋体" w:hAnsi="宋体" w:eastAsia="宋体" w:cs="宋体"/>
                <w:b w:val="0"/>
                <w:bCs/>
                <w:i w:val="0"/>
                <w:iCs/>
                <w:color w:val="auto"/>
                <w:kern w:val="2"/>
                <w:sz w:val="24"/>
                <w:szCs w:val="24"/>
                <w:highlight w:val="none"/>
                <w:lang w:val="en-US" w:eastAsia="zh-CN" w:bidi="ar-SA"/>
              </w:rPr>
              <w:t>个日历天</w:t>
            </w:r>
          </w:p>
        </w:tc>
      </w:tr>
      <w:tr w14:paraId="3A76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1CDDCEF">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i w:val="0"/>
                <w:iCs/>
                <w:color w:val="auto"/>
                <w:kern w:val="2"/>
                <w:sz w:val="24"/>
                <w:szCs w:val="24"/>
                <w:highlight w:val="none"/>
                <w:lang w:val="en-US" w:eastAsia="zh-CN" w:bidi="ar-SA"/>
              </w:rPr>
            </w:pPr>
            <w:bookmarkStart w:id="1" w:name="OLE_LINK4"/>
            <w:bookmarkStart w:id="2" w:name="OLE_LINK3"/>
            <w:bookmarkStart w:id="3" w:name="OLE_LINK1"/>
            <w:r>
              <w:rPr>
                <w:rFonts w:hint="eastAsia" w:ascii="宋体" w:hAnsi="宋体" w:eastAsia="宋体" w:cs="宋体"/>
                <w:b w:val="0"/>
                <w:bCs/>
                <w:i w:val="0"/>
                <w:iCs/>
                <w:color w:val="auto"/>
                <w:kern w:val="2"/>
                <w:sz w:val="24"/>
                <w:szCs w:val="24"/>
                <w:highlight w:val="none"/>
                <w:lang w:val="en-US" w:eastAsia="zh-CN" w:bidi="ar-SA"/>
              </w:rPr>
              <w:t>最高投标限价</w:t>
            </w:r>
            <w:bookmarkEnd w:id="1"/>
            <w:bookmarkEnd w:id="2"/>
            <w:bookmarkEnd w:id="3"/>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134913A6">
            <w:pPr>
              <w:pStyle w:val="49"/>
              <w:spacing w:line="360" w:lineRule="auto"/>
              <w:ind w:firstLine="480" w:firstLineChars="200"/>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本招标项目最高投标限价、工程量清单、施工图最终以补充公告形式在开标前15天另行发布于相关网站，各投标人可在全国公共资源交易平台（广东省·韶关市）</w:t>
            </w:r>
            <w:r>
              <w:rPr>
                <w:rFonts w:hint="eastAsia" w:hAnsi="宋体" w:cs="宋体"/>
                <w:b w:val="0"/>
                <w:bCs/>
                <w:i w:val="0"/>
                <w:iCs/>
                <w:color w:val="auto"/>
                <w:kern w:val="2"/>
                <w:sz w:val="24"/>
                <w:szCs w:val="24"/>
                <w:highlight w:val="none"/>
                <w:lang w:val="en-US" w:eastAsia="zh-CN" w:bidi="ar-SA"/>
              </w:rPr>
              <w:t>自行下载。</w:t>
            </w:r>
          </w:p>
          <w:p w14:paraId="46D3393A">
            <w:pPr>
              <w:pStyle w:val="7"/>
              <w:spacing w:line="360" w:lineRule="auto"/>
              <w:rPr>
                <w:rFonts w:hint="eastAsia" w:ascii="宋体" w:hAnsi="宋体" w:eastAsia="宋体" w:cs="宋体"/>
                <w:b w:val="0"/>
                <w:bCs/>
                <w:i w:val="0"/>
                <w:iCs/>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（https://ygp.gdzwfw.gov..cn/ggzy-portal/#/440200/index）、广东省招标投标监管网（https://www.gdzwfw.gov.cn/ztbjg-portal/#/index）网站。</w:t>
            </w:r>
          </w:p>
        </w:tc>
      </w:tr>
      <w:tr w14:paraId="651C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6C5F86F">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成本警示价</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31A90D2F">
            <w:pPr>
              <w:pStyle w:val="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投标报价要求：</w:t>
            </w:r>
          </w:p>
          <w:p w14:paraId="5921A400">
            <w:pPr>
              <w:pStyle w:val="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（1）投标人的投标报价不得高于招标人设置的最高投标限价，否则作无效投标处理；</w:t>
            </w:r>
          </w:p>
          <w:p w14:paraId="0FF8E5B7">
            <w:pPr>
              <w:pStyle w:val="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投标人的投标报价如低于招标项目的成本警示价的，需提供成本分析资料等报价依据。（成本警示价＝最高投标限价×85%）</w:t>
            </w:r>
            <w:r>
              <w:rPr>
                <w:rFonts w:hint="eastAsia" w:hAnsi="宋体" w:cs="宋体"/>
                <w:color w:val="auto"/>
                <w:sz w:val="24"/>
                <w:szCs w:val="24"/>
                <w:highlight w:val="none"/>
                <w:lang w:val="en-US" w:eastAsia="zh-CN"/>
              </w:rPr>
              <w:t>。</w:t>
            </w:r>
          </w:p>
        </w:tc>
      </w:tr>
      <w:tr w14:paraId="20A5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8FAE8B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是否接受联合体投标</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3A6E103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否</w:t>
            </w:r>
          </w:p>
        </w:tc>
      </w:tr>
      <w:tr w14:paraId="7EAA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2" w:hRule="atLeast"/>
          <w:jc w:val="center"/>
        </w:trPr>
        <w:tc>
          <w:tcPr>
            <w:tcW w:w="1786" w:type="dxa"/>
            <w:tcBorders>
              <w:top w:val="single" w:color="000000" w:sz="4" w:space="0"/>
              <w:left w:val="single" w:color="000000" w:sz="4" w:space="0"/>
              <w:bottom w:val="single" w:color="auto" w:sz="4" w:space="0"/>
              <w:right w:val="single" w:color="000000" w:sz="4" w:space="0"/>
            </w:tcBorders>
            <w:noWrap w:val="0"/>
            <w:vAlign w:val="center"/>
          </w:tcPr>
          <w:p w14:paraId="04A3C471">
            <w:pPr>
              <w:pStyle w:val="7"/>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投标人及相关人员资格要求</w:t>
            </w:r>
          </w:p>
        </w:tc>
        <w:tc>
          <w:tcPr>
            <w:tcW w:w="7906" w:type="dxa"/>
            <w:gridSpan w:val="9"/>
            <w:tcBorders>
              <w:top w:val="single" w:color="000000" w:sz="4" w:space="0"/>
              <w:left w:val="single" w:color="000000" w:sz="4" w:space="0"/>
              <w:bottom w:val="single" w:color="auto" w:sz="4" w:space="0"/>
              <w:right w:val="single" w:color="000000" w:sz="4" w:space="0"/>
            </w:tcBorders>
            <w:noWrap w:val="0"/>
            <w:vAlign w:val="center"/>
          </w:tcPr>
          <w:p w14:paraId="156D99FD">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投标人资格要求：①须持有建设行政主管部门颁发的</w:t>
            </w:r>
            <w:r>
              <w:rPr>
                <w:rFonts w:hint="eastAsia" w:hAnsi="宋体" w:cs="宋体"/>
                <w:color w:val="auto"/>
                <w:sz w:val="24"/>
                <w:szCs w:val="24"/>
                <w:highlight w:val="none"/>
                <w:lang w:val="en-US" w:eastAsia="zh-CN"/>
              </w:rPr>
              <w:t>市政公用工程施工总承包三级以上（含三级）</w:t>
            </w:r>
            <w:r>
              <w:rPr>
                <w:rFonts w:hint="eastAsia" w:ascii="宋体" w:hAnsi="宋体" w:eastAsia="宋体" w:cs="宋体"/>
                <w:color w:val="auto"/>
                <w:sz w:val="24"/>
                <w:szCs w:val="24"/>
                <w:highlight w:val="none"/>
                <w:lang w:val="en-US" w:eastAsia="zh-CN"/>
              </w:rPr>
              <w:t>质证书及安全生产许可证。</w:t>
            </w:r>
          </w:p>
          <w:p w14:paraId="756012A3">
            <w:pPr>
              <w:pStyle w:val="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194C0710">
            <w:pPr>
              <w:pStyle w:val="7"/>
              <w:spacing w:line="360" w:lineRule="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2.相关人员资格要求</w:t>
            </w:r>
          </w:p>
          <w:p w14:paraId="77845E9C">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项目负责人资格要求：即项目经理为</w:t>
            </w:r>
            <w:r>
              <w:rPr>
                <w:rFonts w:hint="eastAsia" w:hAnsi="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val="en-US" w:eastAsia="zh-CN"/>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在项目开标时间仍在建筑市场监管平台被“锁定”无法报建的）建设工程项目的项目经理；</w:t>
            </w:r>
          </w:p>
          <w:p w14:paraId="31F0BB1F">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项目技术负责人资格要求：须具备</w:t>
            </w:r>
            <w:r>
              <w:rPr>
                <w:rFonts w:hint="eastAsia" w:hAnsi="宋体" w:cs="宋体"/>
                <w:color w:val="auto"/>
                <w:sz w:val="24"/>
                <w:szCs w:val="24"/>
                <w:highlight w:val="none"/>
                <w:u w:val="single"/>
                <w:lang w:val="en-US" w:eastAsia="zh-CN"/>
              </w:rPr>
              <w:t>市政工程</w:t>
            </w:r>
            <w:r>
              <w:rPr>
                <w:rFonts w:hint="eastAsia" w:ascii="宋体" w:hAnsi="宋体" w:eastAsia="宋体" w:cs="宋体"/>
                <w:color w:val="auto"/>
                <w:sz w:val="24"/>
                <w:szCs w:val="24"/>
                <w:highlight w:val="none"/>
                <w:lang w:val="en-US" w:eastAsia="zh-CN"/>
              </w:rPr>
              <w:t>相关专</w:t>
            </w:r>
            <w:r>
              <w:rPr>
                <w:rFonts w:hint="eastAsia" w:ascii="宋体" w:hAnsi="宋体" w:eastAsia="宋体" w:cs="宋体"/>
                <w:snapToGrid w:val="0"/>
                <w:color w:val="auto"/>
                <w:kern w:val="0"/>
                <w:sz w:val="24"/>
                <w:szCs w:val="24"/>
                <w:highlight w:val="none"/>
                <w:lang w:eastAsia="zh-CN"/>
              </w:rPr>
              <w:t>业</w:t>
            </w:r>
            <w:r>
              <w:rPr>
                <w:rFonts w:hint="eastAsia" w:ascii="宋体" w:hAnsi="宋体" w:eastAsia="宋体" w:cs="宋体"/>
                <w:color w:val="auto"/>
                <w:sz w:val="24"/>
                <w:szCs w:val="24"/>
                <w:highlight w:val="none"/>
                <w:lang w:val="en-US" w:eastAsia="zh-CN"/>
              </w:rPr>
              <w:t>中级以上（含中级）技术职称；</w:t>
            </w:r>
          </w:p>
          <w:p w14:paraId="04521BF9">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项目专职安全员资格要求：须具备有效安全生产考核合格证明（C证），且不少于1人。</w:t>
            </w:r>
          </w:p>
          <w:p w14:paraId="680E1635">
            <w:pPr>
              <w:pStyle w:val="7"/>
              <w:spacing w:line="360" w:lineRule="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④</w:t>
            </w:r>
            <w:r>
              <w:rPr>
                <w:rFonts w:hint="eastAsia" w:ascii="宋体" w:hAnsi="宋体" w:eastAsia="宋体" w:cs="宋体"/>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tc>
      </w:tr>
      <w:tr w14:paraId="1C6F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1786" w:type="dxa"/>
            <w:tcBorders>
              <w:top w:val="single" w:color="auto" w:sz="4" w:space="0"/>
              <w:left w:val="single" w:color="000000" w:sz="4" w:space="0"/>
              <w:bottom w:val="single" w:color="auto" w:sz="4" w:space="0"/>
              <w:right w:val="single" w:color="000000" w:sz="4" w:space="0"/>
            </w:tcBorders>
            <w:noWrap w:val="0"/>
            <w:vAlign w:val="center"/>
          </w:tcPr>
          <w:p w14:paraId="2C19A0D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是否采用电子</w:t>
            </w:r>
            <w:r>
              <w:rPr>
                <w:rFonts w:hint="eastAsia" w:ascii="宋体" w:hAnsi="宋体" w:eastAsia="宋体" w:cs="宋体"/>
                <w:b w:val="0"/>
                <w:bCs w:val="0"/>
                <w:i w:val="0"/>
                <w:color w:val="auto"/>
                <w:kern w:val="0"/>
                <w:sz w:val="24"/>
                <w:szCs w:val="24"/>
                <w:highlight w:val="none"/>
                <w:u w:val="none"/>
                <w:lang w:val="en-US" w:eastAsia="zh-CN" w:bidi="ar"/>
              </w:rPr>
              <w:br w:type="textWrapping"/>
            </w:r>
            <w:r>
              <w:rPr>
                <w:rFonts w:hint="eastAsia" w:ascii="宋体" w:hAnsi="宋体" w:eastAsia="宋体" w:cs="宋体"/>
                <w:b w:val="0"/>
                <w:bCs w:val="0"/>
                <w:i w:val="0"/>
                <w:color w:val="auto"/>
                <w:kern w:val="0"/>
                <w:sz w:val="24"/>
                <w:szCs w:val="24"/>
                <w:highlight w:val="none"/>
                <w:u w:val="none"/>
                <w:lang w:val="en-US" w:eastAsia="zh-CN" w:bidi="ar"/>
              </w:rPr>
              <w:t>招标投标方式</w:t>
            </w:r>
          </w:p>
        </w:tc>
        <w:tc>
          <w:tcPr>
            <w:tcW w:w="1943" w:type="dxa"/>
            <w:tcBorders>
              <w:top w:val="single" w:color="auto" w:sz="4" w:space="0"/>
              <w:left w:val="single" w:color="000000" w:sz="4" w:space="0"/>
              <w:bottom w:val="single" w:color="auto" w:sz="4" w:space="0"/>
              <w:right w:val="single" w:color="000000" w:sz="4" w:space="0"/>
            </w:tcBorders>
            <w:noWrap w:val="0"/>
            <w:vAlign w:val="center"/>
          </w:tcPr>
          <w:p w14:paraId="2C13931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是</w:t>
            </w:r>
          </w:p>
        </w:tc>
        <w:tc>
          <w:tcPr>
            <w:tcW w:w="1657" w:type="dxa"/>
            <w:gridSpan w:val="2"/>
            <w:tcBorders>
              <w:top w:val="single" w:color="auto" w:sz="4" w:space="0"/>
              <w:left w:val="single" w:color="000000" w:sz="4" w:space="0"/>
              <w:bottom w:val="single" w:color="auto" w:sz="4" w:space="0"/>
              <w:right w:val="single" w:color="000000" w:sz="4" w:space="0"/>
            </w:tcBorders>
            <w:noWrap w:val="0"/>
            <w:vAlign w:val="center"/>
          </w:tcPr>
          <w:p w14:paraId="0048A70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获取招标文件的方式</w:t>
            </w:r>
          </w:p>
        </w:tc>
        <w:tc>
          <w:tcPr>
            <w:tcW w:w="866" w:type="dxa"/>
            <w:gridSpan w:val="2"/>
            <w:tcBorders>
              <w:top w:val="single" w:color="auto" w:sz="4" w:space="0"/>
              <w:left w:val="single" w:color="000000" w:sz="4" w:space="0"/>
              <w:bottom w:val="single" w:color="auto" w:sz="4" w:space="0"/>
              <w:right w:val="single" w:color="000000" w:sz="4" w:space="0"/>
            </w:tcBorders>
            <w:noWrap w:val="0"/>
            <w:vAlign w:val="center"/>
          </w:tcPr>
          <w:p w14:paraId="792B5E2E">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下载招标文件的网络地址</w:t>
            </w:r>
          </w:p>
        </w:tc>
        <w:tc>
          <w:tcPr>
            <w:tcW w:w="3440" w:type="dxa"/>
            <w:gridSpan w:val="4"/>
            <w:tcBorders>
              <w:top w:val="single" w:color="auto" w:sz="4" w:space="0"/>
              <w:left w:val="single" w:color="000000" w:sz="4" w:space="0"/>
              <w:bottom w:val="single" w:color="000000" w:sz="4" w:space="0"/>
              <w:right w:val="single" w:color="000000" w:sz="4" w:space="0"/>
            </w:tcBorders>
            <w:noWrap w:val="0"/>
            <w:vAlign w:val="center"/>
          </w:tcPr>
          <w:p w14:paraId="117BED70">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登录全国公共资源交易平台（广东省·韶关市）（https://ygp.gdzwfw.gov.cn/#/440200/index），或者广东省招标投标监管网（http://zbtb.gd.gov.cn/#/index），使用新建设工程交易系统进行下载招标文件及相关附件。</w:t>
            </w:r>
          </w:p>
        </w:tc>
      </w:tr>
      <w:tr w14:paraId="1954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055A43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w:t>
            </w:r>
          </w:p>
          <w:p w14:paraId="3972F1AA">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开始时间</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0619E3B2">
            <w:pPr>
              <w:spacing w:line="360" w:lineRule="auto"/>
              <w:jc w:val="center"/>
              <w:rPr>
                <w:rFonts w:hint="eastAsia" w:ascii="宋体" w:hAnsi="宋体" w:eastAsia="宋体" w:cs="宋体"/>
                <w:b w:val="0"/>
                <w:bCs w:val="0"/>
                <w:i w:val="0"/>
                <w:color w:val="auto"/>
                <w:sz w:val="24"/>
                <w:szCs w:val="24"/>
                <w:highlight w:val="none"/>
                <w:u w:val="none"/>
                <w:lang w:val="en-US" w:eastAsia="zh-CN"/>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5</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 xml:space="preserve">11  </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18</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00</w:t>
            </w:r>
            <w:r>
              <w:rPr>
                <w:rFonts w:hint="eastAsia" w:ascii="宋体" w:hAnsi="宋体" w:eastAsia="宋体" w:cs="宋体"/>
                <w:color w:val="auto"/>
                <w:kern w:val="2"/>
                <w:sz w:val="24"/>
                <w:szCs w:val="24"/>
                <w:highlight w:val="none"/>
                <w:lang w:val="en-US" w:eastAsia="zh-CN" w:bidi="ar"/>
              </w:rPr>
              <w:t>分</w:t>
            </w:r>
          </w:p>
        </w:tc>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14:paraId="1371793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获取招标文件截止时间</w:t>
            </w:r>
          </w:p>
        </w:tc>
        <w:tc>
          <w:tcPr>
            <w:tcW w:w="4306" w:type="dxa"/>
            <w:gridSpan w:val="6"/>
            <w:tcBorders>
              <w:top w:val="single" w:color="000000" w:sz="4" w:space="0"/>
              <w:left w:val="single" w:color="000000" w:sz="4" w:space="0"/>
              <w:bottom w:val="single" w:color="000000" w:sz="4" w:space="0"/>
              <w:right w:val="single" w:color="000000" w:sz="4" w:space="0"/>
            </w:tcBorders>
            <w:noWrap w:val="0"/>
            <w:vAlign w:val="center"/>
          </w:tcPr>
          <w:p w14:paraId="057070D8">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7886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C8B2987">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递交投标文件</w:t>
            </w:r>
          </w:p>
          <w:p w14:paraId="3EAE2E0E">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截止时间</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32517FA6">
            <w:pPr>
              <w:spacing w:line="360" w:lineRule="auto"/>
              <w:jc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14:paraId="16EAD826">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投标文件</w:t>
            </w:r>
          </w:p>
          <w:p w14:paraId="532DD2D9">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递交方式</w:t>
            </w:r>
          </w:p>
        </w:tc>
        <w:tc>
          <w:tcPr>
            <w:tcW w:w="4306" w:type="dxa"/>
            <w:gridSpan w:val="6"/>
            <w:tcBorders>
              <w:top w:val="single" w:color="000000" w:sz="4" w:space="0"/>
              <w:left w:val="single" w:color="000000" w:sz="4" w:space="0"/>
              <w:bottom w:val="single" w:color="000000" w:sz="4" w:space="0"/>
              <w:right w:val="single" w:color="000000" w:sz="4" w:space="0"/>
            </w:tcBorders>
            <w:noWrap w:val="0"/>
            <w:vAlign w:val="center"/>
          </w:tcPr>
          <w:p w14:paraId="1D938CFE">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投标人应在招标文件规定的时间前，登录全国公共资源交易平台（广东省·韶关市） 办理网上投标登记手续，并在递交投标文件截止时间前，通过全国公共资源交易平台（广东省·韶关市） 递交电子投标文件,按照全国公共资源交易平台（广东省·韶关市） 关于全流程电子化项目的相关指南进行操作。</w:t>
            </w:r>
          </w:p>
        </w:tc>
      </w:tr>
      <w:tr w14:paraId="37DC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0C19FCD">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开标时间</w:t>
            </w:r>
          </w:p>
        </w:tc>
        <w:tc>
          <w:tcPr>
            <w:tcW w:w="1943" w:type="dxa"/>
            <w:tcBorders>
              <w:top w:val="single" w:color="000000" w:sz="4" w:space="0"/>
              <w:left w:val="single" w:color="000000" w:sz="4" w:space="0"/>
              <w:bottom w:val="single" w:color="000000" w:sz="4" w:space="0"/>
              <w:right w:val="single" w:color="000000" w:sz="4" w:space="0"/>
            </w:tcBorders>
            <w:noWrap w:val="0"/>
            <w:vAlign w:val="center"/>
          </w:tcPr>
          <w:p w14:paraId="5DF22089">
            <w:pPr>
              <w:keepNext w:val="0"/>
              <w:keepLines w:val="0"/>
              <w:widowControl/>
              <w:suppressLineNumbers w:val="0"/>
              <w:spacing w:line="360" w:lineRule="auto"/>
              <w:jc w:val="center"/>
              <w:textAlignment w:val="center"/>
              <w:rPr>
                <w:rFonts w:hint="eastAsia" w:ascii="宋体" w:hAnsi="宋体" w:eastAsia="宋体" w:cs="宋体"/>
                <w:b w:val="0"/>
                <w:bCs w:val="0"/>
                <w:i w:val="0"/>
                <w:color w:val="auto"/>
                <w:kern w:val="2"/>
                <w:sz w:val="24"/>
                <w:szCs w:val="24"/>
                <w:highlight w:val="none"/>
                <w:u w:val="none"/>
                <w:lang w:val="en-US" w:eastAsia="zh-CN" w:bidi="ar-SA"/>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c>
          <w:tcPr>
            <w:tcW w:w="1657" w:type="dxa"/>
            <w:gridSpan w:val="2"/>
            <w:tcBorders>
              <w:top w:val="single" w:color="000000" w:sz="4" w:space="0"/>
              <w:left w:val="single" w:color="000000" w:sz="4" w:space="0"/>
              <w:bottom w:val="single" w:color="000000" w:sz="4" w:space="0"/>
              <w:right w:val="single" w:color="000000" w:sz="4" w:space="0"/>
            </w:tcBorders>
            <w:noWrap w:val="0"/>
            <w:vAlign w:val="center"/>
          </w:tcPr>
          <w:p w14:paraId="239FFE1A">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开标地点</w:t>
            </w:r>
          </w:p>
        </w:tc>
        <w:tc>
          <w:tcPr>
            <w:tcW w:w="4306" w:type="dxa"/>
            <w:gridSpan w:val="6"/>
            <w:tcBorders>
              <w:top w:val="single" w:color="000000" w:sz="4" w:space="0"/>
              <w:left w:val="single" w:color="000000" w:sz="4" w:space="0"/>
              <w:bottom w:val="single" w:color="000000" w:sz="4" w:space="0"/>
              <w:right w:val="single" w:color="000000" w:sz="4" w:space="0"/>
            </w:tcBorders>
            <w:noWrap w:val="0"/>
            <w:vAlign w:val="center"/>
          </w:tcPr>
          <w:p w14:paraId="068D9C14">
            <w:pPr>
              <w:keepNext w:val="0"/>
              <w:keepLines w:val="0"/>
              <w:pageBreakBefore w:val="0"/>
              <w:widowControl/>
              <w:suppressLineNumbers w:val="0"/>
              <w:shd w:val="clear" w:color="auto" w:fill="auto"/>
              <w:kinsoku w:val="0"/>
              <w:wordWrap w:val="0"/>
              <w:overflowPunct/>
              <w:topLinePunct w:val="0"/>
              <w:autoSpaceDE/>
              <w:autoSpaceDN/>
              <w:bidi w:val="0"/>
              <w:adjustRightInd/>
              <w:snapToGrid/>
              <w:spacing w:line="360" w:lineRule="auto"/>
              <w:jc w:val="both"/>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韶关市公共资源交易中心（地址：</w:t>
            </w:r>
            <w:r>
              <w:rPr>
                <w:rFonts w:hint="eastAsia" w:ascii="宋体" w:hAnsi="宋体" w:cs="宋体"/>
                <w:color w:val="auto"/>
                <w:kern w:val="2"/>
                <w:sz w:val="24"/>
                <w:szCs w:val="24"/>
                <w:highlight w:val="none"/>
                <w:lang w:val="en-US" w:eastAsia="zh-CN" w:bidi="ar"/>
              </w:rPr>
              <w:t>广东省韶关市武江区西联镇</w:t>
            </w:r>
            <w:r>
              <w:rPr>
                <w:rFonts w:hint="eastAsia" w:ascii="宋体" w:hAnsi="宋体" w:eastAsia="宋体" w:cs="宋体"/>
                <w:color w:val="auto"/>
                <w:kern w:val="2"/>
                <w:sz w:val="24"/>
                <w:szCs w:val="24"/>
                <w:highlight w:val="none"/>
                <w:lang w:val="en-US" w:eastAsia="zh-CN" w:bidi="ar"/>
              </w:rPr>
              <w:t>），具体开标室以当日现场通知为准。</w:t>
            </w:r>
          </w:p>
        </w:tc>
      </w:tr>
      <w:tr w14:paraId="31329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774E36D">
            <w:pPr>
              <w:keepNext w:val="0"/>
              <w:keepLines w:val="0"/>
              <w:widowControl/>
              <w:suppressLineNumbers w:val="0"/>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发布公告媒介</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69CC3FDB">
            <w:pPr>
              <w:keepNext w:val="0"/>
              <w:keepLines w:val="0"/>
              <w:widowControl/>
              <w:suppressLineNumbers w:val="0"/>
              <w:spacing w:line="360" w:lineRule="auto"/>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1.全国公共资源交易平台（广东省·韶关市）</w:t>
            </w:r>
          </w:p>
          <w:p w14:paraId="5E72452D">
            <w:pPr>
              <w:keepNext w:val="0"/>
              <w:keepLines w:val="0"/>
              <w:widowControl/>
              <w:suppressLineNumbers w:val="0"/>
              <w:spacing w:line="360" w:lineRule="auto"/>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（https://ygp.gdzwfw.gov.cn/#/440200/index）</w:t>
            </w:r>
          </w:p>
          <w:p w14:paraId="1E4FB745">
            <w:pPr>
              <w:keepNext w:val="0"/>
              <w:keepLines w:val="0"/>
              <w:widowControl/>
              <w:suppressLineNumbers w:val="0"/>
              <w:spacing w:line="360" w:lineRule="auto"/>
              <w:jc w:val="both"/>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2.广东省招标投标监管网（http://zbtb.gd.gov.cn/#/index）</w:t>
            </w:r>
          </w:p>
        </w:tc>
      </w:tr>
      <w:tr w14:paraId="4F4B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278EE8A">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14:paraId="7A5CC33B">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韶关市浈江区犁市镇人民政府</w:t>
            </w:r>
          </w:p>
        </w:tc>
        <w:tc>
          <w:tcPr>
            <w:tcW w:w="1347" w:type="dxa"/>
            <w:gridSpan w:val="3"/>
            <w:tcBorders>
              <w:top w:val="single" w:color="000000" w:sz="4" w:space="0"/>
              <w:left w:val="single" w:color="000000" w:sz="4" w:space="0"/>
              <w:bottom w:val="single" w:color="000000" w:sz="4" w:space="0"/>
              <w:right w:val="single" w:color="auto" w:sz="4" w:space="0"/>
            </w:tcBorders>
            <w:noWrap w:val="0"/>
            <w:vAlign w:val="center"/>
          </w:tcPr>
          <w:p w14:paraId="0A05870E">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2959" w:type="dxa"/>
            <w:gridSpan w:val="3"/>
            <w:tcBorders>
              <w:top w:val="single" w:color="000000" w:sz="4" w:space="0"/>
              <w:left w:val="single" w:color="auto" w:sz="4" w:space="0"/>
              <w:bottom w:val="single" w:color="000000" w:sz="4" w:space="0"/>
              <w:right w:val="single" w:color="000000" w:sz="4" w:space="0"/>
            </w:tcBorders>
            <w:noWrap w:val="0"/>
            <w:vAlign w:val="center"/>
          </w:tcPr>
          <w:p w14:paraId="038C0317">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韶关市浈江区犁市镇人民路北1号</w:t>
            </w:r>
          </w:p>
        </w:tc>
      </w:tr>
      <w:tr w14:paraId="66F3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2C1C43E">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招标人联系人</w:t>
            </w:r>
          </w:p>
        </w:tc>
        <w:tc>
          <w:tcPr>
            <w:tcW w:w="3600" w:type="dxa"/>
            <w:gridSpan w:val="3"/>
            <w:tcBorders>
              <w:top w:val="single" w:color="000000" w:sz="4" w:space="0"/>
              <w:left w:val="single" w:color="000000" w:sz="4" w:space="0"/>
              <w:bottom w:val="single" w:color="000000" w:sz="4" w:space="0"/>
              <w:right w:val="single" w:color="000000" w:sz="4" w:space="0"/>
            </w:tcBorders>
            <w:noWrap w:val="0"/>
            <w:vAlign w:val="center"/>
          </w:tcPr>
          <w:p w14:paraId="13D8C5CB">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陈工</w:t>
            </w:r>
          </w:p>
        </w:tc>
        <w:tc>
          <w:tcPr>
            <w:tcW w:w="1347" w:type="dxa"/>
            <w:gridSpan w:val="3"/>
            <w:tcBorders>
              <w:top w:val="single" w:color="000000" w:sz="4" w:space="0"/>
              <w:left w:val="single" w:color="000000" w:sz="4" w:space="0"/>
              <w:bottom w:val="single" w:color="000000" w:sz="4" w:space="0"/>
              <w:right w:val="single" w:color="auto" w:sz="4" w:space="0"/>
            </w:tcBorders>
            <w:noWrap w:val="0"/>
            <w:vAlign w:val="center"/>
          </w:tcPr>
          <w:p w14:paraId="28128CDA">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tcBorders>
              <w:top w:val="single" w:color="000000" w:sz="4" w:space="0"/>
              <w:left w:val="single" w:color="auto" w:sz="4" w:space="0"/>
              <w:bottom w:val="single" w:color="000000" w:sz="4" w:space="0"/>
              <w:right w:val="single" w:color="000000" w:sz="4" w:space="0"/>
            </w:tcBorders>
            <w:noWrap w:val="0"/>
            <w:vAlign w:val="center"/>
          </w:tcPr>
          <w:p w14:paraId="19CFA2C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0751-6521311</w:t>
            </w:r>
          </w:p>
        </w:tc>
      </w:tr>
      <w:tr w14:paraId="119D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auto" w:sz="4" w:space="0"/>
              <w:right w:val="single" w:color="000000" w:sz="4" w:space="0"/>
            </w:tcBorders>
            <w:noWrap w:val="0"/>
            <w:vAlign w:val="center"/>
          </w:tcPr>
          <w:p w14:paraId="4F14EA1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招标代理机构</w:t>
            </w:r>
          </w:p>
        </w:tc>
        <w:tc>
          <w:tcPr>
            <w:tcW w:w="3600" w:type="dxa"/>
            <w:gridSpan w:val="3"/>
            <w:tcBorders>
              <w:top w:val="single" w:color="000000" w:sz="4" w:space="0"/>
              <w:left w:val="single" w:color="000000" w:sz="4" w:space="0"/>
              <w:bottom w:val="single" w:color="auto" w:sz="4" w:space="0"/>
              <w:right w:val="single" w:color="000000" w:sz="4" w:space="0"/>
            </w:tcBorders>
            <w:noWrap w:val="0"/>
            <w:vAlign w:val="center"/>
          </w:tcPr>
          <w:p w14:paraId="0211F61D">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海通国际设计有限公司</w:t>
            </w:r>
          </w:p>
        </w:tc>
        <w:tc>
          <w:tcPr>
            <w:tcW w:w="1347" w:type="dxa"/>
            <w:gridSpan w:val="3"/>
            <w:tcBorders>
              <w:top w:val="single" w:color="000000" w:sz="4" w:space="0"/>
              <w:left w:val="single" w:color="000000" w:sz="4" w:space="0"/>
              <w:bottom w:val="single" w:color="auto" w:sz="4" w:space="0"/>
              <w:right w:val="single" w:color="auto" w:sz="4" w:space="0"/>
            </w:tcBorders>
            <w:noWrap w:val="0"/>
            <w:vAlign w:val="center"/>
          </w:tcPr>
          <w:p w14:paraId="730EB84E">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联系地址</w:t>
            </w:r>
          </w:p>
        </w:tc>
        <w:tc>
          <w:tcPr>
            <w:tcW w:w="2959" w:type="dxa"/>
            <w:gridSpan w:val="3"/>
            <w:tcBorders>
              <w:top w:val="single" w:color="000000" w:sz="4" w:space="0"/>
              <w:left w:val="single" w:color="auto" w:sz="4" w:space="0"/>
              <w:bottom w:val="single" w:color="auto" w:sz="4" w:space="0"/>
              <w:right w:val="single" w:color="000000" w:sz="4" w:space="0"/>
            </w:tcBorders>
            <w:noWrap w:val="0"/>
            <w:vAlign w:val="center"/>
          </w:tcPr>
          <w:p w14:paraId="7AF91CD8">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韶关市武江区西联镇58号明顺实业大楼七楼</w:t>
            </w:r>
          </w:p>
        </w:tc>
      </w:tr>
      <w:tr w14:paraId="0FBA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786" w:type="dxa"/>
            <w:tcBorders>
              <w:top w:val="single" w:color="auto" w:sz="4" w:space="0"/>
              <w:left w:val="single" w:color="auto" w:sz="4" w:space="0"/>
              <w:bottom w:val="single" w:color="auto" w:sz="4" w:space="0"/>
              <w:right w:val="single" w:color="000000" w:sz="4" w:space="0"/>
            </w:tcBorders>
            <w:noWrap w:val="0"/>
            <w:vAlign w:val="center"/>
          </w:tcPr>
          <w:p w14:paraId="0B1D861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招标代理联系人</w:t>
            </w:r>
          </w:p>
        </w:tc>
        <w:tc>
          <w:tcPr>
            <w:tcW w:w="3600" w:type="dxa"/>
            <w:gridSpan w:val="3"/>
            <w:tcBorders>
              <w:top w:val="single" w:color="auto" w:sz="4" w:space="0"/>
              <w:left w:val="single" w:color="000000" w:sz="4" w:space="0"/>
              <w:bottom w:val="single" w:color="auto" w:sz="4" w:space="0"/>
              <w:right w:val="single" w:color="000000" w:sz="4" w:space="0"/>
            </w:tcBorders>
            <w:noWrap w:val="0"/>
            <w:vAlign w:val="center"/>
          </w:tcPr>
          <w:p w14:paraId="3A47B941">
            <w:pPr>
              <w:keepNext w:val="0"/>
              <w:keepLines w:val="0"/>
              <w:widowControl/>
              <w:suppressLineNumbers w:val="0"/>
              <w:shd w:val="clear" w:color="auto" w:fill="auto"/>
              <w:spacing w:line="360" w:lineRule="auto"/>
              <w:jc w:val="center"/>
              <w:textAlignment w:val="center"/>
              <w:rPr>
                <w:rFonts w:hint="default"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陈工</w:t>
            </w:r>
          </w:p>
        </w:tc>
        <w:tc>
          <w:tcPr>
            <w:tcW w:w="1347" w:type="dxa"/>
            <w:gridSpan w:val="3"/>
            <w:tcBorders>
              <w:top w:val="single" w:color="auto" w:sz="4" w:space="0"/>
              <w:left w:val="single" w:color="000000" w:sz="4" w:space="0"/>
              <w:bottom w:val="single" w:color="auto" w:sz="4" w:space="0"/>
              <w:right w:val="single" w:color="auto" w:sz="4" w:space="0"/>
            </w:tcBorders>
            <w:noWrap w:val="0"/>
            <w:vAlign w:val="center"/>
          </w:tcPr>
          <w:p w14:paraId="7FCD6946">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tcBorders>
              <w:top w:val="single" w:color="auto" w:sz="4" w:space="0"/>
              <w:left w:val="single" w:color="auto" w:sz="4" w:space="0"/>
              <w:bottom w:val="single" w:color="auto" w:sz="4" w:space="0"/>
              <w:right w:val="single" w:color="auto" w:sz="4" w:space="0"/>
            </w:tcBorders>
            <w:noWrap w:val="0"/>
            <w:vAlign w:val="center"/>
          </w:tcPr>
          <w:p w14:paraId="4F527B00">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0751-8768123</w:t>
            </w:r>
          </w:p>
        </w:tc>
      </w:tr>
      <w:tr w14:paraId="6732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auto" w:sz="4" w:space="0"/>
              <w:left w:val="single" w:color="000000" w:sz="4" w:space="0"/>
              <w:bottom w:val="single" w:color="000000" w:sz="4" w:space="0"/>
              <w:right w:val="single" w:color="000000" w:sz="4" w:space="0"/>
            </w:tcBorders>
            <w:noWrap w:val="0"/>
            <w:vAlign w:val="center"/>
          </w:tcPr>
          <w:p w14:paraId="59FD7131">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招标投标</w:t>
            </w:r>
          </w:p>
          <w:p w14:paraId="10B00CD2">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sz w:val="24"/>
                <w:szCs w:val="24"/>
                <w:highlight w:val="none"/>
                <w:u w:val="none"/>
              </w:rPr>
            </w:pPr>
            <w:r>
              <w:rPr>
                <w:rFonts w:hint="eastAsia" w:ascii="宋体" w:hAnsi="宋体" w:eastAsia="宋体" w:cs="宋体"/>
                <w:b w:val="0"/>
                <w:bCs w:val="0"/>
                <w:i w:val="0"/>
                <w:color w:val="auto"/>
                <w:kern w:val="0"/>
                <w:sz w:val="24"/>
                <w:szCs w:val="24"/>
                <w:highlight w:val="none"/>
                <w:u w:val="none"/>
                <w:lang w:val="en-US" w:eastAsia="zh-CN" w:bidi="ar"/>
              </w:rPr>
              <w:t>监督机构</w:t>
            </w:r>
          </w:p>
        </w:tc>
        <w:tc>
          <w:tcPr>
            <w:tcW w:w="3600" w:type="dxa"/>
            <w:gridSpan w:val="3"/>
            <w:tcBorders>
              <w:top w:val="single" w:color="auto" w:sz="4" w:space="0"/>
              <w:left w:val="single" w:color="000000" w:sz="4" w:space="0"/>
              <w:bottom w:val="single" w:color="000000" w:sz="4" w:space="0"/>
              <w:right w:val="single" w:color="000000" w:sz="4" w:space="0"/>
            </w:tcBorders>
            <w:noWrap w:val="0"/>
            <w:vAlign w:val="center"/>
          </w:tcPr>
          <w:p w14:paraId="0725B698">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韶关市浈江区农业农村局</w:t>
            </w:r>
          </w:p>
        </w:tc>
        <w:tc>
          <w:tcPr>
            <w:tcW w:w="1347" w:type="dxa"/>
            <w:gridSpan w:val="3"/>
            <w:tcBorders>
              <w:top w:val="single" w:color="auto" w:sz="4" w:space="0"/>
              <w:left w:val="single" w:color="000000" w:sz="4" w:space="0"/>
              <w:bottom w:val="single" w:color="000000" w:sz="4" w:space="0"/>
              <w:right w:val="single" w:color="auto" w:sz="4" w:space="0"/>
            </w:tcBorders>
            <w:noWrap w:val="0"/>
            <w:vAlign w:val="center"/>
          </w:tcPr>
          <w:p w14:paraId="5FA4E0C3">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联系电话</w:t>
            </w:r>
          </w:p>
        </w:tc>
        <w:tc>
          <w:tcPr>
            <w:tcW w:w="2959" w:type="dxa"/>
            <w:gridSpan w:val="3"/>
            <w:tcBorders>
              <w:top w:val="single" w:color="auto" w:sz="4" w:space="0"/>
              <w:left w:val="single" w:color="auto" w:sz="4" w:space="0"/>
              <w:bottom w:val="single" w:color="000000" w:sz="4" w:space="0"/>
              <w:right w:val="single" w:color="000000" w:sz="4" w:space="0"/>
            </w:tcBorders>
            <w:noWrap w:val="0"/>
            <w:vAlign w:val="center"/>
          </w:tcPr>
          <w:p w14:paraId="6D245945">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bidi="ar"/>
              </w:rPr>
              <w:t>0751-8255123</w:t>
            </w:r>
          </w:p>
        </w:tc>
      </w:tr>
      <w:tr w14:paraId="65F6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ED8D00B">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其他依法应当</w:t>
            </w:r>
          </w:p>
          <w:p w14:paraId="606CA676">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载明的内容</w:t>
            </w:r>
          </w:p>
        </w:tc>
        <w:tc>
          <w:tcPr>
            <w:tcW w:w="7906" w:type="dxa"/>
            <w:gridSpan w:val="9"/>
            <w:tcBorders>
              <w:top w:val="single" w:color="000000" w:sz="4" w:space="0"/>
              <w:left w:val="single" w:color="000000" w:sz="4" w:space="0"/>
              <w:bottom w:val="single" w:color="000000" w:sz="4" w:space="0"/>
              <w:right w:val="single" w:color="000000" w:sz="4" w:space="0"/>
            </w:tcBorders>
            <w:noWrap w:val="0"/>
            <w:vAlign w:val="center"/>
          </w:tcPr>
          <w:p w14:paraId="007BAE7D">
            <w:pPr>
              <w:keepNext w:val="0"/>
              <w:keepLines w:val="0"/>
              <w:widowControl/>
              <w:suppressLineNumbers w:val="0"/>
              <w:shd w:val="clear" w:color="auto" w:fill="auto"/>
              <w:spacing w:line="360" w:lineRule="auto"/>
              <w:jc w:val="center"/>
              <w:textAlignment w:val="center"/>
              <w:rPr>
                <w:rFonts w:hint="eastAsia" w:ascii="宋体" w:hAnsi="宋体" w:eastAsia="宋体" w:cs="宋体"/>
                <w:b w:val="0"/>
                <w:bCs w:val="0"/>
                <w:i w:val="0"/>
                <w:color w:val="auto"/>
                <w:kern w:val="0"/>
                <w:sz w:val="24"/>
                <w:szCs w:val="24"/>
                <w:highlight w:val="none"/>
                <w:u w:val="none"/>
                <w:lang w:val="en-US" w:eastAsia="zh-CN" w:bidi="ar"/>
              </w:rPr>
            </w:pPr>
            <w:r>
              <w:rPr>
                <w:rFonts w:hint="eastAsia" w:ascii="宋体" w:hAnsi="宋体" w:eastAsia="宋体" w:cs="宋体"/>
                <w:b w:val="0"/>
                <w:bCs w:val="0"/>
                <w:i w:val="0"/>
                <w:color w:val="auto"/>
                <w:kern w:val="0"/>
                <w:sz w:val="24"/>
                <w:szCs w:val="24"/>
                <w:highlight w:val="none"/>
                <w:u w:val="none"/>
                <w:lang w:val="en-US" w:eastAsia="zh-CN" w:bidi="ar"/>
              </w:rPr>
              <w:t>无</w:t>
            </w:r>
          </w:p>
        </w:tc>
      </w:tr>
    </w:tbl>
    <w:tbl>
      <w:tblPr>
        <w:tblStyle w:val="22"/>
        <w:tblpPr w:leftFromText="180" w:rightFromText="180" w:vertAnchor="text" w:tblpX="12281" w:tblpY="-3840"/>
        <w:tblOverlap w:val="never"/>
        <w:tblW w:w="1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tblGrid>
      <w:tr w14:paraId="250D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500" w:type="dxa"/>
          </w:tcPr>
          <w:p w14:paraId="6F264426">
            <w:pPr>
              <w:keepNext w:val="0"/>
              <w:keepLines w:val="0"/>
              <w:suppressLineNumbers w:val="0"/>
              <w:spacing w:before="0" w:beforeAutospacing="0" w:after="0" w:afterAutospacing="0"/>
              <w:ind w:left="0" w:right="0"/>
              <w:rPr>
                <w:rFonts w:hint="eastAsia" w:ascii="宋体" w:hAnsi="宋体" w:eastAsia="宋体" w:cs="宋体"/>
                <w:color w:val="auto"/>
                <w:vertAlign w:val="baseline"/>
                <w:lang w:val="en-US" w:eastAsia="zh-CN"/>
              </w:rPr>
            </w:pPr>
          </w:p>
        </w:tc>
      </w:tr>
    </w:tbl>
    <w:p w14:paraId="5FE3C5EF">
      <w:pPr>
        <w:rPr>
          <w:rFonts w:hint="eastAsia" w:ascii="宋体" w:hAnsi="宋体" w:eastAsia="宋体" w:cs="宋体"/>
          <w:color w:val="auto"/>
          <w:lang w:val="en-US" w:eastAsia="zh-CN"/>
        </w:rPr>
      </w:pPr>
    </w:p>
    <w:p w14:paraId="2AC84F34">
      <w:pPr>
        <w:rPr>
          <w:rFonts w:hint="eastAsia" w:ascii="宋体" w:hAnsi="宋体" w:eastAsia="宋体" w:cs="宋体"/>
          <w:color w:val="auto"/>
          <w:sz w:val="32"/>
          <w:szCs w:val="32"/>
          <w:highlight w:val="none"/>
        </w:rPr>
      </w:pPr>
      <w:bookmarkStart w:id="4" w:name="_Toc28710"/>
      <w:r>
        <w:rPr>
          <w:rFonts w:hint="eastAsia" w:ascii="宋体" w:hAnsi="宋体" w:eastAsia="宋体" w:cs="宋体"/>
          <w:color w:val="auto"/>
          <w:sz w:val="32"/>
          <w:szCs w:val="32"/>
          <w:highlight w:val="none"/>
        </w:rPr>
        <w:br w:type="page"/>
      </w:r>
    </w:p>
    <w:p w14:paraId="5DC1B335">
      <w:pPr>
        <w:pStyle w:val="3"/>
        <w:keepLines w:val="0"/>
        <w:pageBreakBefore w:val="0"/>
        <w:shd w:val="clear" w:color="auto" w:fill="auto"/>
        <w:kinsoku/>
        <w:wordWrap/>
        <w:overflowPunct/>
        <w:topLinePunct w:val="0"/>
        <w:autoSpaceDE/>
        <w:autoSpaceDN/>
        <w:bidi w:val="0"/>
        <w:adjustRightInd/>
        <w:snapToGrid/>
        <w:spacing w:line="360" w:lineRule="exact"/>
        <w:ind w:left="0" w:firstLine="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投标人须知</w:t>
      </w:r>
      <w:bookmarkEnd w:id="4"/>
    </w:p>
    <w:p w14:paraId="647D5E21">
      <w:pPr>
        <w:pStyle w:val="4"/>
        <w:bidi w:val="0"/>
        <w:ind w:left="0" w:leftChars="0" w:firstLine="0" w:firstLineChars="0"/>
        <w:rPr>
          <w:rFonts w:hint="eastAsia" w:ascii="宋体" w:hAnsi="宋体" w:eastAsia="宋体" w:cs="宋体"/>
          <w:color w:val="auto"/>
          <w:lang w:val="en-US" w:eastAsia="zh-CN"/>
        </w:rPr>
      </w:pPr>
      <w:bookmarkStart w:id="5" w:name="_Toc8081"/>
      <w:r>
        <w:rPr>
          <w:rFonts w:hint="eastAsia" w:ascii="宋体" w:hAnsi="宋体" w:eastAsia="宋体" w:cs="宋体"/>
          <w:color w:val="auto"/>
          <w:lang w:val="en-US" w:eastAsia="zh-CN"/>
        </w:rPr>
        <w:t>一、投标人须知前附表</w:t>
      </w:r>
      <w:bookmarkEnd w:id="5"/>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460"/>
        <w:gridCol w:w="1258"/>
        <w:gridCol w:w="7049"/>
      </w:tblGrid>
      <w:tr w14:paraId="4F56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FED40A3">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71" w:type="pct"/>
            <w:gridSpan w:val="2"/>
            <w:noWrap w:val="0"/>
            <w:vAlign w:val="center"/>
          </w:tcPr>
          <w:p w14:paraId="0F4A5E39">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条款内容</w:t>
            </w:r>
          </w:p>
        </w:tc>
        <w:tc>
          <w:tcPr>
            <w:tcW w:w="3576" w:type="pct"/>
            <w:noWrap w:val="0"/>
            <w:vAlign w:val="center"/>
          </w:tcPr>
          <w:p w14:paraId="0CA19DA6">
            <w:pPr>
              <w:keepNext w:val="0"/>
              <w:keepLines w:val="0"/>
              <w:pageBreakBefore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编列内容</w:t>
            </w:r>
          </w:p>
        </w:tc>
      </w:tr>
      <w:tr w14:paraId="0FE6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EDF437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871" w:type="pct"/>
            <w:gridSpan w:val="2"/>
            <w:noWrap w:val="0"/>
            <w:vAlign w:val="center"/>
          </w:tcPr>
          <w:p w14:paraId="0247E8D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建设单位</w:t>
            </w:r>
          </w:p>
          <w:p w14:paraId="00B508A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（项目业主）</w:t>
            </w:r>
          </w:p>
        </w:tc>
        <w:tc>
          <w:tcPr>
            <w:tcW w:w="3576" w:type="pct"/>
            <w:noWrap w:val="0"/>
            <w:vAlign w:val="center"/>
          </w:tcPr>
          <w:p w14:paraId="471FFC1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auto"/>
                <w:spacing w:val="0"/>
                <w:sz w:val="24"/>
                <w:szCs w:val="24"/>
                <w:highlight w:val="none"/>
                <w:lang w:eastAsia="zh-CN"/>
              </w:rPr>
              <w:t>韶关市浈江区犁市镇人民政府</w:t>
            </w:r>
          </w:p>
        </w:tc>
      </w:tr>
      <w:tr w14:paraId="7D5D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51" w:type="pct"/>
            <w:noWrap w:val="0"/>
            <w:vAlign w:val="center"/>
          </w:tcPr>
          <w:p w14:paraId="2308D8C3">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871" w:type="pct"/>
            <w:gridSpan w:val="2"/>
            <w:noWrap w:val="0"/>
            <w:vAlign w:val="center"/>
          </w:tcPr>
          <w:p w14:paraId="7BC2380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招标人</w:t>
            </w:r>
          </w:p>
        </w:tc>
        <w:tc>
          <w:tcPr>
            <w:tcW w:w="3576" w:type="pct"/>
            <w:noWrap w:val="0"/>
            <w:vAlign w:val="center"/>
          </w:tcPr>
          <w:p w14:paraId="70593A6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auto"/>
                <w:spacing w:val="0"/>
                <w:sz w:val="24"/>
                <w:szCs w:val="24"/>
                <w:highlight w:val="none"/>
                <w:lang w:eastAsia="zh-CN"/>
              </w:rPr>
              <w:t>韶关市浈江区犁市镇人民政府</w:t>
            </w:r>
          </w:p>
        </w:tc>
      </w:tr>
      <w:tr w14:paraId="024E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1" w:type="pct"/>
            <w:noWrap w:val="0"/>
            <w:vAlign w:val="center"/>
          </w:tcPr>
          <w:p w14:paraId="58046597">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871" w:type="pct"/>
            <w:gridSpan w:val="2"/>
            <w:noWrap w:val="0"/>
            <w:vAlign w:val="center"/>
          </w:tcPr>
          <w:p w14:paraId="02FDC4D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招标代理机构</w:t>
            </w:r>
          </w:p>
        </w:tc>
        <w:tc>
          <w:tcPr>
            <w:tcW w:w="3576" w:type="pct"/>
            <w:noWrap w:val="0"/>
            <w:vAlign w:val="center"/>
          </w:tcPr>
          <w:p w14:paraId="192B3E0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cs="宋体"/>
                <w:i w:val="0"/>
                <w:color w:val="auto"/>
                <w:sz w:val="24"/>
                <w:szCs w:val="24"/>
                <w:highlight w:val="none"/>
                <w:u w:val="none"/>
                <w:lang w:val="en-US" w:eastAsia="zh-CN"/>
              </w:rPr>
              <w:t>海通国际设计有限公司</w:t>
            </w:r>
          </w:p>
        </w:tc>
      </w:tr>
      <w:tr w14:paraId="37A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1" w:type="pct"/>
            <w:noWrap w:val="0"/>
            <w:vAlign w:val="center"/>
          </w:tcPr>
          <w:p w14:paraId="57F9FFF3">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871" w:type="pct"/>
            <w:gridSpan w:val="2"/>
            <w:noWrap w:val="0"/>
            <w:vAlign w:val="center"/>
          </w:tcPr>
          <w:p w14:paraId="4A1582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招标项目名称</w:t>
            </w:r>
          </w:p>
        </w:tc>
        <w:tc>
          <w:tcPr>
            <w:tcW w:w="3576" w:type="pct"/>
            <w:noWrap w:val="0"/>
            <w:vAlign w:val="center"/>
          </w:tcPr>
          <w:p w14:paraId="6C5887B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i w:val="0"/>
                <w:iCs w:val="0"/>
                <w:caps w:val="0"/>
                <w:color w:val="auto"/>
                <w:spacing w:val="0"/>
                <w:sz w:val="24"/>
                <w:szCs w:val="24"/>
                <w:highlight w:val="none"/>
                <w:lang w:eastAsia="zh-CN"/>
              </w:rPr>
              <w:t>浈江区犁市镇内腾村人居环境整治提升项目施工</w:t>
            </w:r>
          </w:p>
        </w:tc>
      </w:tr>
      <w:tr w14:paraId="599B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7206FA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871" w:type="pct"/>
            <w:gridSpan w:val="2"/>
            <w:noWrap w:val="0"/>
            <w:vAlign w:val="center"/>
          </w:tcPr>
          <w:p w14:paraId="534EEFC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项目批准部门及项目批准文号</w:t>
            </w:r>
          </w:p>
        </w:tc>
        <w:tc>
          <w:tcPr>
            <w:tcW w:w="3576" w:type="pct"/>
            <w:noWrap w:val="0"/>
            <w:vAlign w:val="center"/>
          </w:tcPr>
          <w:p w14:paraId="5AABDB1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cs="宋体"/>
                <w:bCs/>
                <w:snapToGrid w:val="0"/>
                <w:color w:val="auto"/>
                <w:kern w:val="0"/>
                <w:sz w:val="24"/>
                <w:szCs w:val="24"/>
                <w:highlight w:val="none"/>
                <w:lang w:val="en-US" w:eastAsia="zh-CN"/>
              </w:rPr>
              <w:t>韶关市浈江区发展和改革局/韶浈发改投审〔2026〕17号</w:t>
            </w:r>
          </w:p>
        </w:tc>
      </w:tr>
      <w:tr w14:paraId="5290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1" w:type="pct"/>
            <w:noWrap w:val="0"/>
            <w:vAlign w:val="center"/>
          </w:tcPr>
          <w:p w14:paraId="781FC21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w:t>
            </w:r>
          </w:p>
        </w:tc>
        <w:tc>
          <w:tcPr>
            <w:tcW w:w="871" w:type="pct"/>
            <w:gridSpan w:val="2"/>
            <w:noWrap w:val="0"/>
            <w:vAlign w:val="center"/>
          </w:tcPr>
          <w:p w14:paraId="5643D5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项目代码</w:t>
            </w:r>
          </w:p>
        </w:tc>
        <w:tc>
          <w:tcPr>
            <w:tcW w:w="3576" w:type="pct"/>
            <w:noWrap w:val="0"/>
            <w:vAlign w:val="center"/>
          </w:tcPr>
          <w:p w14:paraId="2BDF8DC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2601-440204-04-01-636216</w:t>
            </w:r>
          </w:p>
        </w:tc>
      </w:tr>
      <w:tr w14:paraId="294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551" w:type="pct"/>
            <w:noWrap w:val="0"/>
            <w:vAlign w:val="center"/>
          </w:tcPr>
          <w:p w14:paraId="6FF93BF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871" w:type="pct"/>
            <w:gridSpan w:val="2"/>
            <w:noWrap w:val="0"/>
            <w:vAlign w:val="center"/>
          </w:tcPr>
          <w:p w14:paraId="10080E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建设地点</w:t>
            </w:r>
          </w:p>
        </w:tc>
        <w:tc>
          <w:tcPr>
            <w:tcW w:w="3576" w:type="pct"/>
            <w:noWrap w:val="0"/>
            <w:vAlign w:val="center"/>
          </w:tcPr>
          <w:p w14:paraId="478DA89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rPr>
            </w:pPr>
            <w:r>
              <w:rPr>
                <w:rFonts w:hint="eastAsia" w:ascii="宋体" w:hAnsi="宋体" w:cs="宋体"/>
                <w:bCs/>
                <w:snapToGrid w:val="0"/>
                <w:color w:val="auto"/>
                <w:kern w:val="0"/>
                <w:sz w:val="24"/>
                <w:szCs w:val="24"/>
                <w:highlight w:val="none"/>
                <w:lang w:val="en-US" w:eastAsia="zh-CN"/>
              </w:rPr>
              <w:t>韶关市浈江区犁市镇内腾村</w:t>
            </w:r>
          </w:p>
        </w:tc>
      </w:tr>
      <w:tr w14:paraId="190B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pct"/>
            <w:noWrap w:val="0"/>
            <w:vAlign w:val="center"/>
          </w:tcPr>
          <w:p w14:paraId="70086E2E">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7</w:t>
            </w:r>
          </w:p>
        </w:tc>
        <w:tc>
          <w:tcPr>
            <w:tcW w:w="871" w:type="pct"/>
            <w:gridSpan w:val="2"/>
            <w:noWrap w:val="0"/>
            <w:vAlign w:val="center"/>
          </w:tcPr>
          <w:p w14:paraId="3A50AFA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建设规模</w:t>
            </w:r>
          </w:p>
        </w:tc>
        <w:tc>
          <w:tcPr>
            <w:tcW w:w="3576" w:type="pct"/>
            <w:noWrap w:val="0"/>
            <w:vAlign w:val="center"/>
          </w:tcPr>
          <w:p w14:paraId="374C2F69">
            <w:pPr>
              <w:keepNext w:val="0"/>
              <w:keepLines w:val="0"/>
              <w:widowControl/>
              <w:suppressLineNumbers w:val="0"/>
              <w:shd w:val="clear" w:color="auto" w:fill="auto"/>
              <w:jc w:val="left"/>
              <w:textAlignment w:val="center"/>
              <w:rPr>
                <w:rFonts w:hint="eastAsia" w:ascii="宋体" w:hAnsi="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本项目工程位于犁市镇内腾村，项目用地总面积约156341.45平方米(约234.51亩)。主要建设内容为重要节点提升、道路修复、三线整治和绿美绿化等。</w:t>
            </w:r>
          </w:p>
          <w:p w14:paraId="7054CF3E">
            <w:pPr>
              <w:pStyle w:val="54"/>
              <w:jc w:val="both"/>
              <w:rPr>
                <w:rFonts w:hint="eastAsia"/>
                <w:lang w:val="en-US"/>
              </w:rPr>
            </w:pPr>
            <w:r>
              <w:rPr>
                <w:rFonts w:hint="eastAsia" w:ascii="宋体" w:hAnsi="宋体" w:eastAsia="宋体" w:cs="宋体"/>
                <w:b w:val="0"/>
                <w:bCs/>
                <w:snapToGrid w:val="0"/>
                <w:color w:val="auto"/>
                <w:kern w:val="0"/>
                <w:sz w:val="24"/>
                <w:szCs w:val="24"/>
                <w:highlight w:val="none"/>
                <w:lang w:val="en-US" w:eastAsia="zh-CN" w:bidi="ar-SA"/>
              </w:rPr>
              <w:t>项目概算总投资</w:t>
            </w:r>
            <w:r>
              <w:rPr>
                <w:rFonts w:hint="eastAsia" w:ascii="宋体" w:hAnsi="宋体" w:cs="宋体"/>
                <w:b w:val="0"/>
                <w:bCs/>
                <w:snapToGrid w:val="0"/>
                <w:color w:val="auto"/>
                <w:kern w:val="0"/>
                <w:sz w:val="24"/>
                <w:szCs w:val="24"/>
                <w:highlight w:val="none"/>
                <w:lang w:val="en-US" w:eastAsia="zh-CN" w:bidi="ar-SA"/>
              </w:rPr>
              <w:t>647.91</w:t>
            </w:r>
            <w:r>
              <w:rPr>
                <w:rFonts w:hint="eastAsia" w:ascii="宋体" w:hAnsi="宋体" w:eastAsia="宋体" w:cs="宋体"/>
                <w:b w:val="0"/>
                <w:bCs/>
                <w:snapToGrid w:val="0"/>
                <w:color w:val="auto"/>
                <w:kern w:val="0"/>
                <w:sz w:val="24"/>
                <w:szCs w:val="24"/>
                <w:highlight w:val="none"/>
                <w:lang w:val="en-US" w:eastAsia="zh-CN" w:bidi="ar-SA"/>
              </w:rPr>
              <w:t>万元，其中工程费用</w:t>
            </w:r>
            <w:r>
              <w:rPr>
                <w:rFonts w:hint="eastAsia" w:ascii="宋体" w:hAnsi="宋体" w:cs="宋体"/>
                <w:b w:val="0"/>
                <w:bCs/>
                <w:snapToGrid w:val="0"/>
                <w:color w:val="auto"/>
                <w:kern w:val="0"/>
                <w:sz w:val="24"/>
                <w:szCs w:val="24"/>
                <w:highlight w:val="none"/>
                <w:lang w:val="en-US" w:eastAsia="zh-CN" w:bidi="ar-SA"/>
              </w:rPr>
              <w:t>574.85</w:t>
            </w:r>
            <w:r>
              <w:rPr>
                <w:rFonts w:hint="eastAsia" w:ascii="宋体" w:hAnsi="宋体" w:eastAsia="宋体" w:cs="宋体"/>
                <w:b w:val="0"/>
                <w:bCs/>
                <w:snapToGrid w:val="0"/>
                <w:color w:val="auto"/>
                <w:kern w:val="0"/>
                <w:sz w:val="24"/>
                <w:szCs w:val="24"/>
                <w:highlight w:val="none"/>
                <w:lang w:val="en-US" w:eastAsia="zh-CN" w:bidi="ar-SA"/>
              </w:rPr>
              <w:t>万元</w:t>
            </w:r>
            <w:r>
              <w:rPr>
                <w:rFonts w:hint="eastAsia" w:ascii="宋体" w:hAnsi="宋体" w:cs="宋体"/>
                <w:b w:val="0"/>
                <w:bCs/>
                <w:snapToGrid w:val="0"/>
                <w:color w:val="auto"/>
                <w:kern w:val="0"/>
                <w:sz w:val="24"/>
                <w:szCs w:val="24"/>
                <w:highlight w:val="none"/>
                <w:lang w:val="en-US" w:eastAsia="zh-CN" w:bidi="ar-SA"/>
              </w:rPr>
              <w:t>。</w:t>
            </w:r>
          </w:p>
        </w:tc>
      </w:tr>
      <w:tr w14:paraId="6D27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 w:type="pct"/>
            <w:noWrap w:val="0"/>
            <w:vAlign w:val="center"/>
          </w:tcPr>
          <w:p w14:paraId="6FF77B3D">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71" w:type="pct"/>
            <w:gridSpan w:val="2"/>
            <w:noWrap w:val="0"/>
            <w:vAlign w:val="center"/>
          </w:tcPr>
          <w:p w14:paraId="667721F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资金来源情况</w:t>
            </w:r>
          </w:p>
        </w:tc>
        <w:tc>
          <w:tcPr>
            <w:tcW w:w="3576" w:type="pct"/>
            <w:noWrap w:val="0"/>
            <w:vAlign w:val="center"/>
          </w:tcPr>
          <w:p w14:paraId="4489B0B1">
            <w:pPr>
              <w:pStyle w:val="18"/>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color w:val="auto"/>
                <w:sz w:val="24"/>
                <w:szCs w:val="24"/>
                <w:highlight w:val="none"/>
              </w:rPr>
            </w:pPr>
            <w:r>
              <w:rPr>
                <w:rFonts w:hint="eastAsia" w:cs="宋体"/>
                <w:bCs/>
                <w:snapToGrid w:val="0"/>
                <w:color w:val="auto"/>
                <w:kern w:val="0"/>
                <w:sz w:val="24"/>
                <w:szCs w:val="24"/>
                <w:highlight w:val="none"/>
                <w:lang w:val="en-US" w:eastAsia="zh-CN"/>
              </w:rPr>
              <w:t>上级财政投资、地方配套和自筹解决</w:t>
            </w:r>
            <w:r>
              <w:rPr>
                <w:rFonts w:hint="eastAsia" w:ascii="宋体" w:hAnsi="宋体" w:eastAsia="宋体" w:cs="宋体"/>
                <w:bCs/>
                <w:snapToGrid w:val="0"/>
                <w:color w:val="auto"/>
                <w:kern w:val="0"/>
                <w:sz w:val="24"/>
                <w:szCs w:val="24"/>
                <w:highlight w:val="none"/>
                <w:lang w:val="en-US" w:eastAsia="zh-CN"/>
              </w:rPr>
              <w:t>。</w:t>
            </w:r>
          </w:p>
        </w:tc>
      </w:tr>
      <w:tr w14:paraId="54B9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51" w:type="pct"/>
            <w:noWrap w:val="0"/>
            <w:vAlign w:val="center"/>
          </w:tcPr>
          <w:p w14:paraId="600BC5A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871" w:type="pct"/>
            <w:gridSpan w:val="2"/>
            <w:noWrap w:val="0"/>
            <w:vAlign w:val="center"/>
          </w:tcPr>
          <w:p w14:paraId="09E5FA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资金到位情况</w:t>
            </w:r>
          </w:p>
        </w:tc>
        <w:tc>
          <w:tcPr>
            <w:tcW w:w="3576" w:type="pct"/>
            <w:noWrap w:val="0"/>
            <w:vAlign w:val="center"/>
          </w:tcPr>
          <w:p w14:paraId="24227E01">
            <w:pPr>
              <w:pStyle w:val="18"/>
              <w:keepNext w:val="0"/>
              <w:keepLines w:val="0"/>
              <w:pageBreakBefore w:val="0"/>
              <w:kinsoku/>
              <w:wordWrap/>
              <w:overflowPunct/>
              <w:topLinePunct w:val="0"/>
              <w:autoSpaceDE/>
              <w:autoSpaceDN/>
              <w:bidi w:val="0"/>
              <w:adjustRightInd/>
              <w:snapToGrid/>
              <w:spacing w:before="0" w:beforeLines="0" w:after="0" w:afterLines="0" w:line="360" w:lineRule="auto"/>
              <w:jc w:val="both"/>
              <w:textAlignment w:val="auto"/>
              <w:rPr>
                <w:rStyle w:val="24"/>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bidi="ar-SA"/>
              </w:rPr>
              <w:t>已落实。</w:t>
            </w:r>
          </w:p>
        </w:tc>
      </w:tr>
      <w:tr w14:paraId="2840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51" w:type="pct"/>
            <w:vMerge w:val="restart"/>
            <w:noWrap w:val="0"/>
            <w:vAlign w:val="center"/>
          </w:tcPr>
          <w:p w14:paraId="07348FCB">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p w14:paraId="59D5C16C">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33" w:type="pct"/>
            <w:vMerge w:val="restart"/>
            <w:noWrap w:val="0"/>
            <w:vAlign w:val="center"/>
          </w:tcPr>
          <w:p w14:paraId="217F2D04">
            <w:pPr>
              <w:pStyle w:val="18"/>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工程类型及招标范围</w:t>
            </w:r>
          </w:p>
        </w:tc>
        <w:tc>
          <w:tcPr>
            <w:tcW w:w="638" w:type="pct"/>
            <w:noWrap w:val="0"/>
            <w:vAlign w:val="center"/>
          </w:tcPr>
          <w:p w14:paraId="516FABC1">
            <w:pPr>
              <w:pStyle w:val="18"/>
              <w:keepNext w:val="0"/>
              <w:keepLines w:val="0"/>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工程类型</w:t>
            </w:r>
          </w:p>
        </w:tc>
        <w:tc>
          <w:tcPr>
            <w:tcW w:w="3576" w:type="pct"/>
            <w:noWrap w:val="0"/>
            <w:vAlign w:val="center"/>
          </w:tcPr>
          <w:p w14:paraId="5ECB5A10">
            <w:pPr>
              <w:pStyle w:val="18"/>
              <w:keepNext w:val="0"/>
              <w:keepLines w:val="0"/>
              <w:pageBreakBefore w:val="0"/>
              <w:overflowPunct/>
              <w:topLinePunct w:val="0"/>
              <w:bidi w:val="0"/>
              <w:spacing w:before="0" w:beforeLines="0" w:after="0" w:afterLines="0" w:line="360" w:lineRule="auto"/>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房屋</w:t>
            </w:r>
            <w:r>
              <w:rPr>
                <w:rFonts w:hint="eastAsia" w:cs="宋体"/>
                <w:bCs/>
                <w:snapToGrid w:val="0"/>
                <w:color w:val="auto"/>
                <w:kern w:val="0"/>
                <w:sz w:val="24"/>
                <w:szCs w:val="24"/>
                <w:highlight w:val="none"/>
                <w:lang w:val="en-US" w:eastAsia="zh-CN" w:bidi="ar-SA"/>
              </w:rPr>
              <w:t>市政公用工程</w:t>
            </w:r>
            <w:r>
              <w:rPr>
                <w:rFonts w:hint="eastAsia" w:ascii="宋体" w:hAnsi="宋体" w:eastAsia="宋体" w:cs="宋体"/>
                <w:bCs/>
                <w:snapToGrid w:val="0"/>
                <w:color w:val="auto"/>
                <w:kern w:val="0"/>
                <w:sz w:val="24"/>
                <w:szCs w:val="24"/>
                <w:highlight w:val="none"/>
                <w:lang w:val="en-US" w:eastAsia="zh-CN" w:bidi="ar-SA"/>
              </w:rPr>
              <w:t xml:space="preserve">  </w:t>
            </w:r>
            <w:r>
              <w:rPr>
                <w:rFonts w:hint="eastAsia" w:cs="宋体"/>
                <w:bCs/>
                <w:snapToGrid w:val="0"/>
                <w:color w:val="auto"/>
                <w:kern w:val="0"/>
                <w:sz w:val="24"/>
                <w:szCs w:val="24"/>
                <w:highlight w:val="none"/>
                <w:lang w:val="en-US" w:eastAsia="zh-CN" w:bidi="ar-SA"/>
              </w:rPr>
              <w:t>☑</w:t>
            </w:r>
            <w:r>
              <w:rPr>
                <w:rFonts w:hint="eastAsia" w:ascii="宋体" w:hAnsi="宋体" w:eastAsia="宋体" w:cs="宋体"/>
                <w:bCs/>
                <w:snapToGrid w:val="0"/>
                <w:color w:val="auto"/>
                <w:kern w:val="0"/>
                <w:sz w:val="24"/>
                <w:szCs w:val="24"/>
                <w:highlight w:val="none"/>
                <w:lang w:val="en-US" w:eastAsia="zh-CN" w:bidi="ar-SA"/>
              </w:rPr>
              <w:t>市政基础设施工程  □绿化工程（园林）</w:t>
            </w:r>
          </w:p>
          <w:p w14:paraId="5B810317">
            <w:pPr>
              <w:pStyle w:val="18"/>
              <w:keepNext w:val="0"/>
              <w:keepLines w:val="0"/>
              <w:pageBreakBefore w:val="0"/>
              <w:overflowPunct/>
              <w:topLinePunct w:val="0"/>
              <w:bidi w:val="0"/>
              <w:spacing w:before="0" w:beforeLines="0" w:after="0" w:afterLines="0" w:line="360" w:lineRule="auto"/>
              <w:jc w:val="both"/>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□人防工程       □</w:t>
            </w:r>
            <w:r>
              <w:rPr>
                <w:rFonts w:hint="eastAsia" w:cs="宋体"/>
                <w:bCs/>
                <w:snapToGrid w:val="0"/>
                <w:color w:val="auto"/>
                <w:kern w:val="0"/>
                <w:sz w:val="24"/>
                <w:szCs w:val="24"/>
                <w:highlight w:val="none"/>
                <w:lang w:val="en-US" w:eastAsia="zh-CN" w:bidi="ar-SA"/>
              </w:rPr>
              <w:t>其他</w:t>
            </w:r>
            <w:r>
              <w:rPr>
                <w:rFonts w:hint="eastAsia" w:ascii="宋体" w:hAnsi="宋体" w:eastAsia="宋体" w:cs="宋体"/>
                <w:bCs/>
                <w:snapToGrid w:val="0"/>
                <w:color w:val="auto"/>
                <w:kern w:val="0"/>
                <w:sz w:val="24"/>
                <w:szCs w:val="24"/>
                <w:highlight w:val="none"/>
                <w:lang w:val="en-US" w:eastAsia="zh-CN" w:bidi="ar-SA"/>
              </w:rPr>
              <w:t xml:space="preserve"> </w:t>
            </w:r>
            <w:r>
              <w:rPr>
                <w:rFonts w:hint="eastAsia" w:ascii="宋体" w:hAnsi="宋体" w:eastAsia="宋体" w:cs="宋体"/>
                <w:bCs/>
                <w:snapToGrid w:val="0"/>
                <w:color w:val="auto"/>
                <w:kern w:val="0"/>
                <w:sz w:val="24"/>
                <w:szCs w:val="24"/>
                <w:highlight w:val="none"/>
                <w:u w:val="single"/>
                <w:lang w:val="en-US" w:eastAsia="zh-CN" w:bidi="ar-SA"/>
              </w:rPr>
              <w:t xml:space="preserve">      </w:t>
            </w:r>
            <w:r>
              <w:rPr>
                <w:rFonts w:hint="eastAsia" w:ascii="宋体" w:hAnsi="宋体" w:eastAsia="宋体" w:cs="宋体"/>
                <w:bCs/>
                <w:snapToGrid w:val="0"/>
                <w:color w:val="auto"/>
                <w:kern w:val="0"/>
                <w:sz w:val="24"/>
                <w:szCs w:val="24"/>
                <w:highlight w:val="none"/>
                <w:lang w:val="en-US" w:eastAsia="zh-CN" w:bidi="ar-SA"/>
              </w:rPr>
              <w:t>。</w:t>
            </w:r>
          </w:p>
        </w:tc>
      </w:tr>
      <w:tr w14:paraId="1E3A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51" w:type="pct"/>
            <w:vMerge w:val="continue"/>
            <w:noWrap w:val="0"/>
            <w:vAlign w:val="center"/>
          </w:tcPr>
          <w:p w14:paraId="7F33487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c>
          <w:tcPr>
            <w:tcW w:w="233" w:type="pct"/>
            <w:vMerge w:val="continue"/>
            <w:noWrap w:val="0"/>
            <w:vAlign w:val="center"/>
          </w:tcPr>
          <w:p w14:paraId="008FD1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napToGrid w:val="0"/>
                <w:color w:val="auto"/>
                <w:kern w:val="0"/>
                <w:sz w:val="24"/>
                <w:szCs w:val="24"/>
                <w:highlight w:val="none"/>
                <w:lang w:val="en-US" w:eastAsia="zh-CN"/>
              </w:rPr>
            </w:pPr>
          </w:p>
        </w:tc>
        <w:tc>
          <w:tcPr>
            <w:tcW w:w="638" w:type="pct"/>
            <w:noWrap w:val="0"/>
            <w:vAlign w:val="center"/>
          </w:tcPr>
          <w:p w14:paraId="703765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工程建设内容及招标范围（含标段划分）</w:t>
            </w:r>
          </w:p>
        </w:tc>
        <w:tc>
          <w:tcPr>
            <w:tcW w:w="3576" w:type="pct"/>
            <w:noWrap w:val="0"/>
            <w:vAlign w:val="center"/>
          </w:tcPr>
          <w:p w14:paraId="020CE9D9">
            <w:pPr>
              <w:keepNext w:val="0"/>
              <w:keepLines w:val="0"/>
              <w:widowControl/>
              <w:suppressLineNumbers w:val="0"/>
              <w:shd w:val="clear" w:color="auto" w:fill="auto"/>
              <w:spacing w:line="360" w:lineRule="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1.主要建设内容：</w:t>
            </w:r>
            <w:r>
              <w:rPr>
                <w:rFonts w:hint="eastAsia" w:ascii="宋体" w:hAnsi="宋体" w:cs="宋体"/>
                <w:bCs/>
                <w:snapToGrid w:val="0"/>
                <w:color w:val="auto"/>
                <w:kern w:val="0"/>
                <w:sz w:val="24"/>
                <w:szCs w:val="24"/>
                <w:highlight w:val="none"/>
                <w:lang w:val="en-US" w:eastAsia="zh-CN"/>
              </w:rPr>
              <w:t>本项目工程位于犁市镇内腾村，项目用地总面积约156341.45平方米(约234.51亩)。主要建设内容为重要节点提升、道路修复、三线整治和绿美绿化等。</w:t>
            </w:r>
          </w:p>
          <w:p w14:paraId="031F8B46">
            <w:pPr>
              <w:keepNext w:val="0"/>
              <w:keepLines w:val="0"/>
              <w:widowControl/>
              <w:suppressLineNumbers w:val="0"/>
              <w:shd w:val="clear" w:color="auto" w:fill="auto"/>
              <w:spacing w:line="360" w:lineRule="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2.招标范围：按审查合格的施工图纸及工程量清单内容施工。</w:t>
            </w:r>
          </w:p>
          <w:p w14:paraId="7E5BE04B">
            <w:pPr>
              <w:keepNext w:val="0"/>
              <w:keepLines w:val="0"/>
              <w:widowControl/>
              <w:suppressLineNumbers w:val="0"/>
              <w:shd w:val="clear" w:color="auto" w:fill="auto"/>
              <w:spacing w:line="360" w:lineRule="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3.标段划分：</w:t>
            </w:r>
            <w:r>
              <w:rPr>
                <w:rFonts w:hint="eastAsia" w:ascii="宋体" w:hAnsi="宋体" w:eastAsia="宋体" w:cs="宋体"/>
                <w:bCs/>
                <w:snapToGrid w:val="0"/>
                <w:color w:val="auto"/>
                <w:kern w:val="0"/>
                <w:sz w:val="24"/>
                <w:szCs w:val="24"/>
                <w:highlight w:val="none"/>
                <w:lang w:val="en-US" w:eastAsia="zh-CN"/>
              </w:rPr>
              <w:tab/>
            </w:r>
            <w:r>
              <w:rPr>
                <w:rFonts w:hint="eastAsia" w:ascii="宋体" w:hAnsi="宋体" w:eastAsia="宋体" w:cs="宋体"/>
                <w:bCs/>
                <w:snapToGrid w:val="0"/>
                <w:color w:val="auto"/>
                <w:kern w:val="0"/>
                <w:sz w:val="24"/>
                <w:szCs w:val="24"/>
                <w:highlight w:val="none"/>
                <w:lang w:val="en-US" w:eastAsia="zh-CN"/>
              </w:rPr>
              <w:t>本招标项目不划分标段。</w:t>
            </w:r>
          </w:p>
        </w:tc>
      </w:tr>
      <w:tr w14:paraId="6728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A69A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4.1</w:t>
            </w:r>
          </w:p>
        </w:tc>
        <w:tc>
          <w:tcPr>
            <w:tcW w:w="871" w:type="pct"/>
            <w:gridSpan w:val="2"/>
            <w:noWrap w:val="0"/>
            <w:vAlign w:val="center"/>
          </w:tcPr>
          <w:p w14:paraId="1EA91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投标人资格要求</w:t>
            </w:r>
          </w:p>
        </w:tc>
        <w:tc>
          <w:tcPr>
            <w:tcW w:w="3576" w:type="pct"/>
            <w:noWrap w:val="0"/>
            <w:vAlign w:val="center"/>
          </w:tcPr>
          <w:p w14:paraId="518DB6A2">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投标人资格要求：</w:t>
            </w:r>
          </w:p>
          <w:p w14:paraId="397E2621">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①须持有建设行政主管部门颁发的</w:t>
            </w:r>
            <w:r>
              <w:rPr>
                <w:rFonts w:hint="eastAsia" w:ascii="宋体" w:hAnsi="宋体" w:cs="宋体"/>
                <w:bCs/>
                <w:snapToGrid w:val="0"/>
                <w:color w:val="auto"/>
                <w:kern w:val="0"/>
                <w:sz w:val="24"/>
                <w:szCs w:val="24"/>
                <w:highlight w:val="none"/>
                <w:lang w:val="en-US" w:eastAsia="zh-CN"/>
              </w:rPr>
              <w:t>市政公用工程施工总承包三级以上（含三级）</w:t>
            </w:r>
            <w:r>
              <w:rPr>
                <w:rFonts w:hint="eastAsia" w:ascii="宋体" w:hAnsi="宋体" w:eastAsia="宋体" w:cs="宋体"/>
                <w:bCs/>
                <w:snapToGrid w:val="0"/>
                <w:color w:val="auto"/>
                <w:kern w:val="0"/>
                <w:sz w:val="24"/>
                <w:szCs w:val="24"/>
                <w:highlight w:val="none"/>
                <w:lang w:val="en-US" w:eastAsia="zh-CN"/>
              </w:rPr>
              <w:t>质证书及安全生产许可证。</w:t>
            </w:r>
          </w:p>
          <w:p w14:paraId="42DD6136">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②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0D9F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7CFD5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4.2</w:t>
            </w:r>
          </w:p>
        </w:tc>
        <w:tc>
          <w:tcPr>
            <w:tcW w:w="871" w:type="pct"/>
            <w:gridSpan w:val="2"/>
            <w:noWrap w:val="0"/>
            <w:vAlign w:val="center"/>
          </w:tcPr>
          <w:p w14:paraId="39321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是否接受</w:t>
            </w:r>
          </w:p>
          <w:p w14:paraId="7C6FB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联合体投标</w:t>
            </w:r>
          </w:p>
        </w:tc>
        <w:tc>
          <w:tcPr>
            <w:tcW w:w="3576" w:type="pct"/>
            <w:noWrap w:val="0"/>
            <w:vAlign w:val="center"/>
          </w:tcPr>
          <w:p w14:paraId="573B7EF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☑不接受</w:t>
            </w:r>
          </w:p>
          <w:p w14:paraId="0EF051D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□接受</w:t>
            </w:r>
          </w:p>
        </w:tc>
      </w:tr>
      <w:tr w14:paraId="286A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A760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4.3</w:t>
            </w:r>
          </w:p>
        </w:tc>
        <w:tc>
          <w:tcPr>
            <w:tcW w:w="871" w:type="pct"/>
            <w:gridSpan w:val="2"/>
            <w:noWrap w:val="0"/>
            <w:vAlign w:val="center"/>
          </w:tcPr>
          <w:p w14:paraId="3A4930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相关人员资格要求</w:t>
            </w:r>
          </w:p>
        </w:tc>
        <w:tc>
          <w:tcPr>
            <w:tcW w:w="3576" w:type="pct"/>
            <w:noWrap w:val="0"/>
            <w:vAlign w:val="center"/>
          </w:tcPr>
          <w:p w14:paraId="6F570F60">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项目负责人资格要求：即项目经理为市政公用工程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开工未竣工、在项目开标时间仍在建筑市场监管平台被“锁定”无法报建的）建设工程项目的项目经理；</w:t>
            </w:r>
          </w:p>
          <w:p w14:paraId="384AFA52">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2.项目技术负责人资格要求：须具备市政工程相关专业中级以上（含中级）技术职称；</w:t>
            </w:r>
          </w:p>
          <w:p w14:paraId="6448CFD6">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3.项目专职安全员资格要求：须具备有效安全生产考核合格证明（C证），且不少于1人。</w:t>
            </w:r>
          </w:p>
          <w:p w14:paraId="40E99C3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cs="宋体"/>
                <w:bCs/>
                <w:snapToGrid w:val="0"/>
                <w:color w:val="auto"/>
                <w:kern w:val="0"/>
                <w:sz w:val="24"/>
                <w:szCs w:val="24"/>
                <w:highlight w:val="none"/>
                <w:lang w:val="en-US" w:eastAsia="zh-CN"/>
              </w:rPr>
              <w:t>4.</w:t>
            </w:r>
            <w:r>
              <w:rPr>
                <w:rFonts w:hint="eastAsia" w:ascii="宋体" w:hAnsi="宋体" w:eastAsia="宋体" w:cs="宋体"/>
                <w:bCs/>
                <w:snapToGrid w:val="0"/>
                <w:color w:val="auto"/>
                <w:kern w:val="0"/>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w:t>
            </w:r>
          </w:p>
        </w:tc>
      </w:tr>
      <w:tr w14:paraId="5B2A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41A1012">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p>
        </w:tc>
        <w:tc>
          <w:tcPr>
            <w:tcW w:w="871" w:type="pct"/>
            <w:gridSpan w:val="2"/>
            <w:noWrap w:val="0"/>
            <w:vAlign w:val="center"/>
          </w:tcPr>
          <w:p w14:paraId="59F9F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资格审查方式</w:t>
            </w:r>
          </w:p>
        </w:tc>
        <w:tc>
          <w:tcPr>
            <w:tcW w:w="3576" w:type="pct"/>
            <w:noWrap w:val="0"/>
            <w:vAlign w:val="center"/>
          </w:tcPr>
          <w:p w14:paraId="2AD5CB82">
            <w:pPr>
              <w:keepNext w:val="0"/>
              <w:keepLines w:val="0"/>
              <w:pageBreakBefore w:val="0"/>
              <w:overflowPunct/>
              <w:topLinePunct w:val="0"/>
              <w:bidi w:val="0"/>
              <w:spacing w:line="360" w:lineRule="auto"/>
              <w:textAlignment w:val="auto"/>
              <w:rPr>
                <w:rFonts w:hint="eastAsia" w:ascii="宋体" w:hAnsi="宋体" w:eastAsia="宋体" w:cs="宋体"/>
                <w:bCs/>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bidi="ar-SA"/>
              </w:rPr>
              <w:t>资格后审</w:t>
            </w:r>
          </w:p>
        </w:tc>
      </w:tr>
      <w:tr w14:paraId="1C6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1" w:type="pct"/>
            <w:noWrap w:val="0"/>
            <w:vAlign w:val="center"/>
          </w:tcPr>
          <w:p w14:paraId="5132E32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5</w:t>
            </w:r>
          </w:p>
          <w:p w14:paraId="0350800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7</w:t>
            </w:r>
          </w:p>
        </w:tc>
        <w:tc>
          <w:tcPr>
            <w:tcW w:w="871" w:type="pct"/>
            <w:gridSpan w:val="2"/>
            <w:noWrap w:val="0"/>
            <w:vAlign w:val="center"/>
          </w:tcPr>
          <w:p w14:paraId="04EBC83C">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电子开标评标方式</w:t>
            </w:r>
          </w:p>
        </w:tc>
        <w:tc>
          <w:tcPr>
            <w:tcW w:w="3576" w:type="pct"/>
            <w:noWrap w:val="0"/>
            <w:vAlign w:val="center"/>
          </w:tcPr>
          <w:p w14:paraId="2376B4DE">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本项目为韶关市建设工程交易系统全流程电子开标评标定标方式。</w:t>
            </w:r>
          </w:p>
        </w:tc>
      </w:tr>
      <w:tr w14:paraId="2474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1" w:type="pct"/>
            <w:noWrap w:val="0"/>
            <w:vAlign w:val="center"/>
          </w:tcPr>
          <w:p w14:paraId="6D833BAA">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12.1</w:t>
            </w:r>
          </w:p>
        </w:tc>
        <w:tc>
          <w:tcPr>
            <w:tcW w:w="871" w:type="pct"/>
            <w:gridSpan w:val="2"/>
            <w:noWrap w:val="0"/>
            <w:vAlign w:val="center"/>
          </w:tcPr>
          <w:p w14:paraId="6DB470E6">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承包方式</w:t>
            </w:r>
          </w:p>
        </w:tc>
        <w:tc>
          <w:tcPr>
            <w:tcW w:w="3576" w:type="pct"/>
            <w:noWrap w:val="0"/>
            <w:vAlign w:val="center"/>
          </w:tcPr>
          <w:p w14:paraId="4452A1C7">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本招标工程采用单价合同承包方式。</w:t>
            </w:r>
          </w:p>
        </w:tc>
      </w:tr>
      <w:tr w14:paraId="07FF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51" w:type="pct"/>
            <w:noWrap w:val="0"/>
            <w:vAlign w:val="center"/>
          </w:tcPr>
          <w:p w14:paraId="5D5C7BAA">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w:t>
            </w:r>
          </w:p>
          <w:p w14:paraId="2DD17AF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w:t>
            </w:r>
          </w:p>
        </w:tc>
        <w:tc>
          <w:tcPr>
            <w:tcW w:w="871" w:type="pct"/>
            <w:gridSpan w:val="2"/>
            <w:noWrap w:val="0"/>
            <w:vAlign w:val="center"/>
          </w:tcPr>
          <w:p w14:paraId="423CD2E7">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质量标准</w:t>
            </w:r>
          </w:p>
        </w:tc>
        <w:tc>
          <w:tcPr>
            <w:tcW w:w="3576" w:type="pct"/>
            <w:noWrap w:val="0"/>
            <w:vAlign w:val="center"/>
          </w:tcPr>
          <w:p w14:paraId="7D6D9C21">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本工程验收达到国家合格或以上标准。</w:t>
            </w:r>
          </w:p>
        </w:tc>
      </w:tr>
      <w:tr w14:paraId="3CFD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551" w:type="pct"/>
            <w:noWrap w:val="0"/>
            <w:vAlign w:val="center"/>
          </w:tcPr>
          <w:p w14:paraId="3F0019CE">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w:t>
            </w:r>
          </w:p>
        </w:tc>
        <w:tc>
          <w:tcPr>
            <w:tcW w:w="871" w:type="pct"/>
            <w:gridSpan w:val="2"/>
            <w:noWrap w:val="0"/>
            <w:vAlign w:val="center"/>
          </w:tcPr>
          <w:p w14:paraId="245D955A">
            <w:pPr>
              <w:keepNext w:val="0"/>
              <w:keepLines w:val="0"/>
              <w:pageBreakBefore w:val="0"/>
              <w:shd w:val="clear" w:color="auto" w:fill="auto"/>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工期要求</w:t>
            </w:r>
          </w:p>
        </w:tc>
        <w:tc>
          <w:tcPr>
            <w:tcW w:w="3576" w:type="pct"/>
            <w:noWrap w:val="0"/>
            <w:vAlign w:val="center"/>
          </w:tcPr>
          <w:p w14:paraId="6F33210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本工程施工招标工期为</w:t>
            </w:r>
            <w:r>
              <w:rPr>
                <w:rFonts w:hint="eastAsia" w:ascii="宋体" w:hAnsi="宋体" w:cs="宋体"/>
                <w:bCs/>
                <w:snapToGrid w:val="0"/>
                <w:color w:val="auto"/>
                <w:kern w:val="0"/>
                <w:sz w:val="24"/>
                <w:szCs w:val="24"/>
                <w:highlight w:val="none"/>
                <w:lang w:val="en-US" w:eastAsia="zh-CN"/>
              </w:rPr>
              <w:t>120个日历天</w:t>
            </w:r>
            <w:r>
              <w:rPr>
                <w:rFonts w:hint="eastAsia" w:ascii="宋体" w:hAnsi="宋体" w:eastAsia="宋体" w:cs="宋体"/>
                <w:bCs/>
                <w:snapToGrid w:val="0"/>
                <w:color w:val="auto"/>
                <w:kern w:val="0"/>
                <w:sz w:val="24"/>
                <w:szCs w:val="24"/>
                <w:highlight w:val="none"/>
                <w:lang w:val="en-US" w:eastAsia="zh-CN"/>
              </w:rPr>
              <w:t>。</w:t>
            </w:r>
          </w:p>
        </w:tc>
      </w:tr>
      <w:tr w14:paraId="7534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F2A0ED1">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.0</w:t>
            </w:r>
          </w:p>
        </w:tc>
        <w:tc>
          <w:tcPr>
            <w:tcW w:w="871" w:type="pct"/>
            <w:gridSpan w:val="2"/>
            <w:noWrap w:val="0"/>
            <w:vAlign w:val="center"/>
          </w:tcPr>
          <w:p w14:paraId="6835D4EE">
            <w:pPr>
              <w:pStyle w:val="6"/>
              <w:keepNext w:val="0"/>
              <w:keepLines w:val="0"/>
              <w:pageBreakBefore w:val="0"/>
              <w:shd w:val="clear" w:color="auto" w:fill="auto"/>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3576" w:type="pct"/>
            <w:noWrap w:val="0"/>
            <w:vAlign w:val="center"/>
          </w:tcPr>
          <w:p w14:paraId="7F733E6D">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投标人须上传（递交）投标文件：</w:t>
            </w:r>
          </w:p>
          <w:p w14:paraId="0238A10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1、电子投标文件一套：</w:t>
            </w:r>
          </w:p>
          <w:p w14:paraId="1D4C224A">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（1）商务标书1份；</w:t>
            </w:r>
          </w:p>
          <w:p w14:paraId="0DCC5087">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（2）经济标书1份；</w:t>
            </w:r>
          </w:p>
          <w:p w14:paraId="5BA32ADC">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（3）施工组织设计1份；</w:t>
            </w:r>
          </w:p>
          <w:p w14:paraId="3FC6F30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（4）定标文件1份；</w:t>
            </w:r>
          </w:p>
          <w:p w14:paraId="479E4BB4">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2、对应评审要求的分项响应文件（如有）。</w:t>
            </w:r>
          </w:p>
          <w:p w14:paraId="29CD3FF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7576FDD6">
            <w:pPr>
              <w:keepNext w:val="0"/>
              <w:keepLines w:val="0"/>
              <w:widowControl/>
              <w:suppressLineNumbers w:val="0"/>
              <w:shd w:val="clear" w:color="auto" w:fill="auto"/>
              <w:jc w:val="left"/>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7CB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51" w:type="pct"/>
            <w:noWrap w:val="0"/>
            <w:vAlign w:val="center"/>
          </w:tcPr>
          <w:p w14:paraId="577553B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14</w:t>
            </w:r>
          </w:p>
        </w:tc>
        <w:tc>
          <w:tcPr>
            <w:tcW w:w="871" w:type="pct"/>
            <w:gridSpan w:val="2"/>
            <w:noWrap w:val="0"/>
            <w:vAlign w:val="center"/>
          </w:tcPr>
          <w:p w14:paraId="60DAF43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最高投标</w:t>
            </w:r>
          </w:p>
          <w:p w14:paraId="00228D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
              </w:rPr>
              <w:t>限价</w:t>
            </w:r>
          </w:p>
        </w:tc>
        <w:tc>
          <w:tcPr>
            <w:tcW w:w="3576" w:type="pct"/>
            <w:noWrap w:val="0"/>
            <w:vAlign w:val="center"/>
          </w:tcPr>
          <w:p w14:paraId="6A5D6B05">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本招标项目最高投标限价为</w:t>
            </w:r>
            <w:r>
              <w:rPr>
                <w:rFonts w:hint="eastAsia" w:ascii="宋体" w:hAnsi="宋体" w:cs="宋体"/>
                <w:bCs/>
                <w:snapToGrid w:val="0"/>
                <w:color w:val="auto"/>
                <w:kern w:val="0"/>
                <w:sz w:val="24"/>
                <w:szCs w:val="24"/>
                <w:highlight w:val="none"/>
                <w:lang w:val="en-US" w:eastAsia="zh-CN"/>
              </w:rPr>
              <w:t>本招标项目最高投标限价、工程量清单、施工图最终以补充公告形式在开标前15天另行发布于相关网站，各投标人可在全国公共资源交易平台（广东省·韶关市）（https://ygp.gdzwfw.gov.cn/ggzy-portal/#/440200/index）自行下载。</w:t>
            </w:r>
          </w:p>
          <w:p w14:paraId="03866098">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具体详见招标文件“第八章   最高投标限价”。</w:t>
            </w:r>
          </w:p>
        </w:tc>
      </w:tr>
      <w:tr w14:paraId="4684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C94BD5D">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18.0</w:t>
            </w:r>
          </w:p>
        </w:tc>
        <w:tc>
          <w:tcPr>
            <w:tcW w:w="871" w:type="pct"/>
            <w:gridSpan w:val="2"/>
            <w:noWrap w:val="0"/>
            <w:vAlign w:val="center"/>
          </w:tcPr>
          <w:p w14:paraId="11D9F6A1">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投标有效期</w:t>
            </w:r>
          </w:p>
        </w:tc>
        <w:tc>
          <w:tcPr>
            <w:tcW w:w="3576" w:type="pct"/>
            <w:noWrap w:val="0"/>
            <w:vAlign w:val="center"/>
          </w:tcPr>
          <w:p w14:paraId="2D7E37F4">
            <w:pPr>
              <w:pStyle w:val="18"/>
              <w:keepNext w:val="0"/>
              <w:keepLines w:val="0"/>
              <w:pageBreakBefore w:val="0"/>
              <w:kinsoku/>
              <w:wordWrap/>
              <w:overflowPunct/>
              <w:topLinePunct w:val="0"/>
              <w:autoSpaceDE/>
              <w:autoSpaceDN/>
              <w:bidi w:val="0"/>
              <w:adjustRightInd/>
              <w:snapToGrid/>
              <w:spacing w:before="0" w:beforeLines="0" w:after="0" w:afterLines="0" w:line="240" w:lineRule="auto"/>
              <w:ind w:left="2891" w:hanging="2880" w:hangingChars="1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90天（从投标截止之日算起）</w:t>
            </w:r>
          </w:p>
          <w:p w14:paraId="0C257EC2">
            <w:pPr>
              <w:pStyle w:val="18"/>
              <w:keepNext w:val="0"/>
              <w:keepLines w:val="0"/>
              <w:pageBreakBefore w:val="0"/>
              <w:kinsoku/>
              <w:wordWrap/>
              <w:overflowPunct/>
              <w:topLinePunct w:val="0"/>
              <w:autoSpaceDE/>
              <w:autoSpaceDN/>
              <w:bidi w:val="0"/>
              <w:adjustRightInd/>
              <w:snapToGrid/>
              <w:spacing w:before="0" w:beforeLines="0" w:after="0" w:afterLines="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在投标有效期结束前出现特殊情况的，招标人可以书面形式要求所有投标人延长投标有效期。</w:t>
            </w:r>
          </w:p>
        </w:tc>
      </w:tr>
      <w:tr w14:paraId="4D9F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4B9AC7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w:t>
            </w:r>
          </w:p>
        </w:tc>
        <w:tc>
          <w:tcPr>
            <w:tcW w:w="871" w:type="pct"/>
            <w:gridSpan w:val="2"/>
            <w:noWrap w:val="0"/>
            <w:vAlign w:val="center"/>
          </w:tcPr>
          <w:p w14:paraId="36D9CA36">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房屋</w:t>
            </w:r>
            <w:r>
              <w:rPr>
                <w:rFonts w:hint="eastAsia" w:ascii="宋体" w:hAnsi="宋体" w:cs="宋体"/>
                <w:b w:val="0"/>
                <w:bCs w:val="0"/>
                <w:color w:val="auto"/>
                <w:kern w:val="0"/>
                <w:sz w:val="24"/>
                <w:szCs w:val="24"/>
                <w:highlight w:val="none"/>
                <w:lang w:val="en-US" w:eastAsia="zh-CN" w:bidi="ar"/>
              </w:rPr>
              <w:t>市政公用工程</w:t>
            </w:r>
            <w:r>
              <w:rPr>
                <w:rFonts w:hint="eastAsia" w:ascii="宋体" w:hAnsi="宋体" w:eastAsia="宋体" w:cs="宋体"/>
                <w:b w:val="0"/>
                <w:bCs w:val="0"/>
                <w:color w:val="auto"/>
                <w:kern w:val="0"/>
                <w:sz w:val="24"/>
                <w:szCs w:val="24"/>
                <w:highlight w:val="none"/>
                <w:lang w:val="en-US" w:eastAsia="zh-CN" w:bidi="ar"/>
              </w:rPr>
              <w:t>绿色建筑标准</w:t>
            </w:r>
          </w:p>
        </w:tc>
        <w:tc>
          <w:tcPr>
            <w:tcW w:w="3576" w:type="pct"/>
            <w:noWrap w:val="0"/>
            <w:vAlign w:val="center"/>
          </w:tcPr>
          <w:p w14:paraId="74FAA3D4">
            <w:pPr>
              <w:keepNext w:val="0"/>
              <w:keepLines w:val="0"/>
              <w:pageBreakBefore w:val="0"/>
              <w:widowControl w:val="0"/>
              <w:suppressLineNumbers w:val="0"/>
              <w:wordWrap w:val="0"/>
              <w:overflowPunct/>
              <w:topLinePunct w:val="0"/>
              <w:bidi w:val="0"/>
              <w:spacing w:beforeAutospacing="0" w:afterAutospacing="0" w:line="240" w:lineRule="auto"/>
              <w:ind w:right="0"/>
              <w:jc w:val="both"/>
              <w:textAlignment w:val="auto"/>
              <w:rPr>
                <w:rFonts w:hint="eastAsia" w:ascii="宋体" w:hAnsi="宋体" w:eastAsia="宋体" w:cs="宋体"/>
                <w:color w:val="auto"/>
                <w:sz w:val="24"/>
                <w:szCs w:val="24"/>
                <w:highlight w:val="none"/>
              </w:rPr>
            </w:pPr>
            <w:r>
              <w:rPr>
                <w:rFonts w:hint="eastAsia" w:ascii="宋体" w:hAnsi="宋体" w:cs="宋体"/>
                <w:snapToGrid w:val="0"/>
                <w:color w:val="auto"/>
                <w:kern w:val="0"/>
                <w:sz w:val="24"/>
                <w:szCs w:val="24"/>
                <w:highlight w:val="none"/>
                <w:lang w:eastAsia="zh-CN"/>
              </w:rPr>
              <w:t>本招标项目不纳入绿色建设实施范围</w:t>
            </w:r>
            <w:r>
              <w:rPr>
                <w:rFonts w:hint="eastAsia" w:ascii="宋体" w:hAnsi="宋体" w:eastAsia="宋体" w:cs="宋体"/>
                <w:snapToGrid w:val="0"/>
                <w:color w:val="auto"/>
                <w:kern w:val="0"/>
                <w:sz w:val="24"/>
                <w:szCs w:val="24"/>
                <w:highlight w:val="none"/>
                <w:lang w:eastAsia="zh-CN"/>
              </w:rPr>
              <w:t>。</w:t>
            </w:r>
          </w:p>
        </w:tc>
      </w:tr>
      <w:tr w14:paraId="7504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6DDA7A30">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w:t>
            </w:r>
          </w:p>
        </w:tc>
        <w:tc>
          <w:tcPr>
            <w:tcW w:w="871" w:type="pct"/>
            <w:gridSpan w:val="2"/>
            <w:noWrap w:val="0"/>
            <w:vAlign w:val="center"/>
          </w:tcPr>
          <w:p w14:paraId="43539AD9">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bidi="ar"/>
              </w:rPr>
              <w:t>装配式建筑标准</w:t>
            </w:r>
          </w:p>
        </w:tc>
        <w:tc>
          <w:tcPr>
            <w:tcW w:w="3576" w:type="pct"/>
            <w:noWrap w:val="0"/>
            <w:vAlign w:val="center"/>
          </w:tcPr>
          <w:p w14:paraId="4DF296EE">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color w:val="auto"/>
                <w:sz w:val="24"/>
                <w:szCs w:val="24"/>
                <w:highlight w:val="none"/>
                <w:lang w:val="en-US" w:eastAsia="zh-CN" w:bidi="ar"/>
              </w:rPr>
            </w:pP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u w:val="single"/>
                <w:lang w:val="en-US" w:eastAsia="zh-CN"/>
              </w:rPr>
              <w:t>不</w:t>
            </w:r>
            <w:r>
              <w:rPr>
                <w:rFonts w:hint="eastAsia" w:ascii="宋体" w:hAnsi="宋体" w:eastAsia="宋体" w:cs="宋体"/>
                <w:snapToGrid w:val="0"/>
                <w:color w:val="auto"/>
                <w:kern w:val="0"/>
                <w:sz w:val="24"/>
                <w:szCs w:val="24"/>
                <w:highlight w:val="none"/>
                <w:u w:val="single"/>
                <w:lang w:eastAsia="zh-CN"/>
              </w:rPr>
              <w:t>纳入</w:t>
            </w:r>
            <w:r>
              <w:rPr>
                <w:rFonts w:hint="eastAsia" w:ascii="宋体" w:hAnsi="宋体" w:eastAsia="宋体" w:cs="宋体"/>
                <w:snapToGrid w:val="0"/>
                <w:color w:val="auto"/>
                <w:kern w:val="0"/>
                <w:sz w:val="24"/>
                <w:szCs w:val="24"/>
                <w:highlight w:val="none"/>
                <w:lang w:eastAsia="zh-CN"/>
              </w:rPr>
              <w:t>装配式建造建设实施范围。</w:t>
            </w:r>
          </w:p>
        </w:tc>
      </w:tr>
      <w:tr w14:paraId="6646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DD2BE59">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871" w:type="pct"/>
            <w:gridSpan w:val="2"/>
            <w:noWrap w:val="0"/>
            <w:vAlign w:val="center"/>
          </w:tcPr>
          <w:p w14:paraId="0D8771C1">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leftChars="0" w:right="0" w:rightChars="0"/>
              <w:jc w:val="center"/>
              <w:textAlignment w:val="auto"/>
              <w:rPr>
                <w:rFonts w:hint="eastAsia" w:ascii="宋体" w:hAnsi="宋体" w:eastAsia="宋体" w:cs="宋体"/>
                <w:b w:val="0"/>
                <w:bCs w:val="0"/>
                <w:color w:val="auto"/>
                <w:sz w:val="24"/>
                <w:szCs w:val="24"/>
                <w:highlight w:val="none"/>
                <w:lang w:val="en-US" w:eastAsia="zh-CN" w:bidi="ar"/>
              </w:rPr>
            </w:pPr>
            <w:r>
              <w:rPr>
                <w:rFonts w:hint="eastAsia" w:ascii="宋体" w:hAnsi="宋体" w:eastAsia="宋体" w:cs="宋体"/>
                <w:b w:val="0"/>
                <w:bCs w:val="0"/>
                <w:color w:val="auto"/>
                <w:sz w:val="24"/>
                <w:szCs w:val="24"/>
                <w:highlight w:val="none"/>
                <w:lang w:val="en-US" w:eastAsia="zh-CN" w:bidi="ar"/>
              </w:rPr>
              <w:t>投标保证</w:t>
            </w:r>
          </w:p>
        </w:tc>
        <w:tc>
          <w:tcPr>
            <w:tcW w:w="3576" w:type="pct"/>
            <w:noWrap w:val="0"/>
            <w:vAlign w:val="center"/>
          </w:tcPr>
          <w:p w14:paraId="45174820">
            <w:pPr>
              <w:keepNext w:val="0"/>
              <w:keepLines w:val="0"/>
              <w:pageBreakBefore w:val="0"/>
              <w:widowControl w:val="0"/>
              <w:numPr>
                <w:ilvl w:val="0"/>
                <w:numId w:val="1"/>
              </w:numPr>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投标人须缴纳金额为人民币</w:t>
            </w:r>
            <w:r>
              <w:rPr>
                <w:rFonts w:hint="eastAsia" w:ascii="宋体" w:hAnsi="宋体" w:cs="宋体"/>
                <w:bCs/>
                <w:i w:val="0"/>
                <w:iCs w:val="0"/>
                <w:color w:val="auto"/>
                <w:sz w:val="24"/>
                <w:szCs w:val="24"/>
                <w:highlight w:val="none"/>
                <w:u w:val="single"/>
                <w:lang w:val="en-US" w:eastAsia="zh-CN" w:bidi="ar"/>
              </w:rPr>
              <w:t>4</w:t>
            </w:r>
            <w:r>
              <w:rPr>
                <w:rFonts w:hint="eastAsia" w:ascii="宋体" w:hAnsi="宋体" w:eastAsia="宋体" w:cs="宋体"/>
                <w:bCs/>
                <w:i w:val="0"/>
                <w:iCs w:val="0"/>
                <w:color w:val="auto"/>
                <w:sz w:val="24"/>
                <w:szCs w:val="24"/>
                <w:highlight w:val="none"/>
                <w:u w:val="single"/>
                <w:lang w:val="en-US" w:eastAsia="zh-CN" w:bidi="ar"/>
              </w:rPr>
              <w:t>万元</w:t>
            </w:r>
            <w:r>
              <w:rPr>
                <w:rFonts w:hint="eastAsia" w:ascii="宋体" w:hAnsi="宋体" w:eastAsia="宋体" w:cs="宋体"/>
                <w:bCs/>
                <w:i w:val="0"/>
                <w:iCs w:val="0"/>
                <w:color w:val="auto"/>
                <w:sz w:val="24"/>
                <w:szCs w:val="24"/>
                <w:highlight w:val="none"/>
                <w:lang w:val="en-US" w:eastAsia="zh-CN" w:bidi="ar"/>
              </w:rPr>
              <w:t>的投标保证。</w:t>
            </w:r>
          </w:p>
          <w:p w14:paraId="0DEADA59">
            <w:pPr>
              <w:keepNext w:val="0"/>
              <w:keepLines w:val="0"/>
              <w:pageBreakBefore w:val="0"/>
              <w:widowControl w:val="0"/>
              <w:numPr>
                <w:ilvl w:val="0"/>
                <w:numId w:val="1"/>
              </w:numPr>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投标保证的形式包括投标保证金、投标保证担保、投标保证保险三种，由投标人自主选择。</w:t>
            </w:r>
          </w:p>
          <w:p w14:paraId="055A8A67">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1）采用投标保证金的，投标人在建设工程交易系统获取招标文件完毕后，即可在系统申请缴纳投标保证金，获取本次招标投标保证金缴纳账号。投标人必须于投标保证金到账截止时间（见本章第二节“重要事项时间地点一览表”）前，从其基本账户将投标保证金转账到指定的缴纳账号。逾期到账的、从非投标人基本账户转出的，其投标无效。</w:t>
            </w:r>
          </w:p>
          <w:p w14:paraId="06F02E88">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EF3D104">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val="0"/>
                <w:iCs w:val="0"/>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706D02C1">
            <w:pPr>
              <w:keepNext w:val="0"/>
              <w:keepLines w:val="0"/>
              <w:pageBreakBefore w:val="0"/>
              <w:widowControl w:val="0"/>
              <w:suppressLineNumbers w:val="0"/>
              <w:wordWrap w:val="0"/>
              <w:overflowPunct/>
              <w:topLinePunct w:val="0"/>
              <w:bidi w:val="0"/>
              <w:spacing w:beforeAutospacing="0" w:afterAutospacing="0" w:line="240" w:lineRule="auto"/>
              <w:ind w:right="0" w:rightChars="0"/>
              <w:jc w:val="both"/>
              <w:textAlignment w:val="auto"/>
              <w:rPr>
                <w:rFonts w:hint="eastAsia" w:ascii="宋体" w:hAnsi="宋体" w:eastAsia="宋体" w:cs="宋体"/>
                <w:bCs/>
                <w:i/>
                <w:iCs/>
                <w:color w:val="auto"/>
                <w:sz w:val="24"/>
                <w:szCs w:val="24"/>
                <w:highlight w:val="none"/>
                <w:lang w:val="en-US" w:eastAsia="zh-CN" w:bidi="ar"/>
              </w:rPr>
            </w:pPr>
            <w:r>
              <w:rPr>
                <w:rFonts w:hint="eastAsia" w:ascii="宋体" w:hAnsi="宋体" w:eastAsia="宋体" w:cs="宋体"/>
                <w:bCs/>
                <w:i w:val="0"/>
                <w:iCs w:val="0"/>
                <w:color w:val="auto"/>
                <w:sz w:val="24"/>
                <w:szCs w:val="24"/>
                <w:highlight w:val="none"/>
                <w:lang w:val="en-US" w:eastAsia="zh-CN" w:bidi="ar"/>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8E4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379323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21.4</w:t>
            </w:r>
          </w:p>
        </w:tc>
        <w:tc>
          <w:tcPr>
            <w:tcW w:w="871" w:type="pct"/>
            <w:gridSpan w:val="2"/>
            <w:noWrap w:val="0"/>
            <w:vAlign w:val="center"/>
          </w:tcPr>
          <w:p w14:paraId="3D72240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投标文件提交</w:t>
            </w:r>
          </w:p>
        </w:tc>
        <w:tc>
          <w:tcPr>
            <w:tcW w:w="3576" w:type="pct"/>
            <w:noWrap w:val="0"/>
            <w:vAlign w:val="center"/>
          </w:tcPr>
          <w:p w14:paraId="6DAFAAB4">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highlight w:val="none"/>
                <w:lang w:val="en-US" w:eastAsia="zh-CN"/>
              </w:rPr>
              <w:t>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六，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4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vMerge w:val="restart"/>
            <w:noWrap w:val="0"/>
            <w:vAlign w:val="center"/>
          </w:tcPr>
          <w:p w14:paraId="4BFC161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p w14:paraId="3B4181D4">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29.0</w:t>
            </w:r>
          </w:p>
        </w:tc>
        <w:tc>
          <w:tcPr>
            <w:tcW w:w="871" w:type="pct"/>
            <w:gridSpan w:val="2"/>
            <w:noWrap w:val="0"/>
            <w:vAlign w:val="center"/>
          </w:tcPr>
          <w:p w14:paraId="139A2CA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w:t>
            </w:r>
          </w:p>
        </w:tc>
        <w:tc>
          <w:tcPr>
            <w:tcW w:w="3576" w:type="pct"/>
            <w:noWrap w:val="0"/>
            <w:vAlign w:val="center"/>
          </w:tcPr>
          <w:p w14:paraId="3FB7E2D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0</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人。专家从</w:t>
            </w:r>
            <w:r>
              <w:rPr>
                <w:rFonts w:hint="eastAsia" w:ascii="宋体" w:hAnsi="宋体" w:eastAsia="宋体" w:cs="宋体"/>
                <w:snapToGrid w:val="0"/>
                <w:color w:val="auto"/>
                <w:kern w:val="0"/>
                <w:sz w:val="24"/>
                <w:szCs w:val="24"/>
                <w:highlight w:val="none"/>
                <w:u w:val="single"/>
              </w:rPr>
              <w:t>广东省综合评标评审专</w:t>
            </w:r>
            <w:r>
              <w:rPr>
                <w:rFonts w:hint="eastAsia" w:ascii="宋体" w:hAnsi="宋体" w:eastAsia="宋体" w:cs="宋体"/>
                <w:strike w:val="0"/>
                <w:dstrike w:val="0"/>
                <w:snapToGrid w:val="0"/>
                <w:color w:val="auto"/>
                <w:kern w:val="0"/>
                <w:sz w:val="24"/>
                <w:szCs w:val="24"/>
                <w:highlight w:val="none"/>
                <w:u w:val="single"/>
              </w:rPr>
              <w:t>家库</w:t>
            </w:r>
            <w:r>
              <w:rPr>
                <w:rFonts w:hint="eastAsia" w:ascii="宋体" w:hAnsi="宋体" w:eastAsia="宋体" w:cs="宋体"/>
                <w:strike w:val="0"/>
                <w:dstrike w:val="0"/>
                <w:snapToGrid w:val="0"/>
                <w:color w:val="auto"/>
                <w:kern w:val="0"/>
                <w:sz w:val="24"/>
                <w:szCs w:val="24"/>
                <w:highlight w:val="none"/>
                <w:u w:val="single"/>
                <w:lang w:eastAsia="zh-CN"/>
              </w:rPr>
              <w:t>—韶关区域中</w:t>
            </w:r>
            <w:r>
              <w:rPr>
                <w:rFonts w:hint="eastAsia" w:ascii="宋体" w:hAnsi="宋体" w:eastAsia="宋体" w:cs="宋体"/>
                <w:snapToGrid w:val="0"/>
                <w:color w:val="auto"/>
                <w:kern w:val="0"/>
                <w:sz w:val="24"/>
                <w:szCs w:val="24"/>
                <w:highlight w:val="none"/>
              </w:rPr>
              <w:t>随机抽取，其中技术类专家</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人。</w:t>
            </w:r>
          </w:p>
          <w:p w14:paraId="488EEE2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注意：</w:t>
            </w:r>
            <w:r>
              <w:rPr>
                <w:rFonts w:hint="eastAsia" w:ascii="宋体" w:hAnsi="宋体" w:eastAsia="宋体" w:cs="宋体"/>
                <w:b/>
                <w:bCs/>
                <w:strike w:val="0"/>
                <w:dstrike w:val="0"/>
                <w:color w:val="auto"/>
                <w:sz w:val="24"/>
                <w:szCs w:val="24"/>
                <w:highlight w:val="none"/>
                <w:lang w:eastAsia="zh-CN"/>
              </w:rPr>
              <w:t>远程异地评标的项目，</w:t>
            </w:r>
            <w:r>
              <w:rPr>
                <w:rFonts w:hint="eastAsia" w:ascii="宋体" w:hAnsi="宋体" w:eastAsia="宋体" w:cs="宋体"/>
                <w:b/>
                <w:bCs/>
                <w:color w:val="auto"/>
                <w:sz w:val="24"/>
                <w:szCs w:val="24"/>
                <w:highlight w:val="none"/>
                <w:lang w:eastAsia="zh-CN"/>
              </w:rPr>
              <w:t>主场、副场评标专家抽取应当符合相关</w:t>
            </w:r>
            <w:r>
              <w:rPr>
                <w:rFonts w:hint="eastAsia" w:ascii="宋体" w:hAnsi="宋体" w:eastAsia="宋体" w:cs="宋体"/>
                <w:b/>
                <w:bCs/>
                <w:color w:val="auto"/>
                <w:sz w:val="24"/>
                <w:szCs w:val="24"/>
                <w:highlight w:val="none"/>
                <w:lang w:val="en-US" w:eastAsia="zh-CN"/>
              </w:rPr>
              <w:t>规定。</w:t>
            </w:r>
          </w:p>
        </w:tc>
      </w:tr>
      <w:tr w14:paraId="6211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Merge w:val="continue"/>
            <w:noWrap w:val="0"/>
            <w:vAlign w:val="center"/>
          </w:tcPr>
          <w:p w14:paraId="0AC142B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p>
        </w:tc>
        <w:tc>
          <w:tcPr>
            <w:tcW w:w="871" w:type="pct"/>
            <w:gridSpan w:val="2"/>
            <w:noWrap w:val="0"/>
            <w:vAlign w:val="center"/>
          </w:tcPr>
          <w:p w14:paraId="4F7A3C03">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定</w:t>
            </w:r>
            <w:r>
              <w:rPr>
                <w:rFonts w:hint="eastAsia" w:ascii="宋体" w:hAnsi="宋体" w:eastAsia="宋体" w:cs="宋体"/>
                <w:color w:val="auto"/>
                <w:sz w:val="24"/>
                <w:szCs w:val="24"/>
                <w:highlight w:val="none"/>
              </w:rPr>
              <w:t>标委员会</w:t>
            </w:r>
          </w:p>
        </w:tc>
        <w:tc>
          <w:tcPr>
            <w:tcW w:w="3576" w:type="pct"/>
            <w:noWrap w:val="0"/>
            <w:vAlign w:val="center"/>
          </w:tcPr>
          <w:p w14:paraId="1C714E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lang w:eastAsia="zh-CN"/>
              </w:rPr>
              <w:t>项目</w:t>
            </w:r>
            <w:r>
              <w:rPr>
                <w:rFonts w:hint="eastAsia" w:ascii="宋体" w:hAnsi="宋体" w:eastAsia="宋体" w:cs="宋体"/>
                <w:color w:val="auto"/>
                <w:sz w:val="24"/>
                <w:szCs w:val="24"/>
                <w:highlight w:val="none"/>
                <w:u w:val="none"/>
              </w:rPr>
              <w:t>定标委员会</w:t>
            </w:r>
            <w:r>
              <w:rPr>
                <w:rFonts w:hint="eastAsia" w:ascii="宋体" w:hAnsi="宋体" w:eastAsia="宋体" w:cs="宋体"/>
                <w:color w:val="auto"/>
                <w:sz w:val="24"/>
                <w:szCs w:val="24"/>
                <w:highlight w:val="none"/>
                <w:u w:val="none"/>
                <w:lang w:eastAsia="zh-CN"/>
              </w:rPr>
              <w:t>组成人</w:t>
            </w:r>
            <w:r>
              <w:rPr>
                <w:rFonts w:hint="eastAsia" w:ascii="宋体" w:hAnsi="宋体" w:eastAsia="宋体" w:cs="宋体"/>
                <w:color w:val="auto"/>
                <w:sz w:val="24"/>
                <w:szCs w:val="24"/>
                <w:highlight w:val="none"/>
                <w:u w:val="none"/>
              </w:rPr>
              <w:t>员为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7 </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none"/>
                <w:lang w:eastAsia="zh-CN"/>
              </w:rPr>
              <w:t>。</w:t>
            </w:r>
          </w:p>
        </w:tc>
      </w:tr>
      <w:tr w14:paraId="1AEE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2A9F2E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.0</w:t>
            </w:r>
          </w:p>
        </w:tc>
        <w:tc>
          <w:tcPr>
            <w:tcW w:w="871" w:type="pct"/>
            <w:gridSpan w:val="2"/>
            <w:noWrap w:val="0"/>
            <w:vAlign w:val="center"/>
          </w:tcPr>
          <w:p w14:paraId="7778A63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评标办法</w:t>
            </w:r>
          </w:p>
        </w:tc>
        <w:tc>
          <w:tcPr>
            <w:tcW w:w="3576" w:type="pct"/>
            <w:noWrap w:val="0"/>
            <w:vAlign w:val="center"/>
          </w:tcPr>
          <w:p w14:paraId="08348C9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综合评估法</w:t>
            </w:r>
          </w:p>
        </w:tc>
      </w:tr>
      <w:tr w14:paraId="25B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562BB266">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4"/>
                <w:rFonts w:hint="eastAsia" w:ascii="宋体" w:hAnsi="宋体" w:eastAsia="宋体" w:cs="宋体"/>
                <w:b w:val="0"/>
                <w:bCs w:val="0"/>
                <w:color w:val="auto"/>
                <w:sz w:val="24"/>
                <w:szCs w:val="24"/>
                <w:highlight w:val="none"/>
                <w:lang w:val="en-US" w:eastAsia="zh-CN"/>
              </w:rPr>
              <w:t>30.0</w:t>
            </w:r>
          </w:p>
        </w:tc>
        <w:tc>
          <w:tcPr>
            <w:tcW w:w="871" w:type="pct"/>
            <w:gridSpan w:val="2"/>
            <w:noWrap w:val="0"/>
            <w:vAlign w:val="center"/>
          </w:tcPr>
          <w:p w14:paraId="19FE45A2">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定标办法</w:t>
            </w:r>
          </w:p>
        </w:tc>
        <w:tc>
          <w:tcPr>
            <w:tcW w:w="3576" w:type="pct"/>
            <w:noWrap w:val="0"/>
            <w:vAlign w:val="center"/>
          </w:tcPr>
          <w:p w14:paraId="66888A13">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6822FBF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1E6B3B4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0D21436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240" w:lineRule="auto"/>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472AFB2A">
            <w:pPr>
              <w:pStyle w:val="20"/>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4DD3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37417908">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24"/>
                <w:rFonts w:hint="eastAsia" w:ascii="宋体" w:hAnsi="宋体" w:eastAsia="宋体" w:cs="宋体"/>
                <w:b w:val="0"/>
                <w:bCs w:val="0"/>
                <w:color w:val="auto"/>
                <w:sz w:val="24"/>
                <w:szCs w:val="24"/>
                <w:highlight w:val="none"/>
                <w:lang w:val="en-US" w:eastAsia="zh-CN"/>
              </w:rPr>
            </w:pPr>
            <w:r>
              <w:rPr>
                <w:rStyle w:val="24"/>
                <w:rFonts w:hint="eastAsia" w:ascii="宋体" w:hAnsi="宋体" w:eastAsia="宋体" w:cs="宋体"/>
                <w:b w:val="0"/>
                <w:bCs w:val="0"/>
                <w:color w:val="auto"/>
                <w:sz w:val="24"/>
                <w:szCs w:val="24"/>
                <w:highlight w:val="none"/>
                <w:lang w:val="en-US" w:eastAsia="zh-CN"/>
              </w:rPr>
              <w:t>29</w:t>
            </w:r>
            <w:r>
              <w:rPr>
                <w:rStyle w:val="24"/>
                <w:rFonts w:hint="eastAsia" w:ascii="宋体" w:hAnsi="宋体" w:eastAsia="宋体" w:cs="宋体"/>
                <w:b w:val="0"/>
                <w:bCs w:val="0"/>
                <w:color w:val="auto"/>
                <w:sz w:val="24"/>
                <w:szCs w:val="24"/>
                <w:highlight w:val="none"/>
              </w:rPr>
              <w:t>.0</w:t>
            </w:r>
          </w:p>
        </w:tc>
        <w:tc>
          <w:tcPr>
            <w:tcW w:w="871" w:type="pct"/>
            <w:gridSpan w:val="2"/>
            <w:noWrap w:val="0"/>
            <w:vAlign w:val="center"/>
          </w:tcPr>
          <w:p w14:paraId="1180F4CD">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kern w:val="2"/>
                <w:sz w:val="24"/>
                <w:szCs w:val="24"/>
                <w:highlight w:val="none"/>
                <w:lang w:val="en-US" w:eastAsia="zh-CN" w:bidi="ar-SA"/>
              </w:rPr>
            </w:pPr>
            <w:r>
              <w:rPr>
                <w:rStyle w:val="24"/>
                <w:rFonts w:hint="eastAsia" w:ascii="宋体" w:hAnsi="宋体" w:eastAsia="宋体" w:cs="宋体"/>
                <w:b w:val="0"/>
                <w:color w:val="auto"/>
                <w:sz w:val="24"/>
                <w:szCs w:val="24"/>
                <w:highlight w:val="none"/>
              </w:rPr>
              <w:t>项目评标方式</w:t>
            </w:r>
          </w:p>
        </w:tc>
        <w:tc>
          <w:tcPr>
            <w:tcW w:w="3576" w:type="pct"/>
            <w:noWrap w:val="0"/>
            <w:vAlign w:val="center"/>
          </w:tcPr>
          <w:p w14:paraId="7DBE648C">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本招标项目</w:t>
            </w:r>
            <w:r>
              <w:rPr>
                <w:rFonts w:hint="eastAsia" w:ascii="宋体" w:hAnsi="宋体" w:eastAsia="宋体" w:cs="宋体"/>
                <w:b w:val="0"/>
                <w:bCs w:val="0"/>
                <w:color w:val="auto"/>
                <w:sz w:val="24"/>
                <w:szCs w:val="24"/>
                <w:highlight w:val="none"/>
              </w:rPr>
              <w:t>所有投标文件均采用明标评标方式。</w:t>
            </w:r>
          </w:p>
        </w:tc>
      </w:tr>
      <w:tr w14:paraId="3D93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2D827DD4">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4"/>
                <w:rFonts w:hint="eastAsia" w:ascii="宋体" w:hAnsi="宋体" w:eastAsia="宋体" w:cs="宋体"/>
                <w:b w:val="0"/>
                <w:bCs w:val="0"/>
                <w:color w:val="auto"/>
                <w:sz w:val="24"/>
                <w:szCs w:val="24"/>
                <w:highlight w:val="none"/>
                <w:lang w:val="en-US" w:eastAsia="zh-CN"/>
              </w:rPr>
              <w:t>33</w:t>
            </w:r>
            <w:r>
              <w:rPr>
                <w:rStyle w:val="24"/>
                <w:rFonts w:hint="eastAsia" w:ascii="宋体" w:hAnsi="宋体" w:eastAsia="宋体" w:cs="宋体"/>
                <w:b w:val="0"/>
                <w:bCs w:val="0"/>
                <w:color w:val="auto"/>
                <w:sz w:val="24"/>
                <w:szCs w:val="24"/>
                <w:highlight w:val="none"/>
              </w:rPr>
              <w:t>.2</w:t>
            </w:r>
          </w:p>
        </w:tc>
        <w:tc>
          <w:tcPr>
            <w:tcW w:w="871" w:type="pct"/>
            <w:gridSpan w:val="2"/>
            <w:noWrap w:val="0"/>
            <w:vAlign w:val="center"/>
          </w:tcPr>
          <w:p w14:paraId="50BB24EA">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24"/>
                <w:rFonts w:hint="eastAsia" w:ascii="宋体" w:hAnsi="宋体" w:eastAsia="宋体" w:cs="宋体"/>
                <w:b w:val="0"/>
                <w:color w:val="auto"/>
                <w:sz w:val="24"/>
                <w:szCs w:val="24"/>
                <w:highlight w:val="none"/>
              </w:rPr>
            </w:pPr>
            <w:r>
              <w:rPr>
                <w:rStyle w:val="24"/>
                <w:rFonts w:hint="eastAsia" w:ascii="宋体" w:hAnsi="宋体" w:eastAsia="宋体" w:cs="宋体"/>
                <w:b w:val="0"/>
                <w:color w:val="auto"/>
                <w:sz w:val="24"/>
                <w:szCs w:val="24"/>
                <w:highlight w:val="none"/>
              </w:rPr>
              <w:t>中标通知书</w:t>
            </w:r>
          </w:p>
          <w:p w14:paraId="107CEDF7">
            <w:pPr>
              <w:pStyle w:val="18"/>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sz w:val="24"/>
                <w:szCs w:val="24"/>
                <w:highlight w:val="none"/>
              </w:rPr>
            </w:pPr>
            <w:r>
              <w:rPr>
                <w:rStyle w:val="24"/>
                <w:rFonts w:hint="eastAsia" w:ascii="宋体" w:hAnsi="宋体" w:eastAsia="宋体" w:cs="宋体"/>
                <w:b w:val="0"/>
                <w:color w:val="auto"/>
                <w:sz w:val="24"/>
                <w:szCs w:val="24"/>
                <w:highlight w:val="none"/>
              </w:rPr>
              <w:t>发放</w:t>
            </w:r>
          </w:p>
        </w:tc>
        <w:tc>
          <w:tcPr>
            <w:tcW w:w="3576" w:type="pct"/>
            <w:noWrap w:val="0"/>
            <w:vAlign w:val="center"/>
          </w:tcPr>
          <w:p w14:paraId="7FB06E62">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中标人确定后，招标人应当在7日内向中标人发出中标通知书。</w:t>
            </w:r>
          </w:p>
          <w:p w14:paraId="007B9C9F">
            <w:pPr>
              <w:pStyle w:val="8"/>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招标人最迟应当在投标有效期届满30日前发出中标通知书，否则，应当按照本投标人须知的规定延长投标有效期。</w:t>
            </w:r>
          </w:p>
        </w:tc>
      </w:tr>
      <w:tr w14:paraId="69A9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0DA253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4"/>
                <w:rFonts w:hint="eastAsia" w:ascii="宋体" w:hAnsi="宋体" w:eastAsia="宋体" w:cs="宋体"/>
                <w:b w:val="0"/>
                <w:bCs w:val="0"/>
                <w:color w:val="auto"/>
                <w:sz w:val="24"/>
                <w:szCs w:val="24"/>
                <w:highlight w:val="none"/>
                <w:lang w:val="en-US"/>
              </w:rPr>
            </w:pPr>
            <w:r>
              <w:rPr>
                <w:rFonts w:hint="eastAsia" w:ascii="宋体" w:hAnsi="宋体" w:eastAsia="宋体" w:cs="宋体"/>
                <w:color w:val="auto"/>
                <w:sz w:val="24"/>
                <w:szCs w:val="24"/>
                <w:highlight w:val="none"/>
                <w:lang w:val="en-US" w:eastAsia="zh-CN"/>
              </w:rPr>
              <w:t>37</w:t>
            </w:r>
          </w:p>
        </w:tc>
        <w:tc>
          <w:tcPr>
            <w:tcW w:w="871" w:type="pct"/>
            <w:gridSpan w:val="2"/>
            <w:noWrap w:val="0"/>
            <w:vAlign w:val="center"/>
          </w:tcPr>
          <w:p w14:paraId="0679C59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p w14:paraId="5A84CCC1">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4"/>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要求</w:t>
            </w:r>
          </w:p>
        </w:tc>
        <w:tc>
          <w:tcPr>
            <w:tcW w:w="3576" w:type="pct"/>
            <w:noWrap w:val="0"/>
            <w:vAlign w:val="center"/>
          </w:tcPr>
          <w:p w14:paraId="4CCC8251">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中标人须在领取中标通知书之日起</w:t>
            </w:r>
            <w:r>
              <w:rPr>
                <w:rFonts w:hint="eastAsia" w:ascii="宋体" w:hAnsi="宋体" w:eastAsia="宋体" w:cs="宋体"/>
                <w:snapToGrid w:val="0"/>
                <w:color w:val="auto"/>
                <w:kern w:val="0"/>
                <w:sz w:val="24"/>
                <w:szCs w:val="24"/>
                <w:highlight w:val="none"/>
                <w:u w:val="single"/>
              </w:rPr>
              <w:t>10</w:t>
            </w:r>
            <w:r>
              <w:rPr>
                <w:rFonts w:hint="eastAsia" w:ascii="宋体" w:hAnsi="宋体" w:eastAsia="宋体" w:cs="宋体"/>
                <w:snapToGrid w:val="0"/>
                <w:color w:val="auto"/>
                <w:kern w:val="0"/>
                <w:sz w:val="24"/>
                <w:szCs w:val="24"/>
                <w:highlight w:val="none"/>
              </w:rPr>
              <w:t>个工作日内、签订合同前提交金额为中标价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6D196743">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hint="eastAsia" w:ascii="宋体" w:hAnsi="宋体" w:eastAsia="宋体" w:cs="宋体"/>
                <w:snapToGrid w:val="0"/>
                <w:color w:val="auto"/>
                <w:kern w:val="0"/>
                <w:sz w:val="24"/>
                <w:szCs w:val="24"/>
                <w:highlight w:val="none"/>
                <w:u w:val="single"/>
              </w:rPr>
              <w:t xml:space="preserve"> 28 </w:t>
            </w:r>
            <w:r>
              <w:rPr>
                <w:rFonts w:hint="eastAsia" w:ascii="宋体" w:hAnsi="宋体" w:eastAsia="宋体" w:cs="宋体"/>
                <w:snapToGrid w:val="0"/>
                <w:color w:val="auto"/>
                <w:kern w:val="0"/>
                <w:sz w:val="24"/>
                <w:szCs w:val="24"/>
                <w:highlight w:val="none"/>
              </w:rPr>
              <w:t>天止。</w:t>
            </w:r>
          </w:p>
          <w:p w14:paraId="2D2DEB86">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如中标人未及时主动办理续期手续或提交新的银行保函或保险合同，招标人有权扣留与履约保证金等额的施工进度款，直至中标人完成续期手续或提交新的银行保函或保险合同止。</w:t>
            </w:r>
          </w:p>
          <w:p w14:paraId="78E5D6E1">
            <w:pPr>
              <w:wordWrap w:val="0"/>
              <w:adjustRightInd w:val="0"/>
              <w:snapToGrid w:val="0"/>
              <w:spacing w:line="24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7AA085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项目通过竣工验收之日后28天内，发包人将履约保证（履约保证金不计利息）退还给承包人。</w:t>
            </w:r>
          </w:p>
        </w:tc>
      </w:tr>
      <w:tr w14:paraId="35E0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40A569F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38</w:t>
            </w:r>
          </w:p>
        </w:tc>
        <w:tc>
          <w:tcPr>
            <w:tcW w:w="871" w:type="pct"/>
            <w:gridSpan w:val="2"/>
            <w:noWrap w:val="0"/>
            <w:vAlign w:val="center"/>
          </w:tcPr>
          <w:p w14:paraId="407715E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eastAsia="zh-CN"/>
              </w:rPr>
              <w:t>存档</w:t>
            </w:r>
          </w:p>
        </w:tc>
        <w:tc>
          <w:tcPr>
            <w:tcW w:w="3576" w:type="pct"/>
            <w:noWrap w:val="0"/>
            <w:vAlign w:val="center"/>
          </w:tcPr>
          <w:p w14:paraId="666D102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详见投标人须知第</w:t>
            </w: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条款</w:t>
            </w:r>
          </w:p>
        </w:tc>
      </w:tr>
      <w:tr w14:paraId="1765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1" w:type="pct"/>
            <w:noWrap w:val="0"/>
            <w:vAlign w:val="center"/>
          </w:tcPr>
          <w:p w14:paraId="70142CA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871" w:type="pct"/>
            <w:gridSpan w:val="2"/>
            <w:noWrap w:val="0"/>
            <w:vAlign w:val="center"/>
          </w:tcPr>
          <w:p w14:paraId="24B3015B">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纳入百千万工程公益性项目</w:t>
            </w:r>
          </w:p>
        </w:tc>
        <w:tc>
          <w:tcPr>
            <w:tcW w:w="3576" w:type="pct"/>
            <w:noWrap w:val="0"/>
            <w:vAlign w:val="center"/>
          </w:tcPr>
          <w:p w14:paraId="51BA71CE">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本次招标鼓励投标人积极响应政策号召，充分利用其人才、技术、专业、资源、资金、设备或管理优势，通过技术创新和资源优化，以投标人自愿为原则，助力百千万工程公益性项目。</w:t>
            </w:r>
          </w:p>
          <w:p w14:paraId="5B66250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投标人需提供自愿助力百千万工程公益性项目公益捐建（捐赠或配建）进度计划及保证措施；以投标人自愿为原则，按招标文件</w:t>
            </w:r>
            <w:r>
              <w:rPr>
                <w:rFonts w:hint="eastAsia" w:ascii="宋体" w:hAnsi="宋体" w:cs="宋体"/>
                <w:color w:val="auto"/>
                <w:sz w:val="24"/>
                <w:szCs w:val="24"/>
                <w:highlight w:val="none"/>
                <w:lang w:eastAsia="zh-CN"/>
              </w:rPr>
              <w:t>格式</w:t>
            </w:r>
            <w:r>
              <w:rPr>
                <w:rFonts w:hint="eastAsia" w:ascii="宋体" w:hAnsi="宋体" w:eastAsia="宋体" w:cs="宋体"/>
                <w:color w:val="auto"/>
                <w:sz w:val="24"/>
                <w:szCs w:val="24"/>
                <w:highlight w:val="none"/>
                <w:lang w:eastAsia="zh-CN"/>
              </w:rPr>
              <w:t>十</w:t>
            </w:r>
            <w:r>
              <w:rPr>
                <w:rFonts w:hint="eastAsia" w:ascii="宋体" w:hAnsi="宋体" w:eastAsia="宋体" w:cs="宋体"/>
                <w:color w:val="auto"/>
                <w:sz w:val="24"/>
                <w:szCs w:val="24"/>
                <w:highlight w:val="none"/>
                <w:lang w:val="en-US" w:eastAsia="zh-CN"/>
              </w:rPr>
              <w:t>五要求</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助力项目承诺书</w:t>
            </w:r>
            <w:r>
              <w:rPr>
                <w:rFonts w:hint="eastAsia" w:ascii="宋体" w:hAnsi="宋体" w:eastAsia="宋体" w:cs="宋体"/>
                <w:color w:val="auto"/>
                <w:sz w:val="24"/>
                <w:szCs w:val="24"/>
                <w:highlight w:val="none"/>
              </w:rPr>
              <w:t>》。</w:t>
            </w:r>
          </w:p>
        </w:tc>
      </w:tr>
      <w:tr w14:paraId="2260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23" w:type="pct"/>
            <w:gridSpan w:val="3"/>
            <w:noWrap w:val="0"/>
            <w:vAlign w:val="center"/>
          </w:tcPr>
          <w:p w14:paraId="469FB30B">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招标人</w:t>
            </w:r>
          </w:p>
          <w:p w14:paraId="6FCF61B4">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4D3B27A1">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w:t>
            </w:r>
            <w:r>
              <w:rPr>
                <w:rFonts w:hint="eastAsia" w:ascii="宋体" w:hAnsi="宋体" w:cs="宋体"/>
                <w:color w:val="auto"/>
                <w:kern w:val="0"/>
                <w:sz w:val="24"/>
                <w:szCs w:val="24"/>
                <w:highlight w:val="none"/>
                <w:lang w:val="en-US" w:eastAsia="zh-CN" w:bidi="ar"/>
              </w:rPr>
              <w:t>韶关市浈江区犁市镇人民政府</w:t>
            </w:r>
          </w:p>
          <w:p w14:paraId="40204E38">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w:t>
            </w:r>
            <w:r>
              <w:rPr>
                <w:rFonts w:hint="eastAsia" w:ascii="宋体" w:hAnsi="宋体" w:cs="宋体"/>
                <w:color w:val="auto"/>
                <w:kern w:val="0"/>
                <w:sz w:val="24"/>
                <w:szCs w:val="24"/>
                <w:highlight w:val="none"/>
                <w:lang w:val="en-US" w:eastAsia="zh-CN" w:bidi="ar"/>
              </w:rPr>
              <w:t>韶关市浈江区犁市镇人民路北1号</w:t>
            </w:r>
          </w:p>
          <w:p w14:paraId="4DADECD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r>
              <w:rPr>
                <w:rFonts w:hint="eastAsia" w:ascii="宋体" w:hAnsi="宋体" w:cs="宋体"/>
                <w:color w:val="auto"/>
                <w:kern w:val="0"/>
                <w:sz w:val="24"/>
                <w:szCs w:val="24"/>
                <w:highlight w:val="none"/>
                <w:lang w:val="en-US" w:eastAsia="zh-CN" w:bidi="ar"/>
              </w:rPr>
              <w:t>陈工</w:t>
            </w:r>
          </w:p>
          <w:p w14:paraId="4FB77C82">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cs="宋体"/>
                <w:color w:val="auto"/>
                <w:kern w:val="0"/>
                <w:sz w:val="24"/>
                <w:szCs w:val="24"/>
                <w:highlight w:val="none"/>
                <w:lang w:val="en-US" w:eastAsia="zh-CN" w:bidi="ar"/>
              </w:rPr>
              <w:t>0751-6521311</w:t>
            </w:r>
          </w:p>
        </w:tc>
      </w:tr>
      <w:tr w14:paraId="6A70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5839C2EA">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招标代理机构</w:t>
            </w:r>
          </w:p>
          <w:p w14:paraId="74A63D9C">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372713DF">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w:t>
            </w:r>
            <w:r>
              <w:rPr>
                <w:rFonts w:hint="eastAsia" w:ascii="宋体" w:hAnsi="宋体" w:cs="宋体"/>
                <w:color w:val="auto"/>
                <w:kern w:val="0"/>
                <w:sz w:val="24"/>
                <w:szCs w:val="24"/>
                <w:highlight w:val="none"/>
                <w:lang w:val="en-US" w:eastAsia="zh-CN" w:bidi="ar"/>
              </w:rPr>
              <w:t>海通国际设计有限公司</w:t>
            </w:r>
          </w:p>
          <w:p w14:paraId="68197B6D">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w:t>
            </w:r>
            <w:r>
              <w:rPr>
                <w:rFonts w:hint="eastAsia" w:ascii="宋体" w:hAnsi="宋体" w:cs="宋体"/>
                <w:color w:val="auto"/>
                <w:kern w:val="0"/>
                <w:sz w:val="24"/>
                <w:szCs w:val="24"/>
                <w:highlight w:val="none"/>
                <w:lang w:val="en-US" w:eastAsia="zh-CN" w:bidi="ar"/>
              </w:rPr>
              <w:t>韶关市武江区西联镇58号明顺实业大楼七楼</w:t>
            </w:r>
          </w:p>
          <w:p w14:paraId="6C5F4EB0">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w:t>
            </w:r>
            <w:r>
              <w:rPr>
                <w:rFonts w:hint="eastAsia" w:ascii="宋体" w:hAnsi="宋体" w:cs="宋体"/>
                <w:color w:val="auto"/>
                <w:kern w:val="0"/>
                <w:sz w:val="24"/>
                <w:szCs w:val="24"/>
                <w:highlight w:val="none"/>
                <w:lang w:val="en-US" w:eastAsia="zh-CN" w:bidi="ar"/>
              </w:rPr>
              <w:t>陈工</w:t>
            </w:r>
          </w:p>
          <w:p w14:paraId="3B22D027">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cs="宋体"/>
                <w:color w:val="auto"/>
                <w:kern w:val="0"/>
                <w:sz w:val="24"/>
                <w:szCs w:val="24"/>
                <w:highlight w:val="none"/>
                <w:lang w:val="en-US" w:eastAsia="zh-CN" w:bidi="ar"/>
              </w:rPr>
              <w:t>0751-8768123</w:t>
            </w:r>
          </w:p>
        </w:tc>
      </w:tr>
      <w:tr w14:paraId="5BC8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272D88D1">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交易场所</w:t>
            </w:r>
          </w:p>
          <w:p w14:paraId="01CA9789">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1297DEFB">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单位名称：韶关市公共资源交易中心</w:t>
            </w:r>
          </w:p>
          <w:p w14:paraId="5C9B1B4F">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办公地址：广东省韶关市武江区西联镇</w:t>
            </w:r>
          </w:p>
          <w:p w14:paraId="24FDC6A0">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联系人（部门）：工程交易部</w:t>
            </w:r>
          </w:p>
          <w:p w14:paraId="10BDF805">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联系电话：0751-8633211</w:t>
            </w:r>
          </w:p>
        </w:tc>
      </w:tr>
      <w:tr w14:paraId="430B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23" w:type="pct"/>
            <w:gridSpan w:val="3"/>
            <w:noWrap w:val="0"/>
            <w:vAlign w:val="center"/>
          </w:tcPr>
          <w:p w14:paraId="7F212D48">
            <w:pPr>
              <w:keepNext w:val="0"/>
              <w:keepLines w:val="0"/>
              <w:pageBreakBefore w:val="0"/>
              <w:widowControl w:val="0"/>
              <w:suppressLineNumbers w:val="0"/>
              <w:kinsoku/>
              <w:wordWrap/>
              <w:overflowPunct/>
              <w:topLinePunct w:val="0"/>
              <w:bidi w:val="0"/>
              <w:adjustRightInd/>
              <w:snapToGrid/>
              <w:spacing w:beforeAutospacing="0" w:afterAutospacing="0" w:line="240" w:lineRule="auto"/>
              <w:ind w:left="0" w:right="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行政监督部门</w:t>
            </w:r>
          </w:p>
          <w:p w14:paraId="5FB842CB">
            <w:pPr>
              <w:keepNext w:val="0"/>
              <w:keepLines w:val="0"/>
              <w:pageBreakBefore w:val="0"/>
              <w:widowControl/>
              <w:suppressLineNumbers w:val="0"/>
              <w:kinsoku/>
              <w:wordWrap/>
              <w:overflowPunct/>
              <w:topLinePunct w:val="0"/>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联系方式</w:t>
            </w:r>
          </w:p>
        </w:tc>
        <w:tc>
          <w:tcPr>
            <w:tcW w:w="3576" w:type="pct"/>
            <w:noWrap w:val="0"/>
            <w:vAlign w:val="center"/>
          </w:tcPr>
          <w:p w14:paraId="52B85D2C">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单位名称：</w:t>
            </w:r>
            <w:r>
              <w:rPr>
                <w:rFonts w:hint="eastAsia" w:ascii="宋体" w:hAnsi="宋体" w:cs="宋体"/>
                <w:color w:val="auto"/>
                <w:kern w:val="0"/>
                <w:sz w:val="24"/>
                <w:szCs w:val="24"/>
                <w:highlight w:val="none"/>
                <w:lang w:val="en-US" w:eastAsia="zh-CN" w:bidi="ar"/>
              </w:rPr>
              <w:t>韶关市浈江区农业农村局</w:t>
            </w:r>
          </w:p>
          <w:p w14:paraId="3FE36687">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办公地址：</w:t>
            </w:r>
            <w:r>
              <w:rPr>
                <w:rFonts w:hint="eastAsia" w:ascii="宋体" w:hAnsi="宋体" w:cs="宋体"/>
                <w:color w:val="auto"/>
                <w:kern w:val="0"/>
                <w:sz w:val="24"/>
                <w:szCs w:val="24"/>
                <w:highlight w:val="none"/>
                <w:lang w:val="en-US" w:eastAsia="zh-CN" w:bidi="ar"/>
              </w:rPr>
              <w:t>韶关市浈江区大学路11号</w:t>
            </w:r>
          </w:p>
          <w:p w14:paraId="6FBFDAC1">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联系人(部门)：</w:t>
            </w:r>
            <w:r>
              <w:rPr>
                <w:rFonts w:hint="eastAsia" w:ascii="宋体" w:hAnsi="宋体" w:cs="宋体"/>
                <w:color w:val="auto"/>
                <w:kern w:val="0"/>
                <w:sz w:val="24"/>
                <w:szCs w:val="24"/>
                <w:highlight w:val="none"/>
                <w:lang w:val="en-US" w:eastAsia="zh-CN" w:bidi="ar"/>
              </w:rPr>
              <w:t>乡村建设和农村社会事业促进股</w:t>
            </w:r>
          </w:p>
          <w:p w14:paraId="5E94393D">
            <w:pPr>
              <w:keepNext w:val="0"/>
              <w:keepLines w:val="0"/>
              <w:pageBreakBefore w:val="0"/>
              <w:widowControl w:val="0"/>
              <w:suppressLineNumbers w:val="0"/>
              <w:wordWrap w:val="0"/>
              <w:overflowPunct/>
              <w:topLinePunct w:val="0"/>
              <w:bidi w:val="0"/>
              <w:spacing w:beforeAutospacing="0" w:afterAutospacing="0" w:line="240" w:lineRule="auto"/>
              <w:ind w:right="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w:t>
            </w:r>
            <w:r>
              <w:rPr>
                <w:rFonts w:hint="eastAsia" w:ascii="宋体" w:hAnsi="宋体" w:cs="宋体"/>
                <w:color w:val="auto"/>
                <w:kern w:val="0"/>
                <w:sz w:val="24"/>
                <w:szCs w:val="24"/>
                <w:highlight w:val="none"/>
                <w:lang w:val="en-US" w:eastAsia="zh-CN" w:bidi="ar"/>
              </w:rPr>
              <w:t>0751-8255123</w:t>
            </w:r>
          </w:p>
        </w:tc>
      </w:tr>
    </w:tbl>
    <w:p w14:paraId="45416124">
      <w:pPr>
        <w:rPr>
          <w:rFonts w:hint="eastAsia" w:ascii="宋体" w:hAnsi="宋体" w:eastAsia="宋体" w:cs="宋体"/>
          <w:color w:val="auto"/>
        </w:rPr>
      </w:pPr>
    </w:p>
    <w:p w14:paraId="51466C24">
      <w:pPr>
        <w:rPr>
          <w:rFonts w:hint="eastAsia" w:ascii="宋体" w:hAnsi="宋体" w:eastAsia="宋体" w:cs="宋体"/>
          <w:color w:val="auto"/>
        </w:rPr>
      </w:pPr>
    </w:p>
    <w:p w14:paraId="31E77E95">
      <w:pPr>
        <w:rPr>
          <w:rFonts w:hint="eastAsia" w:ascii="宋体" w:hAnsi="宋体" w:eastAsia="宋体" w:cs="宋体"/>
          <w:color w:val="auto"/>
        </w:rPr>
      </w:pPr>
    </w:p>
    <w:p w14:paraId="5F1C6145">
      <w:pPr>
        <w:rPr>
          <w:rFonts w:hint="eastAsia" w:ascii="宋体" w:hAnsi="宋体" w:eastAsia="宋体" w:cs="宋体"/>
          <w:color w:val="auto"/>
        </w:rPr>
      </w:pPr>
    </w:p>
    <w:p w14:paraId="64C9351A">
      <w:pPr>
        <w:rPr>
          <w:rFonts w:hint="eastAsia" w:ascii="宋体" w:hAnsi="宋体" w:eastAsia="宋体" w:cs="宋体"/>
          <w:color w:val="auto"/>
        </w:rPr>
      </w:pPr>
    </w:p>
    <w:p w14:paraId="13E29BC4">
      <w:pPr>
        <w:rPr>
          <w:rFonts w:hint="eastAsia" w:ascii="宋体" w:hAnsi="宋体" w:eastAsia="宋体" w:cs="宋体"/>
          <w:color w:val="auto"/>
        </w:rPr>
      </w:pPr>
    </w:p>
    <w:p w14:paraId="72D3A514">
      <w:pPr>
        <w:rPr>
          <w:rFonts w:hint="eastAsia" w:ascii="宋体" w:hAnsi="宋体" w:eastAsia="宋体" w:cs="宋体"/>
          <w:color w:val="auto"/>
        </w:rPr>
      </w:pPr>
    </w:p>
    <w:p w14:paraId="35472F00">
      <w:pPr>
        <w:rPr>
          <w:rFonts w:hint="eastAsia" w:ascii="宋体" w:hAnsi="宋体" w:eastAsia="宋体" w:cs="宋体"/>
          <w:color w:val="auto"/>
        </w:rPr>
      </w:pPr>
    </w:p>
    <w:p w14:paraId="3175EC0D">
      <w:pPr>
        <w:rPr>
          <w:rFonts w:hint="eastAsia" w:ascii="宋体" w:hAnsi="宋体" w:eastAsia="宋体" w:cs="宋体"/>
          <w:color w:val="auto"/>
        </w:rPr>
      </w:pPr>
    </w:p>
    <w:p w14:paraId="27017B16">
      <w:pPr>
        <w:rPr>
          <w:rFonts w:hint="eastAsia" w:ascii="宋体" w:hAnsi="宋体" w:eastAsia="宋体" w:cs="宋体"/>
          <w:color w:val="auto"/>
        </w:rPr>
      </w:pPr>
    </w:p>
    <w:p w14:paraId="5C8B0795">
      <w:pPr>
        <w:rPr>
          <w:rFonts w:hint="eastAsia" w:ascii="宋体" w:hAnsi="宋体" w:eastAsia="宋体" w:cs="宋体"/>
          <w:color w:val="auto"/>
        </w:rPr>
      </w:pPr>
    </w:p>
    <w:p w14:paraId="1C4C11A3">
      <w:pPr>
        <w:rPr>
          <w:rFonts w:hint="eastAsia" w:ascii="宋体" w:hAnsi="宋体" w:eastAsia="宋体" w:cs="宋体"/>
          <w:color w:val="auto"/>
        </w:rPr>
      </w:pPr>
    </w:p>
    <w:p w14:paraId="4F7ECCF0">
      <w:pPr>
        <w:rPr>
          <w:rFonts w:hint="eastAsia" w:ascii="宋体" w:hAnsi="宋体" w:eastAsia="宋体" w:cs="宋体"/>
          <w:color w:val="auto"/>
        </w:rPr>
      </w:pPr>
    </w:p>
    <w:p w14:paraId="62B124EA">
      <w:pPr>
        <w:rPr>
          <w:rFonts w:hint="eastAsia" w:ascii="宋体" w:hAnsi="宋体" w:eastAsia="宋体" w:cs="宋体"/>
          <w:color w:val="auto"/>
        </w:rPr>
      </w:pPr>
    </w:p>
    <w:p w14:paraId="3725C230">
      <w:pPr>
        <w:rPr>
          <w:rFonts w:hint="eastAsia" w:ascii="宋体" w:hAnsi="宋体" w:eastAsia="宋体" w:cs="宋体"/>
          <w:color w:val="auto"/>
        </w:rPr>
      </w:pPr>
    </w:p>
    <w:p w14:paraId="5BB78A13">
      <w:pPr>
        <w:rPr>
          <w:rFonts w:hint="eastAsia" w:ascii="宋体" w:hAnsi="宋体" w:eastAsia="宋体" w:cs="宋体"/>
          <w:color w:val="auto"/>
        </w:rPr>
      </w:pPr>
    </w:p>
    <w:p w14:paraId="76088601">
      <w:pPr>
        <w:rPr>
          <w:rFonts w:hint="eastAsia" w:ascii="宋体" w:hAnsi="宋体" w:eastAsia="宋体" w:cs="宋体"/>
          <w:color w:val="auto"/>
        </w:rPr>
      </w:pPr>
    </w:p>
    <w:p w14:paraId="2E09640D">
      <w:pPr>
        <w:rPr>
          <w:rFonts w:hint="eastAsia" w:ascii="宋体" w:hAnsi="宋体" w:eastAsia="宋体" w:cs="宋体"/>
          <w:color w:val="auto"/>
        </w:rPr>
      </w:pPr>
    </w:p>
    <w:p w14:paraId="23CC8A99">
      <w:pPr>
        <w:rPr>
          <w:rFonts w:hint="eastAsia" w:ascii="宋体" w:hAnsi="宋体" w:eastAsia="宋体" w:cs="宋体"/>
          <w:color w:val="auto"/>
        </w:rPr>
      </w:pPr>
    </w:p>
    <w:p w14:paraId="2449FA71">
      <w:pPr>
        <w:rPr>
          <w:rFonts w:hint="eastAsia" w:ascii="宋体" w:hAnsi="宋体" w:eastAsia="宋体" w:cs="宋体"/>
          <w:color w:val="auto"/>
        </w:rPr>
      </w:pPr>
    </w:p>
    <w:p w14:paraId="724371DC">
      <w:pPr>
        <w:rPr>
          <w:rFonts w:hint="eastAsia" w:ascii="宋体" w:hAnsi="宋体" w:eastAsia="宋体" w:cs="宋体"/>
          <w:color w:val="auto"/>
        </w:rPr>
      </w:pPr>
    </w:p>
    <w:p w14:paraId="6F209093">
      <w:pPr>
        <w:rPr>
          <w:rFonts w:hint="eastAsia" w:ascii="宋体" w:hAnsi="宋体" w:eastAsia="宋体" w:cs="宋体"/>
          <w:color w:val="auto"/>
        </w:rPr>
      </w:pPr>
    </w:p>
    <w:p w14:paraId="44C7200A">
      <w:pPr>
        <w:rPr>
          <w:rFonts w:hint="eastAsia" w:ascii="宋体" w:hAnsi="宋体" w:eastAsia="宋体" w:cs="宋体"/>
          <w:color w:val="auto"/>
        </w:rPr>
      </w:pPr>
    </w:p>
    <w:p w14:paraId="0FED8049">
      <w:pPr>
        <w:rPr>
          <w:rFonts w:hint="eastAsia" w:ascii="宋体" w:hAnsi="宋体" w:eastAsia="宋体" w:cs="宋体"/>
          <w:color w:val="auto"/>
        </w:rPr>
      </w:pPr>
    </w:p>
    <w:p w14:paraId="05E2486A">
      <w:pPr>
        <w:rPr>
          <w:rFonts w:hint="eastAsia" w:ascii="宋体" w:hAnsi="宋体" w:eastAsia="宋体" w:cs="宋体"/>
          <w:color w:val="auto"/>
        </w:rPr>
      </w:pPr>
    </w:p>
    <w:p w14:paraId="096EB6A3">
      <w:pPr>
        <w:pStyle w:val="4"/>
        <w:bidi w:val="0"/>
        <w:ind w:left="0" w:leftChars="0" w:firstLine="0" w:firstLineChars="0"/>
        <w:rPr>
          <w:rFonts w:hint="eastAsia" w:ascii="宋体" w:hAnsi="宋体" w:eastAsia="宋体" w:cs="宋体"/>
          <w:color w:val="auto"/>
          <w:lang w:val="en-US" w:eastAsia="zh-CN"/>
        </w:rPr>
      </w:pPr>
      <w:bookmarkStart w:id="6" w:name="_Toc11980"/>
      <w:r>
        <w:rPr>
          <w:rFonts w:hint="eastAsia" w:ascii="宋体" w:hAnsi="宋体" w:eastAsia="宋体" w:cs="宋体"/>
          <w:color w:val="auto"/>
          <w:lang w:val="en-US" w:eastAsia="zh-CN"/>
        </w:rPr>
        <w:t>二、重要事项时间地点一览表</w:t>
      </w:r>
      <w:bookmarkEnd w:id="6"/>
    </w:p>
    <w:tbl>
      <w:tblPr>
        <w:tblStyle w:val="21"/>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60"/>
        <w:gridCol w:w="1470"/>
        <w:gridCol w:w="7466"/>
      </w:tblGrid>
      <w:tr w14:paraId="69C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1ECD1777">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w:t>
            </w:r>
          </w:p>
        </w:tc>
        <w:tc>
          <w:tcPr>
            <w:tcW w:w="1470" w:type="dxa"/>
            <w:shd w:val="clear" w:color="auto" w:fill="FFFFFF"/>
            <w:noWrap w:val="0"/>
            <w:vAlign w:val="center"/>
          </w:tcPr>
          <w:p w14:paraId="75E600E5">
            <w:pPr>
              <w:pStyle w:val="29"/>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2159B1FB">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发布时间</w:t>
            </w:r>
          </w:p>
        </w:tc>
        <w:tc>
          <w:tcPr>
            <w:tcW w:w="7466" w:type="dxa"/>
            <w:shd w:val="clear" w:color="auto" w:fill="FFFFFF"/>
            <w:noWrap w:val="0"/>
            <w:vAlign w:val="center"/>
          </w:tcPr>
          <w:p w14:paraId="602DC850">
            <w:pPr>
              <w:pStyle w:val="29"/>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snapToGrid w:val="0"/>
                <w:color w:val="auto"/>
                <w:kern w:val="0"/>
                <w:sz w:val="24"/>
                <w:szCs w:val="24"/>
                <w:highlight w:val="none"/>
                <w:u w:val="none"/>
                <w:lang w:val="en-US" w:eastAsia="zh-CN"/>
              </w:rPr>
              <w:t>2026</w:t>
            </w:r>
            <w:r>
              <w:rPr>
                <w:rFonts w:hint="eastAsia" w:ascii="宋体" w:hAnsi="宋体" w:eastAsia="宋体" w:cs="宋体"/>
                <w:snapToGrid w:val="0"/>
                <w:color w:val="auto"/>
                <w:kern w:val="0"/>
                <w:sz w:val="24"/>
                <w:szCs w:val="24"/>
                <w:highlight w:val="none"/>
                <w:u w:val="none"/>
              </w:rPr>
              <w:t>年</w:t>
            </w:r>
            <w:r>
              <w:rPr>
                <w:rFonts w:hint="eastAsia" w:ascii="宋体" w:hAnsi="宋体" w:cs="宋体"/>
                <w:snapToGrid w:val="0"/>
                <w:color w:val="auto"/>
                <w:kern w:val="0"/>
                <w:sz w:val="24"/>
                <w:szCs w:val="24"/>
                <w:highlight w:val="none"/>
                <w:u w:val="none"/>
                <w:lang w:val="en-US" w:eastAsia="zh-CN"/>
              </w:rPr>
              <w:t>5</w:t>
            </w:r>
            <w:r>
              <w:rPr>
                <w:rFonts w:hint="eastAsia" w:ascii="宋体" w:hAnsi="宋体" w:eastAsia="宋体" w:cs="宋体"/>
                <w:snapToGrid w:val="0"/>
                <w:color w:val="auto"/>
                <w:kern w:val="0"/>
                <w:sz w:val="24"/>
                <w:szCs w:val="24"/>
                <w:highlight w:val="none"/>
                <w:u w:val="none"/>
              </w:rPr>
              <w:t>月</w:t>
            </w:r>
            <w:r>
              <w:rPr>
                <w:rFonts w:hint="eastAsia" w:ascii="宋体" w:hAnsi="宋体" w:cs="宋体"/>
                <w:snapToGrid w:val="0"/>
                <w:color w:val="auto"/>
                <w:kern w:val="0"/>
                <w:sz w:val="24"/>
                <w:szCs w:val="24"/>
                <w:highlight w:val="none"/>
                <w:u w:val="none"/>
                <w:lang w:val="en-US" w:eastAsia="zh-CN"/>
              </w:rPr>
              <w:t>11</w:t>
            </w:r>
            <w:r>
              <w:rPr>
                <w:rFonts w:hint="eastAsia" w:ascii="宋体" w:hAnsi="宋体" w:eastAsia="宋体" w:cs="宋体"/>
                <w:snapToGrid w:val="0"/>
                <w:color w:val="auto"/>
                <w:kern w:val="0"/>
                <w:sz w:val="24"/>
                <w:szCs w:val="24"/>
                <w:highlight w:val="none"/>
                <w:u w:val="none"/>
              </w:rPr>
              <w:t>日</w:t>
            </w:r>
            <w:r>
              <w:rPr>
                <w:rFonts w:hint="eastAsia" w:ascii="宋体" w:hAnsi="宋体" w:cs="宋体"/>
                <w:snapToGrid w:val="0"/>
                <w:color w:val="auto"/>
                <w:kern w:val="0"/>
                <w:sz w:val="24"/>
                <w:szCs w:val="24"/>
                <w:highlight w:val="none"/>
                <w:u w:val="none"/>
                <w:lang w:val="en-US" w:eastAsia="zh-CN"/>
              </w:rPr>
              <w:t>18</w:t>
            </w:r>
            <w:r>
              <w:rPr>
                <w:rFonts w:hint="eastAsia" w:ascii="宋体" w:hAnsi="宋体" w:eastAsia="宋体" w:cs="宋体"/>
                <w:snapToGrid w:val="0"/>
                <w:color w:val="auto"/>
                <w:kern w:val="0"/>
                <w:sz w:val="24"/>
                <w:szCs w:val="24"/>
                <w:highlight w:val="none"/>
                <w:u w:val="none"/>
              </w:rPr>
              <w:t>时</w:t>
            </w:r>
            <w:r>
              <w:rPr>
                <w:rFonts w:hint="eastAsia" w:ascii="宋体" w:hAnsi="宋体" w:cs="宋体"/>
                <w:snapToGrid w:val="0"/>
                <w:color w:val="auto"/>
                <w:kern w:val="0"/>
                <w:sz w:val="24"/>
                <w:szCs w:val="24"/>
                <w:highlight w:val="none"/>
                <w:u w:val="none"/>
                <w:lang w:val="en-US" w:eastAsia="zh-CN"/>
              </w:rPr>
              <w:t>00</w:t>
            </w:r>
            <w:r>
              <w:rPr>
                <w:rFonts w:hint="eastAsia" w:ascii="宋体" w:hAnsi="宋体" w:eastAsia="宋体" w:cs="宋体"/>
                <w:snapToGrid w:val="0"/>
                <w:color w:val="auto"/>
                <w:kern w:val="0"/>
                <w:sz w:val="24"/>
                <w:szCs w:val="24"/>
                <w:highlight w:val="none"/>
              </w:rPr>
              <w:t>分</w:t>
            </w:r>
          </w:p>
        </w:tc>
      </w:tr>
      <w:tr w14:paraId="381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64D294D9">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w:t>
            </w:r>
          </w:p>
        </w:tc>
        <w:tc>
          <w:tcPr>
            <w:tcW w:w="1470" w:type="dxa"/>
            <w:shd w:val="clear" w:color="auto" w:fill="FFFFFF"/>
            <w:noWrap w:val="0"/>
            <w:vAlign w:val="center"/>
          </w:tcPr>
          <w:p w14:paraId="05F0BCC8">
            <w:pPr>
              <w:pStyle w:val="29"/>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获取招标文件</w:t>
            </w:r>
          </w:p>
          <w:p w14:paraId="4C5265B2">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截止时间</w:t>
            </w:r>
          </w:p>
        </w:tc>
        <w:tc>
          <w:tcPr>
            <w:tcW w:w="7466" w:type="dxa"/>
            <w:shd w:val="clear" w:color="auto" w:fill="FFFFFF"/>
            <w:noWrap w:val="0"/>
            <w:vAlign w:val="center"/>
          </w:tcPr>
          <w:p w14:paraId="6F173737">
            <w:pPr>
              <w:pStyle w:val="29"/>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0CCD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1B1CBC0E">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w:t>
            </w:r>
          </w:p>
        </w:tc>
        <w:tc>
          <w:tcPr>
            <w:tcW w:w="1470" w:type="dxa"/>
            <w:shd w:val="clear" w:color="auto" w:fill="FFFFFF"/>
            <w:noWrap w:val="0"/>
            <w:vAlign w:val="center"/>
          </w:tcPr>
          <w:p w14:paraId="6D42F957">
            <w:pPr>
              <w:pStyle w:val="29"/>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5E030563">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截止时间</w:t>
            </w:r>
          </w:p>
        </w:tc>
        <w:tc>
          <w:tcPr>
            <w:tcW w:w="7466" w:type="dxa"/>
            <w:shd w:val="clear" w:color="auto" w:fill="FFFFFF"/>
            <w:noWrap w:val="0"/>
            <w:vAlign w:val="center"/>
          </w:tcPr>
          <w:p w14:paraId="5558025F">
            <w:pPr>
              <w:ind w:firstLine="240" w:firstLineChars="100"/>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cs="宋体"/>
                <w:snapToGrid w:val="0"/>
                <w:color w:val="auto"/>
                <w:kern w:val="0"/>
                <w:sz w:val="24"/>
                <w:szCs w:val="24"/>
                <w:highlight w:val="none"/>
                <w:u w:val="none"/>
                <w:lang w:val="en-US" w:eastAsia="zh-CN" w:bidi="ar"/>
              </w:rPr>
              <w:t>2026</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cs="宋体"/>
                <w:snapToGrid w:val="0"/>
                <w:color w:val="auto"/>
                <w:kern w:val="0"/>
                <w:sz w:val="24"/>
                <w:szCs w:val="24"/>
                <w:highlight w:val="none"/>
                <w:u w:val="none"/>
                <w:lang w:val="en-US" w:eastAsia="zh-CN" w:bidi="ar"/>
              </w:rPr>
              <w:t>5</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cs="宋体"/>
                <w:snapToGrid w:val="0"/>
                <w:color w:val="auto"/>
                <w:kern w:val="0"/>
                <w:sz w:val="24"/>
                <w:szCs w:val="24"/>
                <w:highlight w:val="none"/>
                <w:u w:val="none"/>
                <w:lang w:val="en-US" w:eastAsia="zh-CN" w:bidi="ar"/>
              </w:rPr>
              <w:t>23</w:t>
            </w:r>
            <w:r>
              <w:rPr>
                <w:rFonts w:hint="eastAsia" w:ascii="宋体" w:hAnsi="宋体" w:eastAsia="宋体" w:cs="宋体"/>
                <w:snapToGrid w:val="0"/>
                <w:color w:val="auto"/>
                <w:kern w:val="0"/>
                <w:sz w:val="24"/>
                <w:szCs w:val="24"/>
                <w:highlight w:val="none"/>
                <w:u w:val="none"/>
                <w:lang w:val="en-US" w:eastAsia="zh-CN" w:bidi="ar"/>
              </w:rPr>
              <w:t>日16时00分</w:t>
            </w:r>
          </w:p>
        </w:tc>
      </w:tr>
      <w:tr w14:paraId="783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660" w:type="dxa"/>
            <w:shd w:val="clear" w:color="auto" w:fill="FFFFFF"/>
            <w:noWrap w:val="0"/>
            <w:vAlign w:val="center"/>
          </w:tcPr>
          <w:p w14:paraId="2136CF13">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4</w:t>
            </w:r>
          </w:p>
        </w:tc>
        <w:tc>
          <w:tcPr>
            <w:tcW w:w="1470" w:type="dxa"/>
            <w:shd w:val="clear" w:color="auto" w:fill="FFFFFF"/>
            <w:noWrap w:val="0"/>
            <w:vAlign w:val="center"/>
          </w:tcPr>
          <w:p w14:paraId="7E595664">
            <w:pPr>
              <w:pStyle w:val="29"/>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93EB79D">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时间</w:t>
            </w:r>
          </w:p>
        </w:tc>
        <w:tc>
          <w:tcPr>
            <w:tcW w:w="7466" w:type="dxa"/>
            <w:shd w:val="clear" w:color="auto" w:fill="FFFFFF"/>
            <w:noWrap w:val="0"/>
            <w:vAlign w:val="center"/>
          </w:tcPr>
          <w:p w14:paraId="0BC510C8">
            <w:pPr>
              <w:ind w:firstLine="240" w:firstLineChars="100"/>
              <w:rPr>
                <w:rFonts w:hint="eastAsia" w:ascii="宋体" w:hAnsi="宋体" w:eastAsia="宋体" w:cs="宋体"/>
                <w:snapToGrid w:val="0"/>
                <w:color w:val="auto"/>
                <w:kern w:val="0"/>
                <w:sz w:val="24"/>
                <w:szCs w:val="24"/>
                <w:highlight w:val="none"/>
                <w:u w:val="none"/>
                <w:lang w:val="en-US" w:eastAsia="zh-CN" w:bidi="ar"/>
              </w:rPr>
            </w:pPr>
            <w:r>
              <w:rPr>
                <w:rFonts w:hint="eastAsia" w:ascii="宋体" w:hAnsi="宋体" w:cs="宋体"/>
                <w:snapToGrid w:val="0"/>
                <w:color w:val="auto"/>
                <w:kern w:val="0"/>
                <w:sz w:val="24"/>
                <w:szCs w:val="24"/>
                <w:highlight w:val="none"/>
                <w:u w:val="none"/>
                <w:lang w:val="en-US" w:eastAsia="zh-CN" w:bidi="ar"/>
              </w:rPr>
              <w:t>2026</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cs="宋体"/>
                <w:snapToGrid w:val="0"/>
                <w:color w:val="auto"/>
                <w:kern w:val="0"/>
                <w:sz w:val="24"/>
                <w:szCs w:val="24"/>
                <w:highlight w:val="none"/>
                <w:u w:val="none"/>
                <w:lang w:val="en-US" w:eastAsia="zh-CN" w:bidi="ar"/>
              </w:rPr>
              <w:t>5</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cs="宋体"/>
                <w:snapToGrid w:val="0"/>
                <w:color w:val="auto"/>
                <w:kern w:val="0"/>
                <w:sz w:val="24"/>
                <w:szCs w:val="24"/>
                <w:highlight w:val="none"/>
                <w:u w:val="none"/>
                <w:lang w:val="en-US" w:eastAsia="zh-CN" w:bidi="ar"/>
              </w:rPr>
              <w:t>23</w:t>
            </w:r>
            <w:r>
              <w:rPr>
                <w:rFonts w:hint="eastAsia" w:ascii="宋体" w:hAnsi="宋体" w:eastAsia="宋体" w:cs="宋体"/>
                <w:snapToGrid w:val="0"/>
                <w:color w:val="auto"/>
                <w:kern w:val="0"/>
                <w:sz w:val="24"/>
                <w:szCs w:val="24"/>
                <w:highlight w:val="none"/>
                <w:u w:val="none"/>
                <w:lang w:val="en-US" w:eastAsia="zh-CN" w:bidi="ar"/>
              </w:rPr>
              <w:t>日16时30分至</w:t>
            </w:r>
            <w:r>
              <w:rPr>
                <w:rFonts w:hint="eastAsia" w:ascii="宋体" w:hAnsi="宋体" w:cs="宋体"/>
                <w:snapToGrid w:val="0"/>
                <w:color w:val="auto"/>
                <w:kern w:val="0"/>
                <w:sz w:val="24"/>
                <w:szCs w:val="24"/>
                <w:highlight w:val="none"/>
                <w:u w:val="none"/>
                <w:lang w:val="en-US" w:eastAsia="zh-CN" w:bidi="ar"/>
              </w:rPr>
              <w:t>2026</w:t>
            </w:r>
            <w:r>
              <w:rPr>
                <w:rFonts w:hint="eastAsia" w:ascii="宋体" w:hAnsi="宋体" w:eastAsia="宋体" w:cs="宋体"/>
                <w:snapToGrid w:val="0"/>
                <w:color w:val="auto"/>
                <w:kern w:val="0"/>
                <w:sz w:val="24"/>
                <w:szCs w:val="24"/>
                <w:highlight w:val="none"/>
                <w:u w:val="none"/>
                <w:lang w:val="en-US" w:eastAsia="zh-CN" w:bidi="ar"/>
              </w:rPr>
              <w:t>年</w:t>
            </w:r>
            <w:r>
              <w:rPr>
                <w:rFonts w:hint="eastAsia" w:ascii="宋体" w:hAnsi="宋体" w:cs="宋体"/>
                <w:snapToGrid w:val="0"/>
                <w:color w:val="auto"/>
                <w:kern w:val="0"/>
                <w:sz w:val="24"/>
                <w:szCs w:val="24"/>
                <w:highlight w:val="none"/>
                <w:u w:val="none"/>
                <w:lang w:val="en-US" w:eastAsia="zh-CN" w:bidi="ar"/>
              </w:rPr>
              <w:t>5</w:t>
            </w:r>
            <w:r>
              <w:rPr>
                <w:rFonts w:hint="eastAsia" w:ascii="宋体" w:hAnsi="宋体" w:eastAsia="宋体" w:cs="宋体"/>
                <w:snapToGrid w:val="0"/>
                <w:color w:val="auto"/>
                <w:kern w:val="0"/>
                <w:sz w:val="24"/>
                <w:szCs w:val="24"/>
                <w:highlight w:val="none"/>
                <w:u w:val="none"/>
                <w:lang w:val="en-US" w:eastAsia="zh-CN" w:bidi="ar"/>
              </w:rPr>
              <w:t>月</w:t>
            </w:r>
            <w:r>
              <w:rPr>
                <w:rFonts w:hint="eastAsia" w:ascii="宋体" w:hAnsi="宋体" w:cs="宋体"/>
                <w:snapToGrid w:val="0"/>
                <w:color w:val="auto"/>
                <w:kern w:val="0"/>
                <w:sz w:val="24"/>
                <w:szCs w:val="24"/>
                <w:highlight w:val="none"/>
                <w:u w:val="none"/>
                <w:lang w:val="en-US" w:eastAsia="zh-CN" w:bidi="ar"/>
              </w:rPr>
              <w:t>26</w:t>
            </w:r>
            <w:r>
              <w:rPr>
                <w:rFonts w:hint="eastAsia" w:ascii="宋体" w:hAnsi="宋体" w:eastAsia="宋体" w:cs="宋体"/>
                <w:snapToGrid w:val="0"/>
                <w:color w:val="auto"/>
                <w:kern w:val="0"/>
                <w:sz w:val="24"/>
                <w:szCs w:val="24"/>
                <w:highlight w:val="none"/>
                <w:u w:val="none"/>
                <w:lang w:val="en-US" w:eastAsia="zh-CN" w:bidi="ar"/>
              </w:rPr>
              <w:t>日16时00分</w:t>
            </w:r>
          </w:p>
        </w:tc>
      </w:tr>
      <w:tr w14:paraId="510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60" w:type="dxa"/>
            <w:shd w:val="clear" w:color="auto" w:fill="FFFFFF"/>
            <w:noWrap w:val="0"/>
            <w:vAlign w:val="center"/>
          </w:tcPr>
          <w:p w14:paraId="4490816F">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w:t>
            </w:r>
          </w:p>
        </w:tc>
        <w:tc>
          <w:tcPr>
            <w:tcW w:w="1470" w:type="dxa"/>
            <w:shd w:val="clear" w:color="auto" w:fill="FFFFFF"/>
            <w:noWrap w:val="0"/>
            <w:vAlign w:val="center"/>
          </w:tcPr>
          <w:p w14:paraId="6EA8A05A">
            <w:pPr>
              <w:pStyle w:val="29"/>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4A3C97C7">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466" w:type="dxa"/>
            <w:shd w:val="clear" w:color="auto" w:fill="FFFFFF"/>
            <w:noWrap w:val="0"/>
            <w:vAlign w:val="center"/>
          </w:tcPr>
          <w:p w14:paraId="28C80425">
            <w:pPr>
              <w:pStyle w:val="29"/>
              <w:wordWrap w:val="0"/>
              <w:adjustRightInd w:val="0"/>
              <w:snapToGrid w:val="0"/>
              <w:spacing w:line="360" w:lineRule="auto"/>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投标保证金到账截止时间：</w:t>
            </w: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p w14:paraId="187AA88E">
            <w:pPr>
              <w:pStyle w:val="29"/>
              <w:wordWrap w:val="0"/>
              <w:adjustRightInd w:val="0"/>
              <w:snapToGrid w:val="0"/>
              <w:spacing w:line="360" w:lineRule="auto"/>
              <w:ind w:firstLine="240" w:firstLineChars="100"/>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投标保证担保上传截止时间：</w:t>
            </w: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p w14:paraId="49ADAE65">
            <w:pPr>
              <w:pStyle w:val="29"/>
              <w:wordWrap w:val="0"/>
              <w:adjustRightInd w:val="0"/>
              <w:snapToGrid w:val="0"/>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u w:val="none"/>
              </w:rPr>
              <w:t>投标保证保险投保截止时间：</w:t>
            </w: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54CE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60" w:type="dxa"/>
            <w:shd w:val="clear" w:color="auto" w:fill="FFFFFF"/>
            <w:noWrap w:val="0"/>
            <w:vAlign w:val="center"/>
          </w:tcPr>
          <w:p w14:paraId="4430112C">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6</w:t>
            </w:r>
          </w:p>
        </w:tc>
        <w:tc>
          <w:tcPr>
            <w:tcW w:w="1470" w:type="dxa"/>
            <w:shd w:val="clear" w:color="auto" w:fill="FFFFFF"/>
            <w:noWrap w:val="0"/>
            <w:vAlign w:val="center"/>
          </w:tcPr>
          <w:p w14:paraId="5B3C2014">
            <w:pPr>
              <w:pStyle w:val="29"/>
              <w:wordWrap w:val="0"/>
              <w:adjustRightInd w:val="0"/>
              <w:snapToGrid w:val="0"/>
              <w:spacing w:line="360" w:lineRule="auto"/>
              <w:ind w:firstLine="240" w:firstLineChars="100"/>
              <w:jc w:val="both"/>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电子投标</w:t>
            </w:r>
          </w:p>
          <w:p w14:paraId="57BFA074">
            <w:pPr>
              <w:pStyle w:val="29"/>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lang w:val="en-US" w:eastAsia="zh-CN"/>
              </w:rPr>
              <w:t>截止时间</w:t>
            </w:r>
          </w:p>
        </w:tc>
        <w:tc>
          <w:tcPr>
            <w:tcW w:w="7466" w:type="dxa"/>
            <w:shd w:val="clear" w:color="auto" w:fill="FFFFFF"/>
            <w:noWrap w:val="0"/>
            <w:vAlign w:val="center"/>
          </w:tcPr>
          <w:p w14:paraId="31A4E8C4">
            <w:pPr>
              <w:pStyle w:val="29"/>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313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6FDA8AD6">
            <w:pPr>
              <w:pStyle w:val="29"/>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7</w:t>
            </w:r>
          </w:p>
        </w:tc>
        <w:tc>
          <w:tcPr>
            <w:tcW w:w="1470" w:type="dxa"/>
            <w:shd w:val="clear" w:color="auto" w:fill="FFFFFF"/>
            <w:noWrap w:val="0"/>
            <w:vAlign w:val="center"/>
          </w:tcPr>
          <w:p w14:paraId="6AA26F3E">
            <w:pPr>
              <w:pStyle w:val="29"/>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投标相关资料（如有）递交时间</w:t>
            </w:r>
          </w:p>
        </w:tc>
        <w:tc>
          <w:tcPr>
            <w:tcW w:w="7466" w:type="dxa"/>
            <w:shd w:val="clear" w:color="auto" w:fill="FFFFFF"/>
            <w:noWrap w:val="0"/>
            <w:vAlign w:val="center"/>
          </w:tcPr>
          <w:p w14:paraId="4118D5E6">
            <w:pPr>
              <w:pStyle w:val="29"/>
              <w:wordWrap w:val="0"/>
              <w:adjustRightInd w:val="0"/>
              <w:snapToGrid w:val="0"/>
              <w:spacing w:line="360" w:lineRule="auto"/>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00</w:t>
            </w:r>
            <w:r>
              <w:rPr>
                <w:rFonts w:hint="eastAsia" w:ascii="宋体" w:hAnsi="宋体" w:eastAsia="宋体" w:cs="宋体"/>
                <w:color w:val="auto"/>
                <w:kern w:val="2"/>
                <w:sz w:val="24"/>
                <w:szCs w:val="24"/>
                <w:highlight w:val="none"/>
                <w:lang w:val="en-US" w:eastAsia="zh-CN" w:bidi="ar"/>
              </w:rPr>
              <w:t>分</w:t>
            </w:r>
            <w:r>
              <w:rPr>
                <w:rFonts w:hint="eastAsia" w:ascii="宋体" w:hAnsi="宋体" w:eastAsia="宋体" w:cs="宋体"/>
                <w:snapToGrid w:val="0"/>
                <w:color w:val="auto"/>
                <w:kern w:val="0"/>
                <w:sz w:val="24"/>
                <w:szCs w:val="24"/>
                <w:highlight w:val="none"/>
                <w:u w:val="none"/>
              </w:rPr>
              <w:t>至</w:t>
            </w: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26D1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0D34D715">
            <w:pPr>
              <w:pStyle w:val="29"/>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w:t>
            </w:r>
          </w:p>
        </w:tc>
        <w:tc>
          <w:tcPr>
            <w:tcW w:w="1470" w:type="dxa"/>
            <w:shd w:val="clear" w:color="auto" w:fill="FFFFFF"/>
            <w:noWrap w:val="0"/>
            <w:vAlign w:val="center"/>
          </w:tcPr>
          <w:p w14:paraId="7B09109B">
            <w:pPr>
              <w:pStyle w:val="29"/>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投标相关资料（如有）递交地点</w:t>
            </w:r>
          </w:p>
        </w:tc>
        <w:tc>
          <w:tcPr>
            <w:tcW w:w="7466" w:type="dxa"/>
            <w:shd w:val="clear" w:color="auto" w:fill="FFFFFF"/>
            <w:noWrap w:val="0"/>
            <w:vAlign w:val="center"/>
          </w:tcPr>
          <w:p w14:paraId="291901A9">
            <w:pPr>
              <w:pStyle w:val="10"/>
              <w:wordWrap w:val="0"/>
              <w:adjustRightInd w:val="0"/>
              <w:snapToGrid w:val="0"/>
              <w:spacing w:line="360" w:lineRule="auto"/>
              <w:ind w:firstLine="240" w:firstLineChars="100"/>
              <w:jc w:val="left"/>
              <w:rPr>
                <w:rFonts w:hint="eastAsia" w:ascii="宋体" w:hAnsi="宋体" w:eastAsia="宋体" w:cs="宋体"/>
                <w:snapToGrid w:val="0"/>
                <w:color w:val="auto"/>
                <w:kern w:val="0"/>
                <w:sz w:val="24"/>
                <w:szCs w:val="24"/>
                <w:highlight w:val="none"/>
                <w:u w:val="none"/>
                <w:lang w:eastAsia="zh-CN"/>
              </w:rPr>
            </w:pPr>
            <w:r>
              <w:rPr>
                <w:rFonts w:hint="eastAsia" w:ascii="宋体" w:hAnsi="宋体" w:eastAsia="宋体" w:cs="宋体"/>
                <w:snapToGrid w:val="0"/>
                <w:color w:val="auto"/>
                <w:kern w:val="0"/>
                <w:sz w:val="24"/>
                <w:szCs w:val="24"/>
                <w:highlight w:val="none"/>
                <w:u w:val="none"/>
                <w:lang w:eastAsia="zh-CN"/>
              </w:rPr>
              <w:t>递交</w:t>
            </w:r>
            <w:r>
              <w:rPr>
                <w:rFonts w:hint="eastAsia" w:ascii="宋体" w:hAnsi="宋体" w:eastAsia="宋体" w:cs="宋体"/>
                <w:snapToGrid w:val="0"/>
                <w:color w:val="auto"/>
                <w:kern w:val="0"/>
                <w:sz w:val="24"/>
                <w:szCs w:val="24"/>
                <w:highlight w:val="none"/>
                <w:u w:val="none"/>
              </w:rPr>
              <w:t>场所：</w:t>
            </w:r>
            <w:r>
              <w:rPr>
                <w:rFonts w:hint="eastAsia" w:ascii="宋体" w:hAnsi="宋体" w:eastAsia="宋体" w:cs="宋体"/>
                <w:snapToGrid w:val="0"/>
                <w:color w:val="auto"/>
                <w:kern w:val="0"/>
                <w:sz w:val="24"/>
                <w:szCs w:val="24"/>
                <w:highlight w:val="none"/>
                <w:u w:val="none"/>
                <w:lang w:val="en-US" w:eastAsia="zh-CN"/>
              </w:rPr>
              <w:t>韶关市公共资源交易中心</w:t>
            </w:r>
          </w:p>
          <w:p w14:paraId="6E7F3111">
            <w:pPr>
              <w:pStyle w:val="30"/>
              <w:widowControl w:val="0"/>
              <w:wordWrap w:val="0"/>
              <w:snapToGrid w:val="0"/>
              <w:spacing w:before="0" w:beforeAutospacing="0" w:after="0" w:afterAutospacing="0" w:line="360" w:lineRule="auto"/>
              <w:ind w:firstLine="240" w:firstLineChars="100"/>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u w:val="none"/>
                <w:lang w:val="en-US" w:eastAsia="zh-CN" w:bidi="ar-SA"/>
              </w:rPr>
              <w:t>地址：</w:t>
            </w:r>
            <w:r>
              <w:rPr>
                <w:rFonts w:hint="eastAsia" w:cs="宋体"/>
                <w:snapToGrid w:val="0"/>
                <w:color w:val="auto"/>
                <w:kern w:val="0"/>
                <w:sz w:val="24"/>
                <w:szCs w:val="24"/>
                <w:highlight w:val="none"/>
                <w:u w:val="none"/>
                <w:lang w:val="en-US" w:eastAsia="zh-CN" w:bidi="ar-SA"/>
              </w:rPr>
              <w:t>广东省韶关市武江区西联镇</w:t>
            </w:r>
            <w:r>
              <w:rPr>
                <w:rFonts w:hint="eastAsia" w:ascii="宋体" w:hAnsi="宋体" w:eastAsia="宋体" w:cs="宋体"/>
                <w:snapToGrid w:val="0"/>
                <w:color w:val="auto"/>
                <w:kern w:val="0"/>
                <w:sz w:val="24"/>
                <w:szCs w:val="24"/>
                <w:highlight w:val="none"/>
                <w:u w:val="none"/>
                <w:lang w:val="en-US" w:eastAsia="zh-CN" w:bidi="ar-SA"/>
              </w:rPr>
              <w:t>，具体房间号以当日现场通知为准。</w:t>
            </w:r>
          </w:p>
        </w:tc>
      </w:tr>
      <w:tr w14:paraId="7DF7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60" w:type="dxa"/>
            <w:shd w:val="clear" w:color="auto" w:fill="FFFFFF"/>
            <w:noWrap w:val="0"/>
            <w:vAlign w:val="center"/>
          </w:tcPr>
          <w:p w14:paraId="31E3BE7B">
            <w:pPr>
              <w:pStyle w:val="29"/>
              <w:wordWrap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highlight w:val="none"/>
              </w:rPr>
              <w:t>9</w:t>
            </w:r>
          </w:p>
        </w:tc>
        <w:tc>
          <w:tcPr>
            <w:tcW w:w="1470" w:type="dxa"/>
            <w:shd w:val="clear" w:color="auto" w:fill="FFFFFF"/>
            <w:noWrap w:val="0"/>
            <w:vAlign w:val="center"/>
          </w:tcPr>
          <w:p w14:paraId="6F526C1E">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开标时间</w:t>
            </w:r>
          </w:p>
        </w:tc>
        <w:tc>
          <w:tcPr>
            <w:tcW w:w="7466" w:type="dxa"/>
            <w:shd w:val="clear" w:color="auto" w:fill="FFFFFF"/>
            <w:noWrap w:val="0"/>
            <w:vAlign w:val="center"/>
          </w:tcPr>
          <w:p w14:paraId="220196E9">
            <w:pPr>
              <w:pStyle w:val="29"/>
              <w:wordWrap w:val="0"/>
              <w:adjustRightInd w:val="0"/>
              <w:snapToGrid w:val="0"/>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
              </w:rPr>
              <w:t>2026</w:t>
            </w:r>
            <w:r>
              <w:rPr>
                <w:rFonts w:hint="eastAsia" w:ascii="宋体" w:hAnsi="宋体" w:eastAsia="宋体" w:cs="宋体"/>
                <w:color w:val="auto"/>
                <w:kern w:val="2"/>
                <w:sz w:val="24"/>
                <w:szCs w:val="24"/>
                <w:highlight w:val="none"/>
                <w:lang w:val="en-US" w:eastAsia="zh-CN" w:bidi="ar"/>
              </w:rPr>
              <w:t>年</w:t>
            </w:r>
            <w:r>
              <w:rPr>
                <w:rFonts w:hint="eastAsia" w:ascii="宋体" w:hAnsi="宋体" w:cs="宋体"/>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月</w:t>
            </w:r>
            <w:r>
              <w:rPr>
                <w:rFonts w:hint="eastAsia" w:ascii="宋体" w:hAnsi="宋体" w:cs="宋体"/>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日</w:t>
            </w:r>
            <w:r>
              <w:rPr>
                <w:rFonts w:hint="eastAsia" w:ascii="宋体" w:hAnsi="宋体" w:cs="宋体"/>
                <w:color w:val="auto"/>
                <w:kern w:val="2"/>
                <w:sz w:val="24"/>
                <w:szCs w:val="24"/>
                <w:highlight w:val="none"/>
                <w:lang w:val="en-US" w:eastAsia="zh-CN" w:bidi="ar"/>
              </w:rPr>
              <w:t>09</w:t>
            </w:r>
            <w:r>
              <w:rPr>
                <w:rFonts w:hint="eastAsia" w:ascii="宋体" w:hAnsi="宋体" w:eastAsia="宋体" w:cs="宋体"/>
                <w:color w:val="auto"/>
                <w:kern w:val="2"/>
                <w:sz w:val="24"/>
                <w:szCs w:val="24"/>
                <w:highlight w:val="none"/>
                <w:lang w:val="en-US" w:eastAsia="zh-CN" w:bidi="ar"/>
              </w:rPr>
              <w:t>时</w:t>
            </w:r>
            <w:r>
              <w:rPr>
                <w:rFonts w:hint="eastAsia" w:ascii="宋体" w:hAnsi="宋体" w:cs="宋体"/>
                <w:color w:val="auto"/>
                <w:kern w:val="2"/>
                <w:sz w:val="24"/>
                <w:szCs w:val="24"/>
                <w:highlight w:val="none"/>
                <w:lang w:val="en-US" w:eastAsia="zh-CN" w:bidi="ar"/>
              </w:rPr>
              <w:t>30</w:t>
            </w:r>
            <w:r>
              <w:rPr>
                <w:rFonts w:hint="eastAsia" w:ascii="宋体" w:hAnsi="宋体" w:eastAsia="宋体" w:cs="宋体"/>
                <w:color w:val="auto"/>
                <w:kern w:val="2"/>
                <w:sz w:val="24"/>
                <w:szCs w:val="24"/>
                <w:highlight w:val="none"/>
                <w:lang w:val="en-US" w:eastAsia="zh-CN" w:bidi="ar"/>
              </w:rPr>
              <w:t>分</w:t>
            </w:r>
          </w:p>
        </w:tc>
      </w:tr>
      <w:tr w14:paraId="43FD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2A676CE8">
            <w:pPr>
              <w:pStyle w:val="29"/>
              <w:wordWrap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10</w:t>
            </w:r>
          </w:p>
        </w:tc>
        <w:tc>
          <w:tcPr>
            <w:tcW w:w="1470" w:type="dxa"/>
            <w:shd w:val="clear" w:color="auto" w:fill="FFFFFF"/>
            <w:noWrap w:val="0"/>
            <w:vAlign w:val="center"/>
          </w:tcPr>
          <w:p w14:paraId="2971D890">
            <w:pPr>
              <w:pStyle w:val="29"/>
              <w:wordWrap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开标地点</w:t>
            </w:r>
          </w:p>
        </w:tc>
        <w:tc>
          <w:tcPr>
            <w:tcW w:w="7466" w:type="dxa"/>
            <w:shd w:val="clear" w:color="auto" w:fill="FFFFFF"/>
            <w:noWrap w:val="0"/>
            <w:vAlign w:val="center"/>
          </w:tcPr>
          <w:p w14:paraId="16A1BFFA">
            <w:pPr>
              <w:pStyle w:val="10"/>
              <w:wordWrap w:val="0"/>
              <w:adjustRightInd w:val="0"/>
              <w:snapToGrid w:val="0"/>
              <w:spacing w:line="360" w:lineRule="auto"/>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开标场所：</w:t>
            </w:r>
            <w:r>
              <w:rPr>
                <w:rFonts w:hint="eastAsia" w:ascii="宋体" w:hAnsi="宋体" w:eastAsia="宋体" w:cs="宋体"/>
                <w:snapToGrid w:val="0"/>
                <w:color w:val="auto"/>
                <w:kern w:val="0"/>
                <w:sz w:val="24"/>
                <w:szCs w:val="24"/>
                <w:highlight w:val="none"/>
                <w:lang w:val="en-US" w:eastAsia="zh-CN"/>
              </w:rPr>
              <w:t>韶关市公共资源交易中心</w:t>
            </w:r>
          </w:p>
          <w:p w14:paraId="2ED5063C">
            <w:pPr>
              <w:pStyle w:val="30"/>
              <w:widowControl w:val="0"/>
              <w:wordWrap w:val="0"/>
              <w:snapToGrid w:val="0"/>
              <w:spacing w:before="0" w:beforeAutospacing="0" w:after="0" w:afterAutospacing="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地址：</w:t>
            </w:r>
            <w:r>
              <w:rPr>
                <w:rFonts w:hint="eastAsia" w:cs="宋体"/>
                <w:snapToGrid w:val="0"/>
                <w:color w:val="auto"/>
                <w:kern w:val="0"/>
                <w:sz w:val="24"/>
                <w:szCs w:val="24"/>
                <w:highlight w:val="none"/>
                <w:lang w:eastAsia="zh-CN"/>
              </w:rPr>
              <w:t>广东省韶关市武江区西联镇</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具体房间号以当日现场通知为准。</w:t>
            </w:r>
          </w:p>
        </w:tc>
      </w:tr>
      <w:tr w14:paraId="1C4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60" w:type="dxa"/>
            <w:shd w:val="clear" w:color="auto" w:fill="FFFFFF"/>
            <w:noWrap w:val="0"/>
            <w:vAlign w:val="center"/>
          </w:tcPr>
          <w:p w14:paraId="18BEC9A9">
            <w:pPr>
              <w:pStyle w:val="29"/>
              <w:wordWrap w:val="0"/>
              <w:adjustRightInd w:val="0"/>
              <w:snapToGrid w:val="0"/>
              <w:spacing w:line="360" w:lineRule="auto"/>
              <w:jc w:val="center"/>
              <w:rPr>
                <w:rFonts w:hint="eastAsia" w:ascii="宋体" w:hAnsi="宋体" w:eastAsia="宋体" w:cs="宋体"/>
                <w:i w:val="0"/>
                <w:caps w:val="0"/>
                <w:color w:val="auto"/>
                <w:spacing w:val="0"/>
                <w:sz w:val="24"/>
                <w:szCs w:val="24"/>
                <w:highlight w:val="none"/>
                <w:lang w:val="en-US"/>
              </w:rPr>
            </w:pPr>
            <w:r>
              <w:rPr>
                <w:rFonts w:hint="eastAsia" w:ascii="宋体" w:hAnsi="宋体" w:eastAsia="宋体" w:cs="宋体"/>
                <w:snapToGrid w:val="0"/>
                <w:color w:val="auto"/>
                <w:kern w:val="0"/>
                <w:sz w:val="24"/>
                <w:szCs w:val="24"/>
                <w:highlight w:val="none"/>
              </w:rPr>
              <w:t>11</w:t>
            </w:r>
          </w:p>
        </w:tc>
        <w:tc>
          <w:tcPr>
            <w:tcW w:w="1470" w:type="dxa"/>
            <w:shd w:val="clear" w:color="auto" w:fill="FFFFFF"/>
            <w:noWrap w:val="0"/>
            <w:vAlign w:val="center"/>
          </w:tcPr>
          <w:p w14:paraId="4FC398B1">
            <w:pPr>
              <w:pStyle w:val="29"/>
              <w:wordWrap w:val="0"/>
              <w:adjustRightInd w:val="0"/>
              <w:snapToGrid w:val="0"/>
              <w:spacing w:line="360" w:lineRule="auto"/>
              <w:jc w:val="center"/>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其他</w:t>
            </w:r>
          </w:p>
        </w:tc>
        <w:tc>
          <w:tcPr>
            <w:tcW w:w="7466" w:type="dxa"/>
            <w:shd w:val="clear" w:color="auto" w:fill="FFFFFF"/>
            <w:noWrap w:val="0"/>
            <w:vAlign w:val="center"/>
          </w:tcPr>
          <w:p w14:paraId="43A57DF3">
            <w:pPr>
              <w:pStyle w:val="10"/>
              <w:wordWrap w:val="0"/>
              <w:adjustRightInd w:val="0"/>
              <w:snapToGrid w:val="0"/>
              <w:spacing w:line="360" w:lineRule="auto"/>
              <w:ind w:firstLine="240" w:firstLineChars="100"/>
              <w:jc w:val="left"/>
              <w:rPr>
                <w:rFonts w:hint="eastAsia" w:ascii="宋体" w:hAnsi="宋体" w:eastAsia="宋体" w:cs="宋体"/>
                <w:i w:val="0"/>
                <w:caps w:val="0"/>
                <w:color w:val="auto"/>
                <w:spacing w:val="0"/>
                <w:kern w:val="0"/>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4BC2611">
      <w:pPr>
        <w:rPr>
          <w:rFonts w:hint="eastAsia" w:ascii="宋体" w:hAnsi="宋体" w:eastAsia="宋体" w:cs="宋体"/>
          <w:b/>
          <w:bCs w:val="0"/>
          <w:color w:val="auto"/>
          <w:highlight w:val="none"/>
          <w:lang w:val="en-US" w:eastAsia="zh-CN"/>
        </w:rPr>
      </w:pPr>
    </w:p>
    <w:p w14:paraId="2F8FA2B6">
      <w:pPr>
        <w:rPr>
          <w:rFonts w:hint="eastAsia" w:ascii="宋体" w:hAnsi="宋体" w:eastAsia="宋体" w:cs="宋体"/>
          <w:b/>
          <w:bCs w:val="0"/>
          <w:color w:val="auto"/>
          <w:highlight w:val="none"/>
          <w:lang w:val="en-US" w:eastAsia="zh-CN"/>
        </w:rPr>
      </w:pPr>
    </w:p>
    <w:p w14:paraId="06EE79C4">
      <w:pPr>
        <w:rPr>
          <w:rFonts w:hint="eastAsia" w:ascii="宋体" w:hAnsi="宋体" w:eastAsia="宋体" w:cs="宋体"/>
          <w:b/>
          <w:bCs w:val="0"/>
          <w:color w:val="auto"/>
          <w:highlight w:val="none"/>
          <w:lang w:val="en-US" w:eastAsia="zh-CN"/>
        </w:rPr>
      </w:pPr>
    </w:p>
    <w:p w14:paraId="2EBB3325">
      <w:pPr>
        <w:rPr>
          <w:rFonts w:hint="eastAsia" w:ascii="宋体" w:hAnsi="宋体" w:eastAsia="宋体" w:cs="宋体"/>
          <w:b/>
          <w:bCs w:val="0"/>
          <w:color w:val="auto"/>
          <w:highlight w:val="none"/>
          <w:lang w:val="en-US" w:eastAsia="zh-CN"/>
        </w:rPr>
      </w:pPr>
    </w:p>
    <w:p w14:paraId="54E1342B">
      <w:pPr>
        <w:rPr>
          <w:rFonts w:hint="eastAsia" w:ascii="宋体" w:hAnsi="宋体" w:eastAsia="宋体" w:cs="宋体"/>
          <w:b/>
          <w:bCs w:val="0"/>
          <w:color w:val="auto"/>
          <w:highlight w:val="none"/>
          <w:lang w:val="en-US" w:eastAsia="zh-CN"/>
        </w:rPr>
      </w:pPr>
    </w:p>
    <w:p w14:paraId="24C0A71C">
      <w:pPr>
        <w:pStyle w:val="4"/>
        <w:bidi w:val="0"/>
        <w:ind w:left="0" w:leftChars="0" w:firstLine="0" w:firstLineChars="0"/>
        <w:rPr>
          <w:rFonts w:hint="eastAsia" w:ascii="宋体" w:hAnsi="宋体" w:eastAsia="宋体" w:cs="宋体"/>
          <w:color w:val="auto"/>
          <w:lang w:val="en-US" w:eastAsia="zh-CN"/>
        </w:rPr>
      </w:pPr>
      <w:bookmarkStart w:id="7" w:name="_Toc6353"/>
      <w:r>
        <w:rPr>
          <w:rFonts w:hint="eastAsia" w:ascii="宋体" w:hAnsi="宋体" w:eastAsia="宋体" w:cs="宋体"/>
          <w:color w:val="auto"/>
          <w:lang w:val="en-US" w:eastAsia="zh-CN"/>
        </w:rPr>
        <w:t>三、投标人须知</w:t>
      </w:r>
      <w:bookmarkEnd w:id="7"/>
    </w:p>
    <w:p w14:paraId="3BA111C0">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kern w:val="0"/>
          <w:sz w:val="28"/>
          <w:szCs w:val="28"/>
          <w:highlight w:val="none"/>
        </w:rPr>
      </w:pPr>
      <w:bookmarkStart w:id="8" w:name="_Toc788"/>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一</w:t>
      </w:r>
      <w:r>
        <w:rPr>
          <w:rFonts w:hint="eastAsia" w:ascii="宋体" w:hAnsi="宋体" w:eastAsia="宋体" w:cs="宋体"/>
          <w:b/>
          <w:bCs/>
          <w:color w:val="auto"/>
          <w:kern w:val="0"/>
          <w:sz w:val="28"/>
          <w:szCs w:val="28"/>
          <w:highlight w:val="none"/>
        </w:rPr>
        <w:t>）总</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b/>
          <w:bCs/>
          <w:color w:val="auto"/>
          <w:kern w:val="0"/>
          <w:sz w:val="28"/>
          <w:szCs w:val="28"/>
          <w:highlight w:val="none"/>
        </w:rPr>
        <w:t>则</w:t>
      </w:r>
      <w:bookmarkEnd w:id="8"/>
    </w:p>
    <w:p w14:paraId="416DECCB">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项目概况</w:t>
      </w:r>
    </w:p>
    <w:p w14:paraId="75F3CD2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.1根据《中华人民共和国招标投标法》等有关法律、法规和规章的规定，本招标项目已具备招标条件，通过招标方式选定承包人。</w:t>
      </w:r>
    </w:p>
    <w:p w14:paraId="79CB891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项目业主：</w:t>
      </w:r>
      <w:r>
        <w:rPr>
          <w:rFonts w:hint="eastAsia" w:ascii="宋体" w:hAnsi="宋体" w:eastAsia="宋体" w:cs="宋体"/>
          <w:color w:val="auto"/>
          <w:sz w:val="24"/>
          <w:szCs w:val="24"/>
          <w:highlight w:val="none"/>
        </w:rPr>
        <w:t>见投标人须知前附表。</w:t>
      </w:r>
    </w:p>
    <w:p w14:paraId="6F4B8F7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.3招标人：见投标人须知前附表</w:t>
      </w:r>
      <w:r>
        <w:rPr>
          <w:rFonts w:hint="eastAsia" w:ascii="宋体" w:hAnsi="宋体" w:eastAsia="宋体" w:cs="宋体"/>
          <w:color w:val="auto"/>
          <w:sz w:val="24"/>
          <w:szCs w:val="24"/>
          <w:highlight w:val="none"/>
          <w:lang w:eastAsia="zh-CN"/>
        </w:rPr>
        <w:t>。</w:t>
      </w:r>
    </w:p>
    <w:p w14:paraId="3F2DDC4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.4招标代理机构：见投标人须知前附表。</w:t>
      </w:r>
    </w:p>
    <w:p w14:paraId="3D35573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名称：见投标人须知前附表。</w:t>
      </w:r>
    </w:p>
    <w:p w14:paraId="379F86E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.6项目建设地点：见投标人须知前附表。</w:t>
      </w:r>
    </w:p>
    <w:p w14:paraId="734A6CE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项目建设规模：见投标人须知前附表。</w:t>
      </w:r>
    </w:p>
    <w:p w14:paraId="212DCF32">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．资金来源和落实情况</w:t>
      </w:r>
    </w:p>
    <w:p w14:paraId="5ECA26B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.1资金来源及比例：</w:t>
      </w:r>
      <w:r>
        <w:rPr>
          <w:rFonts w:hint="eastAsia" w:ascii="宋体" w:hAnsi="宋体" w:eastAsia="宋体" w:cs="宋体"/>
          <w:color w:val="auto"/>
          <w:sz w:val="24"/>
          <w:szCs w:val="24"/>
          <w:highlight w:val="none"/>
        </w:rPr>
        <w:t>见投标人须知前附表。</w:t>
      </w:r>
    </w:p>
    <w:p w14:paraId="026A54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.2资金落实情况：见投标人须知前附表。</w:t>
      </w:r>
    </w:p>
    <w:p w14:paraId="1594148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工程类型</w:t>
      </w:r>
      <w:r>
        <w:rPr>
          <w:rFonts w:hint="eastAsia" w:ascii="宋体" w:hAnsi="宋体" w:eastAsia="宋体" w:cs="宋体"/>
          <w:b/>
          <w:bCs/>
          <w:color w:val="auto"/>
          <w:sz w:val="24"/>
          <w:szCs w:val="24"/>
          <w:highlight w:val="none"/>
        </w:rPr>
        <w:t>及招标范围</w:t>
      </w:r>
    </w:p>
    <w:p w14:paraId="4D67544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工程类型</w:t>
      </w:r>
      <w:r>
        <w:rPr>
          <w:rFonts w:hint="eastAsia" w:ascii="宋体" w:hAnsi="宋体" w:eastAsia="宋体" w:cs="宋体"/>
          <w:color w:val="auto"/>
          <w:sz w:val="24"/>
          <w:szCs w:val="24"/>
          <w:highlight w:val="none"/>
        </w:rPr>
        <w:t>：见投标人须知前附表。</w:t>
      </w:r>
    </w:p>
    <w:p w14:paraId="3799EC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工程建设内容及</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：见投标人须知前附表</w:t>
      </w:r>
    </w:p>
    <w:p w14:paraId="0960243F">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投标人资格要求</w:t>
      </w:r>
    </w:p>
    <w:p w14:paraId="7AB8BBE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.1投标人应具备承担本招标项目资质条件、能力和信誉。</w:t>
      </w:r>
    </w:p>
    <w:p w14:paraId="757E590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（1）资质要求：见投标人须知前附表；</w:t>
      </w:r>
    </w:p>
    <w:p w14:paraId="1B0CBBF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（2）其他要求：见投标人须知前附表。</w:t>
      </w:r>
    </w:p>
    <w:p w14:paraId="1B681EB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投标须知前附表规定接受联合体投标的，除应符合本章第</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款和投标人须知前附表的要求外，还应遵守以下规定：</w:t>
      </w:r>
    </w:p>
    <w:p w14:paraId="5B9861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（1）联合体各方应按照招标文件提供的格式签订联合体共同投标协议书，明确联合体主办人和各方权利义务；</w:t>
      </w:r>
    </w:p>
    <w:p w14:paraId="6AA89D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（2）由同一专业的单位组成的联合体，按照资质等级较低的单位确定资质等级；</w:t>
      </w:r>
    </w:p>
    <w:p w14:paraId="7E40DD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（3）联合体各方不得再以自己名义单独或参加其他联合体在本招标项目中投标。</w:t>
      </w:r>
    </w:p>
    <w:p w14:paraId="0EA0CB1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项目负责人资格要求：具体要求见投标人须知前附表；</w:t>
      </w:r>
    </w:p>
    <w:p w14:paraId="0A0BEEC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w:t>
      </w:r>
      <w:r>
        <w:rPr>
          <w:rFonts w:hint="eastAsia" w:ascii="宋体" w:hAnsi="宋体" w:eastAsia="宋体" w:cs="宋体"/>
          <w:bCs/>
          <w:color w:val="auto"/>
          <w:kern w:val="0"/>
          <w:sz w:val="24"/>
          <w:szCs w:val="24"/>
          <w:highlight w:val="none"/>
        </w:rPr>
        <w:t>投标人拟派的项目负责人从投标截止时间起不得在其他建设工程担任项目负责人。</w:t>
      </w:r>
    </w:p>
    <w:p w14:paraId="22DD8F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本招标项目采用本投标人须知前附表所述的资格后审方式确定合格投标人。</w:t>
      </w:r>
    </w:p>
    <w:p w14:paraId="6746A77F">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0"/>
          <w:sz w:val="24"/>
          <w:highlight w:val="none"/>
        </w:rPr>
        <w:t>禁止投标条款</w:t>
      </w:r>
    </w:p>
    <w:p w14:paraId="7EC5063B">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.1 投标人不得存在下列情形之一：</w:t>
      </w:r>
    </w:p>
    <w:p w14:paraId="04DD15C5">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14:paraId="7B661B35">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（2）为本招标项目前期准备提供设计或咨询服务的；</w:t>
      </w:r>
    </w:p>
    <w:p w14:paraId="12ECABF7">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14:paraId="6EC3A00F">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14:paraId="1D2A5500">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（5）为本招标项目的监理人；</w:t>
      </w:r>
    </w:p>
    <w:p w14:paraId="31114652">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（6）为本招标项目的代建人；</w:t>
      </w:r>
    </w:p>
    <w:p w14:paraId="493084D7">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（7）为本招标项目的招标代理机构；</w:t>
      </w:r>
    </w:p>
    <w:p w14:paraId="0B8520E5">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（8）与本招标项目的监理人或代建人或招标代理机构同为一个法定代表人；</w:t>
      </w:r>
    </w:p>
    <w:p w14:paraId="4649E6C0">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（9）与本招标项目的监理人或代建人或招标代理机构存在控股或参股关系；</w:t>
      </w:r>
    </w:p>
    <w:p w14:paraId="3545F9D7">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（10）与本招标项目的监理人或代建人或招标代理机构存在相互任职或工作关系；</w:t>
      </w:r>
    </w:p>
    <w:p w14:paraId="01B4C30E">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（11）被依法暂停或者取消投标资格；</w:t>
      </w:r>
    </w:p>
    <w:p w14:paraId="389ED542">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（12）被责令停产停业、暂扣或者吊销许可证、暂扣或者吊销执照；</w:t>
      </w:r>
    </w:p>
    <w:p w14:paraId="1FE3AFC2">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（13）进入清算程序，或被宣告破产，或其他丧失履约能力的情形；</w:t>
      </w:r>
    </w:p>
    <w:p w14:paraId="63E4F95C">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6446BBE">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（15）被“信用中国”网站（https://www.creditchina.gov.cn）发布的《法人和非法人组织公共信用信息报告》列为严重失信主体名单的。</w:t>
      </w:r>
    </w:p>
    <w:p w14:paraId="649C11A2">
      <w:pPr>
        <w:pStyle w:val="29"/>
        <w:wordWrap w:val="0"/>
        <w:adjustRightInd w:val="0"/>
        <w:snapToGrid w:val="0"/>
        <w:spacing w:line="440" w:lineRule="exact"/>
        <w:ind w:firstLine="48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4.5</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 xml:space="preserve"> 招标人拒绝以下名单中的单位参加本次投标：</w:t>
      </w:r>
    </w:p>
    <w:tbl>
      <w:tblPr>
        <w:tblStyle w:val="22"/>
        <w:tblW w:w="875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844"/>
        <w:gridCol w:w="4011"/>
      </w:tblGrid>
      <w:tr w14:paraId="73D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04" w:type="dxa"/>
            <w:noWrap w:val="0"/>
            <w:vAlign w:val="center"/>
          </w:tcPr>
          <w:p w14:paraId="30610070">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序号</w:t>
            </w:r>
          </w:p>
        </w:tc>
        <w:tc>
          <w:tcPr>
            <w:tcW w:w="3844" w:type="dxa"/>
            <w:noWrap w:val="0"/>
            <w:vAlign w:val="center"/>
          </w:tcPr>
          <w:p w14:paraId="24A75590">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单位名称</w:t>
            </w:r>
          </w:p>
        </w:tc>
        <w:tc>
          <w:tcPr>
            <w:tcW w:w="4011" w:type="dxa"/>
            <w:noWrap w:val="0"/>
            <w:vAlign w:val="center"/>
          </w:tcPr>
          <w:p w14:paraId="43B64827">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拒绝原因</w:t>
            </w:r>
          </w:p>
        </w:tc>
      </w:tr>
      <w:tr w14:paraId="7C6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04" w:type="dxa"/>
            <w:noWrap w:val="0"/>
            <w:vAlign w:val="center"/>
          </w:tcPr>
          <w:p w14:paraId="7965B22A">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1</w:t>
            </w:r>
          </w:p>
        </w:tc>
        <w:tc>
          <w:tcPr>
            <w:tcW w:w="3844" w:type="dxa"/>
            <w:noWrap w:val="0"/>
            <w:vAlign w:val="center"/>
          </w:tcPr>
          <w:p w14:paraId="1CD29719">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韶关市浈江区犁市镇人民政府</w:t>
            </w:r>
          </w:p>
        </w:tc>
        <w:tc>
          <w:tcPr>
            <w:tcW w:w="4011" w:type="dxa"/>
            <w:noWrap w:val="0"/>
            <w:vAlign w:val="center"/>
          </w:tcPr>
          <w:p w14:paraId="3CAA6245">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rPr>
              <w:t>为本招标项目的招标人</w:t>
            </w:r>
          </w:p>
        </w:tc>
      </w:tr>
      <w:tr w14:paraId="5EF4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904" w:type="dxa"/>
            <w:noWrap w:val="0"/>
            <w:vAlign w:val="center"/>
          </w:tcPr>
          <w:p w14:paraId="1C31720E">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t>2</w:t>
            </w:r>
          </w:p>
        </w:tc>
        <w:tc>
          <w:tcPr>
            <w:tcW w:w="3844" w:type="dxa"/>
            <w:noWrap w:val="0"/>
            <w:vAlign w:val="center"/>
          </w:tcPr>
          <w:p w14:paraId="40B2782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strike w:val="0"/>
                <w:dstrike w:val="0"/>
                <w:snapToGrid w:val="0"/>
                <w:color w:val="auto"/>
                <w:kern w:val="0"/>
                <w:sz w:val="24"/>
                <w:szCs w:val="24"/>
                <w:highlight w:val="none"/>
                <w:lang w:eastAsia="zh-CN"/>
              </w:rPr>
              <w:t>韶关市浈江区农业农村局</w:t>
            </w:r>
          </w:p>
        </w:tc>
        <w:tc>
          <w:tcPr>
            <w:tcW w:w="4011" w:type="dxa"/>
            <w:noWrap w:val="0"/>
            <w:vAlign w:val="center"/>
          </w:tcPr>
          <w:p w14:paraId="1345E4B9">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400" w:lineRule="exact"/>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rPr>
              <w:t>为本招标项目的主管单位</w:t>
            </w:r>
          </w:p>
        </w:tc>
      </w:tr>
      <w:tr w14:paraId="3C14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4" w:type="dxa"/>
            <w:noWrap w:val="0"/>
            <w:vAlign w:val="center"/>
          </w:tcPr>
          <w:p w14:paraId="4053B39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3</w:t>
            </w:r>
          </w:p>
        </w:tc>
        <w:tc>
          <w:tcPr>
            <w:tcW w:w="3844" w:type="dxa"/>
            <w:noWrap w:val="0"/>
            <w:vAlign w:val="center"/>
          </w:tcPr>
          <w:p w14:paraId="182A5E1D">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艺城设计有限公司</w:t>
            </w:r>
          </w:p>
        </w:tc>
        <w:tc>
          <w:tcPr>
            <w:tcW w:w="4011" w:type="dxa"/>
            <w:noWrap w:val="0"/>
            <w:vAlign w:val="center"/>
          </w:tcPr>
          <w:p w14:paraId="057DD99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为本招标项目的监理单位</w:t>
            </w:r>
          </w:p>
        </w:tc>
      </w:tr>
      <w:tr w14:paraId="4533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4" w:type="dxa"/>
            <w:noWrap w:val="0"/>
            <w:vAlign w:val="center"/>
          </w:tcPr>
          <w:p w14:paraId="259644E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leftChars="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4</w:t>
            </w:r>
          </w:p>
        </w:tc>
        <w:tc>
          <w:tcPr>
            <w:tcW w:w="3844" w:type="dxa"/>
            <w:noWrap w:val="0"/>
            <w:vAlign w:val="center"/>
          </w:tcPr>
          <w:p w14:paraId="28596D00">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海通国际设计有限公司</w:t>
            </w:r>
          </w:p>
        </w:tc>
        <w:tc>
          <w:tcPr>
            <w:tcW w:w="4011" w:type="dxa"/>
            <w:noWrap w:val="0"/>
            <w:vAlign w:val="center"/>
          </w:tcPr>
          <w:p w14:paraId="19C688CA">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为本招标项目的招标代理机构</w:t>
            </w:r>
          </w:p>
        </w:tc>
      </w:tr>
      <w:tr w14:paraId="5868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4" w:type="dxa"/>
            <w:noWrap w:val="0"/>
            <w:vAlign w:val="center"/>
          </w:tcPr>
          <w:p w14:paraId="739502B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leftChars="0" w:right="0" w:rightChars="0"/>
              <w:jc w:val="center"/>
              <w:textAlignment w:val="auto"/>
              <w:outlineLvl w:val="9"/>
              <w:rPr>
                <w:rFonts w:hint="eastAsia" w:asciiTheme="minorEastAsia" w:hAnsiTheme="minorEastAsia" w:eastAsiaTheme="minorEastAsia" w:cstheme="minorEastAsia"/>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5</w:t>
            </w:r>
          </w:p>
        </w:tc>
        <w:tc>
          <w:tcPr>
            <w:tcW w:w="3844" w:type="dxa"/>
            <w:noWrap w:val="0"/>
            <w:vAlign w:val="center"/>
          </w:tcPr>
          <w:p w14:paraId="2665AEBE">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智埔国际建设集团有限公司</w:t>
            </w:r>
          </w:p>
        </w:tc>
        <w:tc>
          <w:tcPr>
            <w:tcW w:w="4011" w:type="dxa"/>
            <w:noWrap w:val="0"/>
            <w:vAlign w:val="center"/>
          </w:tcPr>
          <w:p w14:paraId="1E56F7F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为本招标项目的造价咨询单位</w:t>
            </w:r>
          </w:p>
        </w:tc>
      </w:tr>
      <w:tr w14:paraId="415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4" w:type="dxa"/>
            <w:noWrap w:val="0"/>
            <w:vAlign w:val="center"/>
          </w:tcPr>
          <w:p w14:paraId="1AEB346A">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leftChars="0" w:right="0" w:rightChars="0"/>
              <w:jc w:val="center"/>
              <w:textAlignment w:val="auto"/>
              <w:outlineLvl w:val="9"/>
              <w:rPr>
                <w:rFonts w:hint="default"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6</w:t>
            </w:r>
          </w:p>
        </w:tc>
        <w:tc>
          <w:tcPr>
            <w:tcW w:w="3844" w:type="dxa"/>
            <w:noWrap w:val="0"/>
            <w:vAlign w:val="center"/>
          </w:tcPr>
          <w:p w14:paraId="7879466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中联合创设计有限公司</w:t>
            </w:r>
          </w:p>
        </w:tc>
        <w:tc>
          <w:tcPr>
            <w:tcW w:w="4011" w:type="dxa"/>
            <w:noWrap w:val="0"/>
            <w:vAlign w:val="center"/>
          </w:tcPr>
          <w:p w14:paraId="2F602A7D">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default"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为本招标项目的设计单位</w:t>
            </w:r>
          </w:p>
        </w:tc>
      </w:tr>
      <w:tr w14:paraId="54BB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04" w:type="dxa"/>
            <w:noWrap w:val="0"/>
            <w:vAlign w:val="center"/>
          </w:tcPr>
          <w:p w14:paraId="357E425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leftChars="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7</w:t>
            </w:r>
          </w:p>
        </w:tc>
        <w:tc>
          <w:tcPr>
            <w:tcW w:w="3844" w:type="dxa"/>
            <w:noWrap w:val="0"/>
            <w:vAlign w:val="center"/>
          </w:tcPr>
          <w:p w14:paraId="06E3532D">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广州三合工程咨询有限公司</w:t>
            </w:r>
          </w:p>
        </w:tc>
        <w:tc>
          <w:tcPr>
            <w:tcW w:w="4011" w:type="dxa"/>
            <w:noWrap w:val="0"/>
            <w:vAlign w:val="center"/>
          </w:tcPr>
          <w:p w14:paraId="1A8BDA5A">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line="240" w:lineRule="auto"/>
              <w:ind w:left="0" w:right="0" w:rightChars="0"/>
              <w:jc w:val="center"/>
              <w:textAlignment w:val="auto"/>
              <w:outlineLvl w:val="9"/>
              <w:rPr>
                <w:rFonts w:hint="default"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pPr>
            <w:r>
              <w:rPr>
                <w:rFonts w:hint="eastAsia" w:asciiTheme="minorEastAsia" w:hAnsiTheme="minorEastAsia" w:eastAsiaTheme="minorEastAsia" w:cstheme="minorEastAsia"/>
                <w:i w:val="0"/>
                <w:iCs w:val="0"/>
                <w:caps w:val="0"/>
                <w:smallCaps w:val="0"/>
                <w:snapToGrid w:val="0"/>
                <w:color w:val="auto"/>
                <w:spacing w:val="0"/>
                <w:kern w:val="0"/>
                <w:sz w:val="24"/>
                <w:szCs w:val="24"/>
                <w:highlight w:val="none"/>
                <w:vertAlign w:val="baseline"/>
                <w:lang w:val="en-US" w:eastAsia="zh-CN" w:bidi="ar-SA"/>
              </w:rPr>
              <w:t>为本招标项目的设计图审查单位</w:t>
            </w:r>
          </w:p>
        </w:tc>
      </w:tr>
    </w:tbl>
    <w:p w14:paraId="76C35820">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4BDE4FD5">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 xml:space="preserve"> 分包</w:t>
      </w:r>
    </w:p>
    <w:p w14:paraId="663D78A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投标人须知前附表规定允许分包的，招标人不得直接指定分包工程承包人，也不得对依法实施的分包活动进行干预，应当允许</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人将中标项目的部分非主体、非关键性工作进行分包。</w:t>
      </w:r>
    </w:p>
    <w:p w14:paraId="061761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投标人拟将允许分包的中标项目的部分非主体、非关键性工作进行分包的，应当符合有关法律法规规章的规定</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kern w:val="0"/>
          <w:sz w:val="24"/>
          <w:szCs w:val="24"/>
          <w:highlight w:val="none"/>
        </w:rPr>
        <w:t>施工总承包的，</w:t>
      </w:r>
      <w:r>
        <w:rPr>
          <w:rFonts w:hint="eastAsia" w:ascii="宋体" w:hAnsi="宋体" w:cs="宋体"/>
          <w:b w:val="0"/>
          <w:bCs w:val="0"/>
          <w:color w:val="auto"/>
          <w:kern w:val="0"/>
          <w:sz w:val="24"/>
          <w:szCs w:val="24"/>
          <w:highlight w:val="none"/>
          <w:lang w:eastAsia="zh-CN"/>
        </w:rPr>
        <w:t>市政公用工程</w:t>
      </w:r>
      <w:r>
        <w:rPr>
          <w:rFonts w:hint="eastAsia" w:ascii="宋体" w:hAnsi="宋体" w:eastAsia="宋体" w:cs="宋体"/>
          <w:b w:val="0"/>
          <w:bCs w:val="0"/>
          <w:color w:val="auto"/>
          <w:kern w:val="0"/>
          <w:sz w:val="24"/>
          <w:szCs w:val="24"/>
          <w:highlight w:val="none"/>
        </w:rPr>
        <w:t>主体结构的施工必须由总承包单位自行完成。禁止总承包单位</w:t>
      </w:r>
    </w:p>
    <w:p w14:paraId="53885F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rPr>
        <w:t>将工程分包给不具备相应资质条件的单位。禁止分包单位将其承包的工程再分包。</w:t>
      </w:r>
      <w:r>
        <w:rPr>
          <w:rFonts w:hint="eastAsia" w:ascii="宋体" w:hAnsi="宋体" w:eastAsia="宋体" w:cs="宋体"/>
          <w:color w:val="auto"/>
          <w:sz w:val="24"/>
          <w:szCs w:val="24"/>
          <w:highlight w:val="none"/>
          <w:lang w:eastAsia="zh-CN"/>
        </w:rPr>
        <w:t>拟分包工程前，中标人应当将拟分包工程内容、分包金额、分包工程理由、拟分包人名称及分包人资质等情况书面报送招标人同意</w:t>
      </w:r>
      <w:r>
        <w:rPr>
          <w:rFonts w:hint="eastAsia" w:ascii="宋体" w:hAnsi="宋体" w:eastAsia="宋体" w:cs="宋体"/>
          <w:color w:val="auto"/>
          <w:sz w:val="24"/>
          <w:szCs w:val="24"/>
          <w:highlight w:val="none"/>
        </w:rPr>
        <w:t>。</w:t>
      </w:r>
    </w:p>
    <w:p w14:paraId="397DE1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 xml:space="preserve"> 踏勘现场</w:t>
      </w:r>
    </w:p>
    <w:p w14:paraId="036E4F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14:paraId="6D211E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招标人向投标人提供的有关现场的数据和资料，是招标人现有的能被投标人利用的资料，招标人对投标人做出的任何推论、理解和结论均不负责任。</w:t>
      </w:r>
    </w:p>
    <w:p w14:paraId="7E5175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color w:val="auto"/>
          <w:sz w:val="24"/>
          <w:szCs w:val="24"/>
          <w:highlight w:val="none"/>
        </w:rPr>
        <w:t>通用规定</w:t>
      </w:r>
    </w:p>
    <w:p w14:paraId="6829FA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语言文字</w:t>
      </w:r>
    </w:p>
    <w:p w14:paraId="6E699AB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招标投标文件使用的语言文字为中文。专用术语使用外文的，应附有中文注释。</w:t>
      </w:r>
    </w:p>
    <w:p w14:paraId="0305D33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货币名称</w:t>
      </w:r>
    </w:p>
    <w:p w14:paraId="7152A8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招标投标文件采用的币种为人民币。</w:t>
      </w:r>
    </w:p>
    <w:p w14:paraId="69B6E37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.3计量单位</w:t>
      </w:r>
    </w:p>
    <w:p w14:paraId="41920D3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招标投标文件所有计量均采用中华人民共和国法定计量单位。</w:t>
      </w:r>
    </w:p>
    <w:p w14:paraId="613A472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.4费用承担</w:t>
      </w:r>
    </w:p>
    <w:p w14:paraId="48710EE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投标人准备和参加投标活动发生的费用自理。</w:t>
      </w:r>
    </w:p>
    <w:p w14:paraId="18B2AD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.5保密责任</w:t>
      </w:r>
    </w:p>
    <w:p w14:paraId="3887354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01B9FEC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7.6本招标文件中所称网上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交易平台或网站，除特别指明外，是指</w:t>
      </w:r>
      <w:r>
        <w:rPr>
          <w:rFonts w:hint="eastAsia" w:ascii="宋体" w:hAnsi="宋体" w:eastAsia="宋体" w:cs="宋体"/>
          <w:strike w:val="0"/>
          <w:dstrike w:val="0"/>
          <w:color w:val="auto"/>
          <w:sz w:val="24"/>
          <w:highlight w:val="none"/>
        </w:rPr>
        <w:t>全国公共资源交易平台（广东省·韶关市）</w:t>
      </w:r>
      <w:r>
        <w:rPr>
          <w:rFonts w:hint="eastAsia" w:ascii="宋体" w:hAnsi="宋体" w:eastAsia="宋体" w:cs="宋体"/>
          <w:color w:val="auto"/>
          <w:sz w:val="24"/>
          <w:highlight w:val="none"/>
        </w:rPr>
        <w:t>。</w:t>
      </w:r>
    </w:p>
    <w:p w14:paraId="0944BCD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.7本招标文件所指天或日均为日历天，工作日均为国家机关法定工作日，时间均为北京时间。</w:t>
      </w:r>
    </w:p>
    <w:p w14:paraId="74CE1D1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.8 本招标文件所称本人身份证是指自然人的《居民身份证》或《临时居民身份证》。</w:t>
      </w:r>
    </w:p>
    <w:p w14:paraId="4B11C8A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.9</w:t>
      </w:r>
      <w:r>
        <w:rPr>
          <w:rFonts w:hint="eastAsia" w:ascii="宋体" w:hAnsi="宋体" w:eastAsia="宋体" w:cs="宋体"/>
          <w:b w:val="0"/>
          <w:bCs/>
          <w:color w:val="auto"/>
          <w:sz w:val="24"/>
          <w:szCs w:val="24"/>
          <w:highlight w:val="none"/>
        </w:rPr>
        <w:t>本招标文件所称的承包人报价浮动率（中标下浮率），其计算公式为：承包人报价浮动率（中标下浮率）=[1-(中标价格-</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最高投标限</w:t>
      </w:r>
      <w:r>
        <w:rPr>
          <w:rFonts w:hint="eastAsia" w:ascii="宋体" w:hAnsi="宋体" w:eastAsia="宋体" w:cs="宋体"/>
          <w:b w:val="0"/>
          <w:bCs/>
          <w:color w:val="auto"/>
          <w:sz w:val="24"/>
          <w:szCs w:val="24"/>
          <w:highlight w:val="none"/>
        </w:rPr>
        <w:t>价-</w:t>
      </w:r>
      <w:r>
        <w:rPr>
          <w:rFonts w:hint="eastAsia" w:ascii="宋体" w:hAnsi="宋体" w:eastAsia="宋体" w:cs="宋体"/>
          <w:b w:val="0"/>
          <w:bCs/>
          <w:iCs/>
          <w:color w:val="auto"/>
          <w:sz w:val="24"/>
          <w:highlight w:val="none"/>
        </w:rPr>
        <w:t>安全生产措施费</w:t>
      </w:r>
      <w:r>
        <w:rPr>
          <w:rFonts w:hint="eastAsia" w:ascii="宋体" w:hAnsi="宋体" w:eastAsia="宋体" w:cs="宋体"/>
          <w:b w:val="0"/>
          <w:bCs/>
          <w:iCs/>
          <w:color w:val="auto"/>
          <w:sz w:val="24"/>
          <w:highlight w:val="none"/>
          <w:lang w:val="en-US" w:eastAsia="zh-CN"/>
        </w:rPr>
        <w:t>-暂列金-暂估价</w:t>
      </w:r>
      <w:r>
        <w:rPr>
          <w:rFonts w:hint="eastAsia" w:ascii="宋体" w:hAnsi="宋体" w:eastAsia="宋体" w:cs="宋体"/>
          <w:b w:val="0"/>
          <w:bCs/>
          <w:color w:val="auto"/>
          <w:sz w:val="24"/>
          <w:szCs w:val="24"/>
          <w:highlight w:val="none"/>
        </w:rPr>
        <w:t>)]×100%。</w:t>
      </w:r>
      <w:r>
        <w:rPr>
          <w:rFonts w:hint="eastAsia" w:ascii="宋体" w:hAnsi="宋体" w:eastAsia="宋体" w:cs="宋体"/>
          <w:b/>
          <w:bCs w:val="0"/>
          <w:color w:val="auto"/>
          <w:sz w:val="24"/>
          <w:szCs w:val="24"/>
          <w:highlight w:val="none"/>
          <w:lang w:eastAsia="zh-CN"/>
        </w:rPr>
        <w:t>其中，本招标文件所称</w:t>
      </w:r>
      <w:r>
        <w:rPr>
          <w:rFonts w:hint="eastAsia" w:ascii="宋体" w:hAnsi="宋体" w:eastAsia="宋体" w:cs="宋体"/>
          <w:b/>
          <w:bCs w:val="0"/>
          <w:iCs/>
          <w:color w:val="auto"/>
          <w:sz w:val="24"/>
          <w:highlight w:val="none"/>
        </w:rPr>
        <w:t>安</w:t>
      </w:r>
      <w:r>
        <w:rPr>
          <w:rFonts w:hint="eastAsia" w:ascii="宋体" w:hAnsi="宋体" w:eastAsia="宋体" w:cs="宋体"/>
          <w:b/>
          <w:bCs w:val="0"/>
          <w:iCs/>
          <w:color w:val="auto"/>
          <w:sz w:val="24"/>
          <w:szCs w:val="24"/>
          <w:highlight w:val="none"/>
        </w:rPr>
        <w:t>全生产措施费</w:t>
      </w:r>
      <w:r>
        <w:rPr>
          <w:rFonts w:hint="eastAsia" w:ascii="宋体" w:hAnsi="宋体" w:eastAsia="宋体" w:cs="宋体"/>
          <w:b/>
          <w:bCs w:val="0"/>
          <w:iCs/>
          <w:color w:val="auto"/>
          <w:sz w:val="24"/>
          <w:szCs w:val="24"/>
          <w:highlight w:val="none"/>
          <w:lang w:eastAsia="zh-CN"/>
        </w:rPr>
        <w:t>，已</w:t>
      </w:r>
      <w:r>
        <w:rPr>
          <w:rFonts w:hint="eastAsia" w:ascii="宋体" w:hAnsi="宋体" w:eastAsia="宋体" w:cs="宋体"/>
          <w:b/>
          <w:bCs/>
          <w:i w:val="0"/>
          <w:iCs w:val="0"/>
          <w:color w:val="auto"/>
          <w:sz w:val="24"/>
          <w:szCs w:val="24"/>
          <w:highlight w:val="none"/>
        </w:rPr>
        <w:t>含安全生产责任险</w:t>
      </w:r>
      <w:r>
        <w:rPr>
          <w:rFonts w:hint="eastAsia" w:ascii="宋体" w:hAnsi="宋体" w:eastAsia="宋体" w:cs="宋体"/>
          <w:b/>
          <w:bCs/>
          <w:i w:val="0"/>
          <w:iCs w:val="0"/>
          <w:color w:val="auto"/>
          <w:sz w:val="24"/>
          <w:szCs w:val="24"/>
          <w:highlight w:val="none"/>
          <w:lang w:eastAsia="zh-CN"/>
        </w:rPr>
        <w:t>保费。</w:t>
      </w:r>
    </w:p>
    <w:p w14:paraId="5228980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7.10 投标文件中的大写金额和小写金额不一致的，以大写金额为准，总价金额与单价金额不一致的，以单价金额为准，但单价金额小数点有明显错误的除外。</w:t>
      </w:r>
    </w:p>
    <w:p w14:paraId="5362EC9B">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7.11本招标文件所称的投标人拟派的项目负责人从投标截止时间起不得在其他建设工程担任项目负责人，其中“在其他建设工程担任项目负责人(以取得竣工验收备案为准)”的起止时间是指：在本招标项目以外的招标项目以中标结果公示时间首日起至工程竣工验收合格之日期间；直接发包项目以签订施工合同之日起至工程竣工验收合格之日期间。</w:t>
      </w:r>
    </w:p>
    <w:p w14:paraId="61DF63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.12 本招标文件所称其他利害关系人是指投标人以外，与招标项目或者招标活动有直接和间接利益关系的法人、其他组织和自然人。</w:t>
      </w:r>
    </w:p>
    <w:p w14:paraId="5A7ED7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.13 本招标文件所指</w:t>
      </w:r>
      <w:r>
        <w:rPr>
          <w:rFonts w:hint="eastAsia" w:ascii="宋体" w:hAnsi="宋体" w:eastAsia="宋体" w:cs="宋体"/>
          <w:bCs/>
          <w:color w:val="auto"/>
          <w:kern w:val="0"/>
          <w:sz w:val="24"/>
          <w:szCs w:val="24"/>
          <w:highlight w:val="none"/>
        </w:rPr>
        <w:t>政府投资项目，是指使用市、县本级财政一般预算资金、政府性基金、财政专户管理资金以及政府融资等其他财政性资金进行的固定资产投资建设项目。</w:t>
      </w:r>
    </w:p>
    <w:p w14:paraId="738DA3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招标文件要求提供相关的证书、证照如已推行或实施电子证书、证照的，投标人应按规定</w:t>
      </w:r>
      <w:r>
        <w:rPr>
          <w:rFonts w:hint="eastAsia" w:ascii="宋体" w:hAnsi="宋体" w:eastAsia="宋体" w:cs="宋体"/>
          <w:b w:val="0"/>
          <w:bCs/>
          <w:color w:val="auto"/>
          <w:sz w:val="24"/>
          <w:szCs w:val="24"/>
          <w:highlight w:val="none"/>
        </w:rPr>
        <w:t>提供其有效的</w:t>
      </w:r>
      <w:r>
        <w:rPr>
          <w:rFonts w:hint="eastAsia" w:ascii="宋体" w:hAnsi="宋体" w:eastAsia="宋体" w:cs="宋体"/>
          <w:b w:val="0"/>
          <w:bCs/>
          <w:color w:val="auto"/>
          <w:sz w:val="24"/>
          <w:szCs w:val="24"/>
          <w:highlight w:val="none"/>
          <w:lang w:eastAsia="zh-CN"/>
        </w:rPr>
        <w:t>电子证书、证照</w:t>
      </w:r>
      <w:r>
        <w:rPr>
          <w:rFonts w:hint="eastAsia" w:ascii="宋体" w:hAnsi="宋体" w:eastAsia="宋体" w:cs="宋体"/>
          <w:b w:val="0"/>
          <w:bCs/>
          <w:color w:val="auto"/>
          <w:sz w:val="24"/>
          <w:szCs w:val="24"/>
          <w:highlight w:val="none"/>
        </w:rPr>
        <w:t>或</w:t>
      </w:r>
      <w:r>
        <w:rPr>
          <w:rFonts w:hint="eastAsia" w:ascii="宋体" w:hAnsi="宋体" w:eastAsia="宋体" w:cs="宋体"/>
          <w:b w:val="0"/>
          <w:bCs/>
          <w:color w:val="auto"/>
          <w:sz w:val="24"/>
          <w:szCs w:val="24"/>
          <w:highlight w:val="none"/>
          <w:lang w:eastAsia="zh-CN"/>
        </w:rPr>
        <w:t>其</w:t>
      </w:r>
      <w:r>
        <w:rPr>
          <w:rFonts w:hint="eastAsia" w:ascii="宋体" w:hAnsi="宋体" w:eastAsia="宋体" w:cs="宋体"/>
          <w:b w:val="0"/>
          <w:bCs/>
          <w:color w:val="auto"/>
          <w:sz w:val="24"/>
          <w:szCs w:val="24"/>
          <w:highlight w:val="none"/>
        </w:rPr>
        <w:t>原件扫描件。电子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证照与纸质</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证照具有同等法律效力。</w:t>
      </w:r>
      <w:r>
        <w:rPr>
          <w:rFonts w:hint="eastAsia" w:ascii="宋体" w:hAnsi="宋体" w:eastAsia="宋体" w:cs="宋体"/>
          <w:b w:val="0"/>
          <w:bCs/>
          <w:color w:val="auto"/>
          <w:sz w:val="24"/>
          <w:szCs w:val="24"/>
          <w:highlight w:val="none"/>
          <w:lang w:eastAsia="zh-CN"/>
        </w:rPr>
        <w:t>有关人员可在相关网站（平台）下载、查看或打印其相关</w:t>
      </w:r>
      <w:r>
        <w:rPr>
          <w:rFonts w:hint="eastAsia" w:ascii="宋体" w:hAnsi="宋体" w:eastAsia="宋体" w:cs="宋体"/>
          <w:b w:val="0"/>
          <w:bCs/>
          <w:color w:val="auto"/>
          <w:sz w:val="24"/>
          <w:szCs w:val="24"/>
          <w:highlight w:val="none"/>
        </w:rPr>
        <w:t>电子</w:t>
      </w:r>
      <w:r>
        <w:rPr>
          <w:rFonts w:hint="eastAsia" w:ascii="宋体" w:hAnsi="宋体" w:eastAsia="宋体" w:cs="宋体"/>
          <w:b w:val="0"/>
          <w:bCs/>
          <w:color w:val="auto"/>
          <w:sz w:val="24"/>
          <w:szCs w:val="24"/>
          <w:highlight w:val="none"/>
          <w:lang w:eastAsia="zh-CN"/>
        </w:rPr>
        <w:t>证书、</w:t>
      </w:r>
      <w:r>
        <w:rPr>
          <w:rFonts w:hint="eastAsia" w:ascii="宋体" w:hAnsi="宋体" w:eastAsia="宋体" w:cs="宋体"/>
          <w:b w:val="0"/>
          <w:bCs/>
          <w:color w:val="auto"/>
          <w:sz w:val="24"/>
          <w:szCs w:val="24"/>
          <w:highlight w:val="none"/>
        </w:rPr>
        <w:t>证照</w:t>
      </w:r>
      <w:r>
        <w:rPr>
          <w:rFonts w:hint="eastAsia" w:ascii="宋体" w:hAnsi="宋体" w:eastAsia="宋体" w:cs="宋体"/>
          <w:b w:val="0"/>
          <w:bCs/>
          <w:color w:val="auto"/>
          <w:sz w:val="24"/>
          <w:szCs w:val="24"/>
          <w:highlight w:val="none"/>
          <w:lang w:eastAsia="zh-CN"/>
        </w:rPr>
        <w:t>，并可在相关网站（平台）或通过扫描电子证书、证照上的二维码对其信息真伪进行验证。</w:t>
      </w:r>
    </w:p>
    <w:p w14:paraId="2B9712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本招标文件所指</w:t>
      </w:r>
      <w:r>
        <w:rPr>
          <w:rFonts w:hint="eastAsia" w:ascii="宋体" w:hAnsi="宋体" w:eastAsia="宋体" w:cs="宋体"/>
          <w:b w:val="0"/>
          <w:bCs/>
          <w:color w:val="auto"/>
          <w:kern w:val="0"/>
          <w:sz w:val="24"/>
          <w:szCs w:val="24"/>
          <w:highlight w:val="none"/>
        </w:rPr>
        <w:t>电子招标投标交易活动</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包括：发布招标公告；接受投标申请人网上下载招标资料（含招标公告、招标文件、施工图纸、施工</w:t>
      </w:r>
      <w:r>
        <w:rPr>
          <w:rFonts w:hint="eastAsia" w:ascii="宋体" w:hAnsi="宋体" w:eastAsia="宋体" w:cs="宋体"/>
          <w:b w:val="0"/>
          <w:bCs/>
          <w:color w:val="auto"/>
          <w:kern w:val="0"/>
          <w:sz w:val="24"/>
          <w:szCs w:val="24"/>
          <w:highlight w:val="none"/>
          <w:lang w:val="en-US" w:eastAsia="zh-CN"/>
        </w:rPr>
        <w:t>合同</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最高投标限价</w:t>
      </w:r>
      <w:r>
        <w:rPr>
          <w:rFonts w:hint="eastAsia" w:ascii="宋体" w:hAnsi="宋体" w:eastAsia="宋体" w:cs="宋体"/>
          <w:b w:val="0"/>
          <w:bCs/>
          <w:color w:val="auto"/>
          <w:kern w:val="0"/>
          <w:sz w:val="24"/>
          <w:szCs w:val="24"/>
          <w:highlight w:val="none"/>
        </w:rPr>
        <w:t>及工程量清单等）；网上</w:t>
      </w:r>
      <w:r>
        <w:rPr>
          <w:rFonts w:hint="eastAsia" w:ascii="宋体" w:hAnsi="宋体" w:eastAsia="宋体" w:cs="宋体"/>
          <w:b w:val="0"/>
          <w:bCs/>
          <w:color w:val="auto"/>
          <w:kern w:val="0"/>
          <w:sz w:val="24"/>
          <w:szCs w:val="24"/>
          <w:highlight w:val="none"/>
          <w:lang w:eastAsia="zh-CN"/>
        </w:rPr>
        <w:t>澄清、</w:t>
      </w:r>
      <w:r>
        <w:rPr>
          <w:rFonts w:hint="eastAsia" w:ascii="宋体" w:hAnsi="宋体" w:eastAsia="宋体" w:cs="宋体"/>
          <w:b w:val="0"/>
          <w:bCs/>
          <w:color w:val="auto"/>
          <w:kern w:val="0"/>
          <w:sz w:val="24"/>
          <w:szCs w:val="24"/>
          <w:highlight w:val="none"/>
        </w:rPr>
        <w:t>质疑答疑；网上投标；抽取评委；在电子招标投标系统进行开标、评标（含远程评标）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定</w:t>
      </w:r>
      <w:r>
        <w:rPr>
          <w:rFonts w:hint="eastAsia" w:ascii="宋体" w:hAnsi="宋体" w:eastAsia="宋体" w:cs="宋体"/>
          <w:b w:val="0"/>
          <w:bCs/>
          <w:color w:val="auto"/>
          <w:kern w:val="0"/>
          <w:sz w:val="24"/>
          <w:szCs w:val="24"/>
          <w:highlight w:val="none"/>
        </w:rPr>
        <w:t>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公示；定标</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如</w:t>
      </w:r>
      <w:r>
        <w:rPr>
          <w:rFonts w:hint="eastAsia" w:ascii="宋体" w:hAnsi="宋体" w:eastAsia="宋体" w:cs="宋体"/>
          <w:color w:val="auto"/>
          <w:sz w:val="24"/>
          <w:highlight w:val="none"/>
        </w:rPr>
        <w:t>交易平台</w:t>
      </w:r>
      <w:r>
        <w:rPr>
          <w:rFonts w:hint="eastAsia" w:ascii="宋体" w:hAnsi="宋体" w:eastAsia="宋体" w:cs="宋体"/>
          <w:b w:val="0"/>
          <w:bCs/>
          <w:color w:val="auto"/>
          <w:kern w:val="0"/>
          <w:sz w:val="24"/>
          <w:szCs w:val="24"/>
          <w:highlight w:val="none"/>
          <w:lang w:val="en-US" w:eastAsia="zh-CN"/>
        </w:rPr>
        <w:t>不支持，则在线下进行</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；中标</w:t>
      </w:r>
      <w:r>
        <w:rPr>
          <w:rFonts w:hint="eastAsia" w:ascii="宋体" w:hAnsi="宋体" w:eastAsia="宋体" w:cs="宋体"/>
          <w:b w:val="0"/>
          <w:bCs/>
          <w:color w:val="auto"/>
          <w:kern w:val="0"/>
          <w:sz w:val="24"/>
          <w:szCs w:val="24"/>
          <w:highlight w:val="none"/>
          <w:lang w:eastAsia="zh-CN"/>
        </w:rPr>
        <w:t>候选人</w:t>
      </w:r>
      <w:r>
        <w:rPr>
          <w:rFonts w:hint="eastAsia" w:ascii="宋体" w:hAnsi="宋体" w:eastAsia="宋体" w:cs="宋体"/>
          <w:b w:val="0"/>
          <w:bCs/>
          <w:color w:val="auto"/>
          <w:kern w:val="0"/>
          <w:sz w:val="24"/>
          <w:szCs w:val="24"/>
          <w:highlight w:val="none"/>
        </w:rPr>
        <w:t>公示；确定中标人</w:t>
      </w:r>
      <w:r>
        <w:rPr>
          <w:rFonts w:hint="eastAsia" w:ascii="宋体" w:hAnsi="宋体" w:eastAsia="宋体" w:cs="宋体"/>
          <w:b w:val="0"/>
          <w:bCs/>
          <w:color w:val="auto"/>
          <w:kern w:val="0"/>
          <w:sz w:val="24"/>
          <w:szCs w:val="24"/>
          <w:highlight w:val="none"/>
          <w:lang w:eastAsia="zh-CN"/>
        </w:rPr>
        <w:t>；发放中标通知书；中标结果公示；</w:t>
      </w:r>
      <w:r>
        <w:rPr>
          <w:rFonts w:hint="eastAsia" w:ascii="宋体" w:hAnsi="宋体" w:eastAsia="宋体" w:cs="宋体"/>
          <w:b w:val="0"/>
          <w:bCs/>
          <w:color w:val="auto"/>
          <w:kern w:val="0"/>
          <w:sz w:val="24"/>
          <w:szCs w:val="24"/>
          <w:highlight w:val="none"/>
          <w:lang w:val="en-US" w:eastAsia="zh-CN"/>
        </w:rPr>
        <w:t>上传</w:t>
      </w:r>
      <w:r>
        <w:rPr>
          <w:rFonts w:hint="eastAsia" w:ascii="宋体" w:hAnsi="宋体" w:eastAsia="宋体" w:cs="宋体"/>
          <w:b w:val="0"/>
          <w:bCs/>
          <w:color w:val="auto"/>
          <w:kern w:val="0"/>
          <w:sz w:val="24"/>
          <w:szCs w:val="24"/>
          <w:highlight w:val="none"/>
          <w:lang w:eastAsia="zh-CN"/>
        </w:rPr>
        <w:t>承包合同；</w:t>
      </w:r>
      <w:r>
        <w:rPr>
          <w:rFonts w:hint="eastAsia" w:ascii="宋体" w:hAnsi="宋体" w:eastAsia="宋体" w:cs="宋体"/>
          <w:b w:val="0"/>
          <w:bCs/>
          <w:color w:val="auto"/>
          <w:kern w:val="0"/>
          <w:sz w:val="24"/>
          <w:szCs w:val="24"/>
          <w:highlight w:val="none"/>
        </w:rPr>
        <w:t>招标投标情况报告</w:t>
      </w:r>
      <w:r>
        <w:rPr>
          <w:rFonts w:hint="eastAsia" w:ascii="宋体" w:hAnsi="宋体" w:eastAsia="宋体" w:cs="宋体"/>
          <w:b w:val="0"/>
          <w:bCs/>
          <w:color w:val="auto"/>
          <w:kern w:val="0"/>
          <w:sz w:val="24"/>
          <w:szCs w:val="24"/>
          <w:highlight w:val="none"/>
          <w:lang w:eastAsia="zh-CN"/>
        </w:rPr>
        <w:t>；异议和投诉</w:t>
      </w:r>
      <w:r>
        <w:rPr>
          <w:rFonts w:hint="eastAsia" w:ascii="宋体" w:hAnsi="宋体" w:eastAsia="宋体" w:cs="宋体"/>
          <w:b w:val="0"/>
          <w:bCs/>
          <w:color w:val="auto"/>
          <w:kern w:val="0"/>
          <w:sz w:val="24"/>
          <w:szCs w:val="24"/>
          <w:highlight w:val="none"/>
        </w:rPr>
        <w:t>等。</w:t>
      </w:r>
      <w:r>
        <w:rPr>
          <w:rFonts w:hint="eastAsia" w:ascii="宋体" w:hAnsi="宋体" w:eastAsia="宋体" w:cs="宋体"/>
          <w:b w:val="0"/>
          <w:bCs/>
          <w:color w:val="auto"/>
          <w:kern w:val="0"/>
          <w:sz w:val="24"/>
          <w:szCs w:val="24"/>
          <w:highlight w:val="none"/>
          <w:lang w:eastAsia="zh-CN"/>
        </w:rPr>
        <w:t>本招标文件所指的招标项目</w:t>
      </w:r>
      <w:r>
        <w:rPr>
          <w:rFonts w:hint="eastAsia" w:ascii="宋体" w:hAnsi="宋体" w:cs="宋体"/>
          <w:b w:val="0"/>
          <w:bCs/>
          <w:color w:val="auto"/>
          <w:kern w:val="0"/>
          <w:sz w:val="24"/>
          <w:szCs w:val="24"/>
          <w:highlight w:val="none"/>
          <w:lang w:eastAsia="zh-CN"/>
        </w:rPr>
        <w:t>采用</w:t>
      </w:r>
      <w:r>
        <w:rPr>
          <w:rFonts w:hint="eastAsia" w:ascii="宋体" w:hAnsi="宋体" w:eastAsia="宋体" w:cs="宋体"/>
          <w:b w:val="0"/>
          <w:bCs/>
          <w:color w:val="auto"/>
          <w:kern w:val="0"/>
          <w:sz w:val="24"/>
          <w:szCs w:val="24"/>
          <w:highlight w:val="none"/>
          <w:lang w:eastAsia="zh-CN"/>
        </w:rPr>
        <w:t>韶关市建设工程交易系统全流程电子开标评标方式。</w:t>
      </w:r>
    </w:p>
    <w:p w14:paraId="43AC1A9A">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kern w:val="0"/>
          <w:sz w:val="24"/>
          <w:szCs w:val="24"/>
          <w:highlight w:val="none"/>
        </w:rPr>
        <w:t>本</w:t>
      </w:r>
      <w:r>
        <w:rPr>
          <w:rFonts w:hint="eastAsia" w:ascii="宋体" w:hAnsi="宋体" w:eastAsia="宋体" w:cs="宋体"/>
          <w:b w:val="0"/>
          <w:bCs/>
          <w:color w:val="auto"/>
          <w:kern w:val="0"/>
          <w:sz w:val="24"/>
          <w:szCs w:val="24"/>
          <w:highlight w:val="none"/>
          <w:lang w:eastAsia="zh-CN"/>
        </w:rPr>
        <w:t>招标文件所</w:t>
      </w:r>
      <w:r>
        <w:rPr>
          <w:rFonts w:hint="eastAsia" w:ascii="宋体" w:hAnsi="宋体" w:eastAsia="宋体" w:cs="宋体"/>
          <w:b w:val="0"/>
          <w:bCs/>
          <w:color w:val="auto"/>
          <w:kern w:val="0"/>
          <w:sz w:val="24"/>
          <w:szCs w:val="24"/>
          <w:highlight w:val="none"/>
        </w:rPr>
        <w:t>称远程异地评标活动，是指以数据电文形式，依托电子交易系统通过远程调度、视频语音实时交互等方式，评标委员会成员在两个及以上不同电子评标场所对同一工程建设项目进行评标的活动。</w:t>
      </w:r>
    </w:p>
    <w:p w14:paraId="16993E7B">
      <w:pPr>
        <w:keepNext w:val="0"/>
        <w:keepLines w:val="0"/>
        <w:pageBreakBefore w:val="0"/>
        <w:widowControl/>
        <w:shd w:val="clear" w:color="auto" w:fill="auto"/>
        <w:kinsoku/>
        <w:wordWrap/>
        <w:overflowPunct/>
        <w:topLinePunct w:val="0"/>
        <w:autoSpaceDE/>
        <w:autoSpaceDN/>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val="0"/>
          <w:color w:val="auto"/>
          <w:kern w:val="0"/>
          <w:sz w:val="24"/>
          <w:szCs w:val="24"/>
          <w:highlight w:val="none"/>
          <w:lang w:val="en-US" w:eastAsia="zh-CN"/>
        </w:rPr>
        <w:t>7</w:t>
      </w:r>
      <w:r>
        <w:rPr>
          <w:rFonts w:hint="eastAsia" w:ascii="宋体" w:hAnsi="宋体" w:eastAsia="宋体" w:cs="宋体"/>
          <w:b/>
          <w:bCs w:val="0"/>
          <w:color w:val="auto"/>
          <w:kern w:val="0"/>
          <w:sz w:val="24"/>
          <w:szCs w:val="24"/>
          <w:highlight w:val="none"/>
          <w:lang w:eastAsia="zh-CN"/>
        </w:rPr>
        <w:t>.1</w:t>
      </w:r>
      <w:r>
        <w:rPr>
          <w:rFonts w:hint="eastAsia" w:ascii="宋体" w:hAnsi="宋体" w:eastAsia="宋体" w:cs="宋体"/>
          <w:b/>
          <w:bCs w:val="0"/>
          <w:color w:val="auto"/>
          <w:kern w:val="0"/>
          <w:sz w:val="24"/>
          <w:szCs w:val="24"/>
          <w:highlight w:val="none"/>
          <w:lang w:val="en-US" w:eastAsia="zh-CN"/>
        </w:rPr>
        <w:t xml:space="preserve">7 </w:t>
      </w:r>
      <w:r>
        <w:rPr>
          <w:rFonts w:hint="eastAsia" w:ascii="宋体" w:hAnsi="宋体" w:eastAsia="宋体" w:cs="宋体"/>
          <w:b/>
          <w:bCs w:val="0"/>
          <w:color w:val="auto"/>
          <w:kern w:val="0"/>
          <w:sz w:val="24"/>
          <w:szCs w:val="24"/>
          <w:highlight w:val="none"/>
          <w:lang w:eastAsia="zh-CN"/>
        </w:rPr>
        <w:t>远程异地评标活动场所分为主场和副场。招标人应当选择韶关市公共资源交易中心的评标场所为主场，主场以外的省内、省外其他交易评标场所为副场。副场由招标人按规定从韶关市公共资源交易中心已与签订远程异地评标协议的其他公共资源交易中心中确定。</w:t>
      </w:r>
    </w:p>
    <w:p w14:paraId="1D4A500D">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sz w:val="24"/>
          <w:highlight w:val="none"/>
          <w:lang w:val="en-US" w:eastAsia="zh-CN"/>
        </w:rPr>
      </w:pPr>
      <w:bookmarkStart w:id="9" w:name="_Toc15625"/>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二</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投标否决</w:t>
      </w:r>
      <w:bookmarkEnd w:id="9"/>
    </w:p>
    <w:p w14:paraId="5A8FCF3D">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.否决投标条款</w:t>
      </w:r>
    </w:p>
    <w:p w14:paraId="1B479DCE">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.1 开标时，投标人有下列情形之一其投标文件视为无效投标文件，</w:t>
      </w:r>
      <w:r>
        <w:rPr>
          <w:rFonts w:hint="eastAsia" w:ascii="宋体" w:hAnsi="宋体" w:eastAsia="宋体" w:cs="宋体"/>
          <w:b/>
          <w:bCs/>
          <w:color w:val="auto"/>
          <w:sz w:val="24"/>
          <w:highlight w:val="none"/>
        </w:rPr>
        <w:t>不得进入资格后审和评标：</w:t>
      </w:r>
    </w:p>
    <w:p w14:paraId="39C9D88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（1）投标人的电子投标文件逾期上传或者未上传送达指定交易平台</w:t>
      </w:r>
      <w:r>
        <w:rPr>
          <w:rFonts w:hint="eastAsia" w:ascii="宋体" w:hAnsi="宋体" w:eastAsia="宋体" w:cs="宋体"/>
          <w:color w:val="auto"/>
          <w:sz w:val="24"/>
          <w:highlight w:val="none"/>
          <w:lang w:eastAsia="zh-CN"/>
        </w:rPr>
        <w:t>。</w:t>
      </w:r>
    </w:p>
    <w:p w14:paraId="681CB1F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（2）投标人未能按照本招标文件要求提交投标保证金及其相关手续</w:t>
      </w:r>
      <w:r>
        <w:rPr>
          <w:rFonts w:hint="eastAsia" w:ascii="宋体" w:hAnsi="宋体" w:eastAsia="宋体" w:cs="宋体"/>
          <w:color w:val="auto"/>
          <w:sz w:val="24"/>
          <w:highlight w:val="none"/>
          <w:lang w:eastAsia="zh-CN"/>
        </w:rPr>
        <w:t>。</w:t>
      </w:r>
    </w:p>
    <w:p w14:paraId="41CFE66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（3）投标人的电子投标文件无法解密或无法打开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147A5865">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（4）投标人上传递交的电子投标文件不符合招标文件要求</w:t>
      </w:r>
      <w:r>
        <w:rPr>
          <w:rFonts w:hint="eastAsia" w:ascii="宋体" w:hAnsi="宋体" w:eastAsia="宋体" w:cs="宋体"/>
          <w:color w:val="auto"/>
          <w:sz w:val="24"/>
          <w:highlight w:val="none"/>
          <w:lang w:eastAsia="zh-CN"/>
        </w:rPr>
        <w:t>。</w:t>
      </w:r>
    </w:p>
    <w:p w14:paraId="17B0FA1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（5）投标人的投标报价超过投标报价上限</w:t>
      </w:r>
      <w:r>
        <w:rPr>
          <w:rFonts w:hint="eastAsia" w:ascii="宋体" w:hAnsi="宋体" w:eastAsia="宋体" w:cs="宋体"/>
          <w:color w:val="auto"/>
          <w:sz w:val="24"/>
          <w:highlight w:val="none"/>
          <w:lang w:eastAsia="zh-CN"/>
        </w:rPr>
        <w:t>。</w:t>
      </w:r>
    </w:p>
    <w:p w14:paraId="122F4A9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（6）开标现场电子招投标系统没有显示投标人的项目负责人姓名。</w:t>
      </w:r>
    </w:p>
    <w:p w14:paraId="63C0335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同一网卡地址、硬盘序列号、软件序列号或投标文件异常一致（通过交易中心计算机编制或上传的除外）</w:t>
      </w:r>
      <w:r>
        <w:rPr>
          <w:rFonts w:hint="eastAsia" w:ascii="宋体" w:hAnsi="宋体" w:eastAsia="宋体" w:cs="宋体"/>
          <w:color w:val="auto"/>
          <w:sz w:val="24"/>
          <w:highlight w:val="none"/>
          <w:lang w:eastAsia="zh-CN"/>
        </w:rPr>
        <w:t>。</w:t>
      </w:r>
    </w:p>
    <w:p w14:paraId="699FD9A9">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xml:space="preserve"> 经现场确认，投标人有下列情形之一，一律按照</w:t>
      </w:r>
      <w:r>
        <w:rPr>
          <w:rFonts w:hint="eastAsia" w:ascii="宋体" w:hAnsi="宋体" w:eastAsia="宋体" w:cs="宋体"/>
          <w:b/>
          <w:bCs/>
          <w:color w:val="auto"/>
          <w:sz w:val="24"/>
          <w:highlight w:val="none"/>
          <w:lang w:eastAsia="zh-CN"/>
        </w:rPr>
        <w:t>无</w:t>
      </w:r>
      <w:r>
        <w:rPr>
          <w:rFonts w:hint="eastAsia" w:ascii="宋体" w:hAnsi="宋体" w:eastAsia="宋体" w:cs="宋体"/>
          <w:b/>
          <w:bCs/>
          <w:color w:val="auto"/>
          <w:sz w:val="24"/>
          <w:highlight w:val="none"/>
        </w:rPr>
        <w:t>提交投标保证金处理，视为投标人自动放弃投标资格：</w:t>
      </w:r>
    </w:p>
    <w:p w14:paraId="59CF043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contextualSpacing/>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（1）投标人的投标现金保证金不是从本企业银行基本账户转入。</w:t>
      </w:r>
    </w:p>
    <w:p w14:paraId="6A0D19D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（2）投标人未按照招标文件指定的账户转入投标保证金</w:t>
      </w:r>
      <w:r>
        <w:rPr>
          <w:rFonts w:hint="eastAsia" w:ascii="宋体" w:hAnsi="宋体" w:eastAsia="宋体" w:cs="宋体"/>
          <w:color w:val="auto"/>
          <w:sz w:val="24"/>
          <w:highlight w:val="none"/>
          <w:lang w:eastAsia="zh-CN"/>
        </w:rPr>
        <w:t>。</w:t>
      </w:r>
    </w:p>
    <w:p w14:paraId="1298C96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（3）投标人未按照招标文件规定的金额或时间转入或提交本项目的投标保证金。</w:t>
      </w:r>
    </w:p>
    <w:p w14:paraId="698A8184">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3 </w:t>
      </w:r>
      <w:r>
        <w:rPr>
          <w:rFonts w:hint="eastAsia" w:ascii="宋体" w:hAnsi="宋体" w:eastAsia="宋体" w:cs="宋体"/>
          <w:b/>
          <w:bCs/>
          <w:color w:val="auto"/>
          <w:sz w:val="24"/>
          <w:highlight w:val="none"/>
        </w:rPr>
        <w:t>资格评审环节</w:t>
      </w:r>
    </w:p>
    <w:p w14:paraId="7464281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投标人有下列情形之一的，评标委员会应否决其投标。被否决的投标人，不进入形式评审环节。</w:t>
      </w:r>
    </w:p>
    <w:p w14:paraId="05BE77A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（1）有本章节第</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条“禁止投标条款”规定的任何一种情形；</w:t>
      </w:r>
    </w:p>
    <w:p w14:paraId="46D65B8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（2）投标人资质不符合规定的；</w:t>
      </w:r>
    </w:p>
    <w:p w14:paraId="65D4139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6A6C9D1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2CAA22C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根据有关文件精神，投标人的企业资质证书、安全生产许可证有效期届满的，但投标人提供了发证机构相关行业主管部门的证明材料（如自动顺延或推迟办理延期业务的通知），证明在开标日继续有效的，不得否决其投标。</w:t>
      </w:r>
    </w:p>
    <w:p w14:paraId="01EC98A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（4）拟派项目经理、项目技术负责人、专职安全员的条件不符合规定的；拟派专职安全员数量不符合规定的；</w:t>
      </w:r>
    </w:p>
    <w:p w14:paraId="10B4CD3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经理简历表》中拟派项目经理与《开标一览表》不一致的；一级建造师的注册证书不是国家住建部颁发的；二级建造师的电子注册证书不是住建厅颁发的；建造师的注册单位与投标人不一致的；项目管理班子组成人员的各类证书、证件、证明不在有效期内的（建造师注册证书不在使用有效期内的）；擅自修改、遗漏《项目经理任职声明》实质性内容的；</w:t>
      </w:r>
    </w:p>
    <w:p w14:paraId="43C4FB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注：投标人已经工商变更，但其员工执业资格注册证书的注册单位名称未完成变更的，不得否决其投标。</w:t>
      </w:r>
    </w:p>
    <w:p w14:paraId="29BBBD9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（6）招标文件规定不接受联合体投标，但以联合体投标的；</w:t>
      </w:r>
    </w:p>
    <w:p w14:paraId="51080B2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（7）投标人为外省建筑企业，但未提供“进粤企业和人员诚信信息登记平台”企业和拟派人员信息情况网页截图的。</w:t>
      </w:r>
    </w:p>
    <w:p w14:paraId="528B8DD7">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.4 形式评审环节</w:t>
      </w:r>
    </w:p>
    <w:p w14:paraId="2C7B234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投标人有下列情形之一的，评标委员会应否决其投标。被否决的投标人，不进入响应性评审环节。</w:t>
      </w:r>
    </w:p>
    <w:p w14:paraId="297A7F1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（1）各分册没按招标文件规定加盖电子印章；</w:t>
      </w:r>
    </w:p>
    <w:p w14:paraId="038CFE4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（2）本章规定的“所有投标人均应提供”的组成内容（包括该组成内容的所附资料）中，任何一项有缺漏的；</w:t>
      </w:r>
    </w:p>
    <w:p w14:paraId="5B5737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3270814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（4）投标文件未按规定签字、盖章的。</w:t>
      </w:r>
    </w:p>
    <w:p w14:paraId="394E66B4">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8.5 响应性评审环节</w:t>
      </w:r>
    </w:p>
    <w:p w14:paraId="1B431B8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投标人有下列情形之一的，评标委员会应否决其投标。被否决的投标人，不进入详细评审阶段。</w:t>
      </w:r>
    </w:p>
    <w:p w14:paraId="37B0147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（1）承诺的投标有效期短于规定的；质量标准低于规定的；工期超出规定的；擅自修改、遗漏《投标函》《各项承诺一览表》实质性内容的；</w:t>
      </w:r>
    </w:p>
    <w:p w14:paraId="1233045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（2）编制《投标总价》的造价工程师，其注册证书不是住建部门颁发的；其注册单位与投标人（或造价咨询人）不一致的；其注册证书不在有效期内的。</w:t>
      </w:r>
    </w:p>
    <w:p w14:paraId="360FEC6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注：投标人（或造价咨询人）已经工商变更，但其员工的执业资格注册证书的注册单位名称未完成变更的，不得否决其投标。</w:t>
      </w:r>
    </w:p>
    <w:p w14:paraId="51BB157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（3）投标人委托造价咨询单位编制《投标总价》，但未在《投标总价扉页》“投标人”栏目加盖造价咨询人公章的；未提供造价咨询人的营业执照扫描件的；</w:t>
      </w:r>
    </w:p>
    <w:p w14:paraId="25E641E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（4）出现两个或两个以上投标总价的（同一个投标总价大、小写不一致的除外）；投标总价超出</w:t>
      </w:r>
      <w:r>
        <w:rPr>
          <w:rFonts w:hint="eastAsia" w:ascii="宋体" w:hAnsi="宋体" w:eastAsia="宋体" w:cs="宋体"/>
          <w:color w:val="auto"/>
          <w:sz w:val="24"/>
          <w:highlight w:val="none"/>
          <w:lang w:val="en-US" w:eastAsia="zh-CN"/>
        </w:rPr>
        <w:t>最高投标限价</w:t>
      </w:r>
      <w:r>
        <w:rPr>
          <w:rFonts w:hint="eastAsia" w:ascii="宋体" w:hAnsi="宋体" w:eastAsia="宋体" w:cs="宋体"/>
          <w:color w:val="auto"/>
          <w:sz w:val="24"/>
          <w:highlight w:val="none"/>
        </w:rPr>
        <w:t>的；安全生产措施费少于规定的；暂列金额、暂估价未按照招标工程量清单统一报价的；擅自修改、增减招标工程量清单项目（包括措施项目）的；投标人的投标报价低于招标项目的成本警示价但未提供成本分析资料等报价依据</w:t>
      </w:r>
      <w:r>
        <w:rPr>
          <w:rFonts w:hint="eastAsia" w:ascii="宋体" w:hAnsi="宋体" w:eastAsia="宋体" w:cs="宋体"/>
          <w:color w:val="auto"/>
          <w:sz w:val="24"/>
          <w:highlight w:val="none"/>
          <w:lang w:eastAsia="zh-CN"/>
        </w:rPr>
        <w:t>；</w:t>
      </w:r>
    </w:p>
    <w:p w14:paraId="47DCCCA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成本警示价＝最高投标限价×85%。如果某投标人的投标报价低于招标项目的成本警示价，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6ED9E17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（5）在施工组织设计评审中，评标委员会认定质量、进度保障措施与国家和省市现行有关规范、规定、标准有重大偏差，且该种过错将导致工程质量、进度管理目标无法实现的。</w:t>
      </w:r>
    </w:p>
    <w:p w14:paraId="342A36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6 </w:t>
      </w:r>
      <w:r>
        <w:rPr>
          <w:rFonts w:hint="eastAsia" w:ascii="宋体" w:hAnsi="宋体" w:eastAsia="宋体" w:cs="宋体"/>
          <w:b/>
          <w:color w:val="auto"/>
          <w:sz w:val="24"/>
          <w:highlight w:val="none"/>
        </w:rPr>
        <w:t>串通投标和以其他方式弄虚作假行为的认定</w:t>
      </w:r>
    </w:p>
    <w:p w14:paraId="4809BB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.1下列情形之一的，属于投标人相互串通投标：</w:t>
      </w:r>
    </w:p>
    <w:p w14:paraId="3E8648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（1）投标人之间协商投标报价等投标文件的实质性内容；</w:t>
      </w:r>
    </w:p>
    <w:p w14:paraId="68F7902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（2）投标人之间约定中标人；</w:t>
      </w:r>
    </w:p>
    <w:p w14:paraId="7C3EFB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（3）投标人之间约定部分投标人放弃投标或者中标；</w:t>
      </w:r>
    </w:p>
    <w:p w14:paraId="22834B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（4）属于同一集团、协会、商会等组织成员的投标人按照该组织要求协同投标；</w:t>
      </w:r>
    </w:p>
    <w:p w14:paraId="18746C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（5）投标人之间为谋取中标或者排斥特定投标人而采取的其他联合行动。</w:t>
      </w:r>
    </w:p>
    <w:p w14:paraId="2F075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.2有下列情形之一的，视为投标人相互串通投标：</w:t>
      </w:r>
    </w:p>
    <w:p w14:paraId="1B5614F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14:paraId="32827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14:paraId="6BAFAA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）不同投标人的投标文件载明的项目管理成员为同一人；</w:t>
      </w:r>
    </w:p>
    <w:p w14:paraId="3C6050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14:paraId="1A300F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14:paraId="62A0B64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（6）不同投标人的投标保证金从同一单位或者个人的账户转出</w:t>
      </w:r>
      <w:r>
        <w:rPr>
          <w:rFonts w:hint="eastAsia" w:ascii="宋体" w:hAnsi="宋体" w:eastAsia="宋体" w:cs="宋体"/>
          <w:color w:val="auto"/>
          <w:sz w:val="24"/>
          <w:highlight w:val="none"/>
          <w:lang w:eastAsia="zh-CN"/>
        </w:rPr>
        <w:t>；</w:t>
      </w:r>
    </w:p>
    <w:p w14:paraId="02CB0C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（7）监督部门于韶关市公共交易一体化平台发现系统提示风险预警，如提示投标单位上传投标文件使用的电脑IP地址一致等</w:t>
      </w:r>
      <w:r>
        <w:rPr>
          <w:rFonts w:hint="eastAsia" w:ascii="宋体" w:hAnsi="宋体" w:eastAsia="宋体" w:cs="宋体"/>
          <w:color w:val="auto"/>
          <w:sz w:val="24"/>
          <w:highlight w:val="none"/>
        </w:rPr>
        <w:t>。</w:t>
      </w:r>
    </w:p>
    <w:p w14:paraId="273AFB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.3有下列情形之一的，属于招标人与投标人串通投标：</w:t>
      </w:r>
    </w:p>
    <w:p w14:paraId="467256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（1）招标人在开标前开启投标文件并将有关信息泄露给其他投标人；</w:t>
      </w:r>
    </w:p>
    <w:p w14:paraId="0F0E95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（2）招标人直接或者间接向投标人泄露标底、评标委员会成员等信息；</w:t>
      </w:r>
    </w:p>
    <w:p w14:paraId="1259C6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（3）招标人明示或者暗示投标人压低或者抬高投标报价；</w:t>
      </w:r>
    </w:p>
    <w:p w14:paraId="210141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（4）招标人授意投标人撤换、修改投标文件；</w:t>
      </w:r>
    </w:p>
    <w:p w14:paraId="321BB8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（5）招标人明示或者暗示投标人为特定投标人中标提供方便；</w:t>
      </w:r>
    </w:p>
    <w:p w14:paraId="444D30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（6）招标人与投标人为谋求特定投标人中标而采取的其他串通行为。</w:t>
      </w:r>
    </w:p>
    <w:p w14:paraId="5566501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.4有下列情形之一的，属于投标人以其他方式弄虚作假：</w:t>
      </w:r>
    </w:p>
    <w:p w14:paraId="10AF73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（1）使用伪造、变造的许可证件；</w:t>
      </w:r>
    </w:p>
    <w:p w14:paraId="75B2B0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（2）提供虚假的财务状况或者业绩；</w:t>
      </w:r>
    </w:p>
    <w:p w14:paraId="130A16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（3）提供虚假的项目负责人或者主要技术人员简历、劳动关系证明；</w:t>
      </w:r>
    </w:p>
    <w:p w14:paraId="71D730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（4）提供虚假的信用状况；</w:t>
      </w:r>
    </w:p>
    <w:p w14:paraId="0B25A7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（5）其他弄虚作假的行为。</w:t>
      </w:r>
    </w:p>
    <w:p w14:paraId="69C3CA51">
      <w:pPr>
        <w:pStyle w:val="5"/>
        <w:keepNext/>
        <w:keepLines/>
        <w:pageBreakBefore w:val="0"/>
        <w:widowControl/>
        <w:kinsoku/>
        <w:wordWrap/>
        <w:overflowPunct/>
        <w:topLinePunct w:val="0"/>
        <w:autoSpaceDE/>
        <w:autoSpaceDN/>
        <w:bidi w:val="0"/>
        <w:adjustRightInd/>
        <w:snapToGrid/>
        <w:spacing w:before="240" w:beforeAutospacing="0" w:after="120" w:afterAutospacing="0" w:line="360" w:lineRule="auto"/>
        <w:ind w:firstLine="420"/>
        <w:jc w:val="center"/>
        <w:textAlignment w:val="auto"/>
        <w:outlineLvl w:val="2"/>
        <w:rPr>
          <w:rFonts w:hint="eastAsia" w:ascii="宋体" w:hAnsi="宋体" w:eastAsia="宋体" w:cs="宋体"/>
          <w:b/>
          <w:bCs/>
          <w:color w:val="auto"/>
          <w:sz w:val="24"/>
          <w:highlight w:val="none"/>
        </w:rPr>
      </w:pPr>
      <w:bookmarkStart w:id="10" w:name="_Toc4062"/>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lang w:eastAsia="zh-CN"/>
        </w:rPr>
        <w:t>三</w:t>
      </w:r>
      <w:r>
        <w:rPr>
          <w:rFonts w:hint="eastAsia" w:ascii="宋体" w:hAnsi="宋体" w:eastAsia="宋体" w:cs="宋体"/>
          <w:b/>
          <w:bCs/>
          <w:color w:val="auto"/>
          <w:kern w:val="0"/>
          <w:sz w:val="28"/>
          <w:szCs w:val="28"/>
          <w:highlight w:val="none"/>
        </w:rPr>
        <w:t>）招标文件</w:t>
      </w:r>
      <w:bookmarkEnd w:id="10"/>
    </w:p>
    <w:p w14:paraId="4B321C2D">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.招标文件</w:t>
      </w:r>
    </w:p>
    <w:p w14:paraId="33A7B8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 招标文件包括下列内容：</w:t>
      </w:r>
    </w:p>
    <w:p w14:paraId="4CD95529">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招标公告</w:t>
      </w:r>
    </w:p>
    <w:p w14:paraId="2560870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3875EA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评标定标办法</w:t>
      </w:r>
    </w:p>
    <w:p w14:paraId="1B75CDC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投标文件格式</w:t>
      </w:r>
    </w:p>
    <w:p w14:paraId="5CDDB7A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合同文件格式</w:t>
      </w:r>
    </w:p>
    <w:p w14:paraId="6F22C29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施工图纸</w:t>
      </w:r>
    </w:p>
    <w:p w14:paraId="6B42468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工程量清单</w:t>
      </w:r>
    </w:p>
    <w:p w14:paraId="280DEE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第八章  </w:t>
      </w:r>
      <w:r>
        <w:rPr>
          <w:rFonts w:hint="eastAsia" w:ascii="宋体" w:hAnsi="宋体" w:eastAsia="宋体" w:cs="宋体"/>
          <w:color w:val="auto"/>
          <w:sz w:val="24"/>
          <w:szCs w:val="24"/>
          <w:highlight w:val="none"/>
          <w:lang w:val="en-US" w:eastAsia="zh-CN"/>
        </w:rPr>
        <w:t>最高投标限价</w:t>
      </w:r>
    </w:p>
    <w:p w14:paraId="2BF04440">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 除</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.1款内容外，招标人按规定在网上发出对本招标文件的澄清、修改、补充和答疑内容，构成招标文件的组成部分，对招标人和投标人起约束作用。</w:t>
      </w:r>
    </w:p>
    <w:p w14:paraId="17161325">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.招标文件发布、获取、修改或澄清</w:t>
      </w:r>
    </w:p>
    <w:p w14:paraId="06AFC21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.1招标人应按照招标公告、招标文件示范文本，并结合招标</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实际编制招标公告和招标文件，经招标管理部门招标备案后方可发布。</w:t>
      </w:r>
    </w:p>
    <w:p w14:paraId="4B2F2BD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.2 招标公告应按规定在</w:t>
      </w:r>
      <w:r>
        <w:rPr>
          <w:rFonts w:hint="eastAsia" w:ascii="宋体" w:hAnsi="宋体" w:eastAsia="宋体" w:cs="宋体"/>
          <w:b/>
          <w:bCs/>
          <w:snapToGrid w:val="0"/>
          <w:color w:val="auto"/>
          <w:kern w:val="0"/>
          <w:sz w:val="24"/>
          <w:szCs w:val="24"/>
          <w:highlight w:val="none"/>
          <w:lang w:eastAsia="zh-CN"/>
        </w:rPr>
        <w:t>全国公共资源交易平台（广东省·韶关市）</w:t>
      </w:r>
      <w:r>
        <w:rPr>
          <w:rFonts w:hint="eastAsia" w:ascii="宋体" w:hAnsi="宋体" w:eastAsia="宋体" w:cs="宋体"/>
          <w:b w:val="0"/>
          <w:bCs w:val="0"/>
          <w:color w:val="auto"/>
          <w:sz w:val="24"/>
          <w:szCs w:val="24"/>
          <w:highlight w:val="none"/>
          <w:lang w:eastAsia="zh-CN"/>
        </w:rPr>
        <w:t>和</w:t>
      </w:r>
      <w:r>
        <w:rPr>
          <w:rFonts w:hint="eastAsia" w:ascii="宋体" w:hAnsi="宋体" w:eastAsia="宋体" w:cs="宋体"/>
          <w:b w:val="0"/>
          <w:bCs w:val="0"/>
          <w:color w:val="auto"/>
          <w:sz w:val="24"/>
          <w:szCs w:val="24"/>
          <w:highlight w:val="none"/>
        </w:rPr>
        <w:t>广东省招标投标监管网上同时发布，其中招标文件（含图纸、工程量清单、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szCs w:val="24"/>
          <w:highlight w:val="none"/>
        </w:rPr>
        <w:t>等）及相关资料须一</w:t>
      </w:r>
      <w:r>
        <w:rPr>
          <w:rFonts w:hint="eastAsia" w:ascii="宋体" w:hAnsi="宋体" w:eastAsia="宋体" w:cs="宋体"/>
          <w:b w:val="0"/>
          <w:bCs w:val="0"/>
          <w:color w:val="auto"/>
          <w:sz w:val="24"/>
          <w:szCs w:val="24"/>
          <w:highlight w:val="none"/>
          <w:lang w:eastAsia="zh-CN"/>
        </w:rPr>
        <w:t>并</w:t>
      </w:r>
      <w:r>
        <w:rPr>
          <w:rFonts w:hint="eastAsia" w:ascii="宋体" w:hAnsi="宋体" w:eastAsia="宋体" w:cs="宋体"/>
          <w:b w:val="0"/>
          <w:bCs w:val="0"/>
          <w:color w:val="auto"/>
          <w:sz w:val="24"/>
          <w:szCs w:val="24"/>
          <w:highlight w:val="none"/>
        </w:rPr>
        <w:t>在</w:t>
      </w:r>
      <w:r>
        <w:rPr>
          <w:rFonts w:hint="eastAsia" w:ascii="宋体" w:hAnsi="宋体" w:eastAsia="宋体" w:cs="宋体"/>
          <w:b/>
          <w:bCs/>
          <w:color w:val="auto"/>
          <w:sz w:val="24"/>
          <w:szCs w:val="24"/>
          <w:highlight w:val="none"/>
          <w:lang w:val="en-US" w:eastAsia="zh-CN"/>
        </w:rPr>
        <w:t>全国公共资源交易平台（广东省·韶关市）</w:t>
      </w:r>
      <w:r>
        <w:rPr>
          <w:rFonts w:hint="eastAsia" w:ascii="宋体" w:hAnsi="宋体" w:eastAsia="宋体" w:cs="宋体"/>
          <w:b w:val="0"/>
          <w:bCs w:val="0"/>
          <w:color w:val="auto"/>
          <w:sz w:val="24"/>
          <w:szCs w:val="24"/>
          <w:highlight w:val="none"/>
          <w:lang w:eastAsia="zh-CN"/>
        </w:rPr>
        <w:t>交易系统</w:t>
      </w:r>
      <w:r>
        <w:rPr>
          <w:rFonts w:hint="eastAsia" w:ascii="宋体" w:hAnsi="宋体" w:eastAsia="宋体" w:cs="宋体"/>
          <w:b w:val="0"/>
          <w:bCs w:val="0"/>
          <w:color w:val="auto"/>
          <w:sz w:val="24"/>
          <w:szCs w:val="24"/>
          <w:highlight w:val="none"/>
        </w:rPr>
        <w:t>上发布。招标公告及招标文件发布之日起至截标时间止，最短不得少于20日。投标人应自行在</w:t>
      </w:r>
      <w:r>
        <w:rPr>
          <w:rFonts w:hint="eastAsia" w:ascii="宋体" w:hAnsi="宋体" w:eastAsia="宋体" w:cs="宋体"/>
          <w:b/>
          <w:bCs/>
          <w:color w:val="auto"/>
          <w:sz w:val="24"/>
          <w:szCs w:val="24"/>
          <w:highlight w:val="none"/>
        </w:rPr>
        <w:t>全国公共资源交易平台（广东省·韶关市）</w:t>
      </w:r>
      <w:r>
        <w:rPr>
          <w:rFonts w:hint="eastAsia" w:ascii="宋体" w:hAnsi="宋体" w:eastAsia="宋体" w:cs="宋体"/>
          <w:b w:val="0"/>
          <w:bCs w:val="0"/>
          <w:color w:val="auto"/>
          <w:sz w:val="24"/>
          <w:highlight w:val="none"/>
        </w:rPr>
        <w:t>下载招标文件（含图纸、工程量清单、</w:t>
      </w:r>
      <w:r>
        <w:rPr>
          <w:rFonts w:hint="eastAsia" w:ascii="宋体" w:hAnsi="宋体" w:eastAsia="宋体" w:cs="宋体"/>
          <w:color w:val="auto"/>
          <w:sz w:val="24"/>
          <w:szCs w:val="24"/>
          <w:highlight w:val="none"/>
          <w:lang w:val="en-US" w:eastAsia="zh-CN"/>
        </w:rPr>
        <w:t>最高投标限价</w:t>
      </w:r>
      <w:r>
        <w:rPr>
          <w:rFonts w:hint="eastAsia" w:ascii="宋体" w:hAnsi="宋体" w:eastAsia="宋体" w:cs="宋体"/>
          <w:b w:val="0"/>
          <w:bCs w:val="0"/>
          <w:color w:val="auto"/>
          <w:sz w:val="24"/>
          <w:highlight w:val="none"/>
        </w:rPr>
        <w:t>等）及相关资料。</w:t>
      </w:r>
    </w:p>
    <w:p w14:paraId="356F6D4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10.2.1</w:t>
      </w:r>
      <w:r>
        <w:rPr>
          <w:rFonts w:hint="eastAsia" w:ascii="宋体" w:hAnsi="宋体" w:eastAsia="宋体" w:cs="宋体"/>
          <w:b w:val="0"/>
          <w:bCs w:val="0"/>
          <w:color w:val="auto"/>
          <w:sz w:val="24"/>
          <w:highlight w:val="none"/>
        </w:rPr>
        <w:t>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在【交易指引】栏目中建设工程交易中下载《全国公共资源交易平台（广东省·韶关市）整合建设项目建设工程交易（投标人）用户手册》（附件2），了解网上获取招标文件操作流程。技术咨询电话：18819797080/0751-8379671 伍先生，业务咨询电话：0751-8633211。</w:t>
      </w:r>
    </w:p>
    <w:p w14:paraId="54DEF66A">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10.2.2 只有申领了数字证书（CA）、“粤企签”或GDCA/SZCA/NETCA等符合法律法规规定的电子印章，并在交易系统中完成企业信息数据入库的投标人，方可使用建设工程交易系统进行招标文件及附件获取和电子投标。</w:t>
      </w:r>
    </w:p>
    <w:p w14:paraId="094DC05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首次在韶关市参与建设工程招标投标活动的投标人，必须在平台系统上传企业相关资料办理企业入库事宜。投标人可登录全国公共资源交易平台（广东省·韶关市）（https://ygp.gdzwfw.gov.cn/ggzy-portal/#/440200/index）</w:t>
      </w:r>
      <w:r>
        <w:rPr>
          <w:rFonts w:hint="eastAsia" w:ascii="宋体" w:hAnsi="宋体" w:cs="宋体"/>
          <w:b w:val="0"/>
          <w:bCs w:val="0"/>
          <w:color w:val="auto"/>
          <w:sz w:val="24"/>
          <w:highlight w:val="none"/>
          <w:lang w:val="en-US" w:eastAsia="zh-CN"/>
        </w:rPr>
        <w:t>办理</w:t>
      </w:r>
      <w:r>
        <w:rPr>
          <w:rFonts w:hint="eastAsia" w:ascii="宋体" w:hAnsi="宋体" w:eastAsia="宋体" w:cs="宋体"/>
          <w:b w:val="0"/>
          <w:bCs w:val="0"/>
          <w:color w:val="auto"/>
          <w:sz w:val="24"/>
          <w:highlight w:val="none"/>
          <w:lang w:val="en-US" w:eastAsia="zh-CN"/>
        </w:rPr>
        <w:t>企业入库、数字证书及电子印章事宜，具体请在平台查阅相应的交易指引。</w:t>
      </w:r>
    </w:p>
    <w:p w14:paraId="410272E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已入库企业有关信息（如单位名称、基本账号、资质、人员等）发生变化的，须及时在交易系统进行相应变更。投标人未及时变更信息而造成的损失和后果，由投标人自行承担。</w:t>
      </w:r>
    </w:p>
    <w:p w14:paraId="6589336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eastAsia="宋体" w:cs="宋体"/>
          <w:b w:val="0"/>
          <w:bCs w:val="0"/>
          <w:color w:val="auto"/>
          <w:sz w:val="24"/>
          <w:highlight w:val="none"/>
        </w:rPr>
        <w:t xml:space="preserve"> </w:t>
      </w:r>
    </w:p>
    <w:p w14:paraId="3E91B1E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文件在网上发布后，招标人发现招标文件有遗漏或不够完善的，可以对已发布招标文件在网上发布后，招标人发现招标文件有遗漏或不够完善的，可以对已发布的招标文件进行必要的澄清、修改或补充，其澄清、修改或补充内容应当形成补遗文件报招标管理部门备案后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14:paraId="6430042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10.4当招标文件、招标文件的澄清、修改或补充等在同一内容的表述上不一致时，以网上最后发出的书面文件为准。</w:t>
      </w:r>
    </w:p>
    <w:p w14:paraId="2BEFC49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10.5 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14:paraId="14F47909">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.招标文件</w:t>
      </w:r>
      <w:r>
        <w:rPr>
          <w:rFonts w:hint="eastAsia" w:ascii="宋体" w:hAnsi="宋体" w:eastAsia="宋体" w:cs="宋体"/>
          <w:b/>
          <w:bCs/>
          <w:color w:val="auto"/>
          <w:sz w:val="24"/>
          <w:highlight w:val="none"/>
          <w:lang w:val="en-US" w:eastAsia="zh-CN"/>
        </w:rPr>
        <w:t>提问</w:t>
      </w:r>
      <w:r>
        <w:rPr>
          <w:rFonts w:hint="eastAsia" w:ascii="宋体" w:hAnsi="宋体" w:eastAsia="宋体" w:cs="宋体"/>
          <w:b/>
          <w:bCs/>
          <w:color w:val="auto"/>
          <w:sz w:val="24"/>
          <w:highlight w:val="none"/>
        </w:rPr>
        <w:t>和答疑</w:t>
      </w:r>
    </w:p>
    <w:p w14:paraId="774F68B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 投标人在网上获取招标文件后，应该详细检查招标文件的所有内容，同时审阅招标文件中的所有事项、格式、条款和规范要求等，如发现招标文件缺损、错漏或对招标文件有任何疑问，应在提问截止时间（见本章第二节“重要事项时间地点一览表”）前使用建设工程交易系统提出问题且不得有任何可识别投标人及其人员的标识。未在指定时间前、未采用指定方式提出的，招标人不予受理。</w:t>
      </w:r>
    </w:p>
    <w:p w14:paraId="74D3603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 对于投标人的任何有关招标文件的网上疑问，招标人在提问截止时间（见本章第二节“重要事项时间地点一览表”）后3日内，一次性对收到的所有问题作出答复，并形成答疑（或修改）公告在发布招标公告的媒介上公开发布。答疑（或修改）公告一旦发布，即</w:t>
      </w:r>
      <w:r>
        <w:rPr>
          <w:rFonts w:hint="eastAsia" w:ascii="宋体" w:hAnsi="宋体" w:cs="宋体"/>
          <w:color w:val="auto"/>
          <w:sz w:val="24"/>
          <w:highlight w:val="none"/>
          <w:lang w:eastAsia="zh-CN"/>
        </w:rPr>
        <w:t>视为</w:t>
      </w:r>
      <w:r>
        <w:rPr>
          <w:rFonts w:hint="eastAsia" w:ascii="宋体" w:hAnsi="宋体" w:eastAsia="宋体" w:cs="宋体"/>
          <w:color w:val="auto"/>
          <w:sz w:val="24"/>
          <w:highlight w:val="none"/>
        </w:rPr>
        <w:t>所有潜在投标人已经知悉答疑（或修改）内容，投标人未及时关注而造成的损失和后果，由投标人自行承担。补遗文件作为招标文件的补充，是招标文件的组成部分。</w:t>
      </w:r>
    </w:p>
    <w:p w14:paraId="0D58E34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 招标文件的答疑内容作为招标文件的组成部分，具有约束作用。投标人应从网上下载招标人对招标文件的答疑，招标人不再另行通知。投标人因自身原因未能获取答疑资料所造成的后果，由投标人自行承担。</w:t>
      </w:r>
    </w:p>
    <w:p w14:paraId="79CB468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.工程承包方式</w:t>
      </w:r>
    </w:p>
    <w:p w14:paraId="671FE5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本招标工程合同承包方式</w:t>
      </w:r>
      <w:r>
        <w:rPr>
          <w:rFonts w:hint="eastAsia" w:ascii="宋体" w:hAnsi="宋体" w:eastAsia="宋体" w:cs="宋体"/>
          <w:color w:val="auto"/>
          <w:sz w:val="24"/>
          <w:szCs w:val="24"/>
          <w:highlight w:val="none"/>
        </w:rPr>
        <w:t>采用单价合同承包方式</w:t>
      </w:r>
      <w:r>
        <w:rPr>
          <w:rFonts w:hint="eastAsia" w:ascii="宋体" w:hAnsi="宋体" w:eastAsia="宋体" w:cs="宋体"/>
          <w:color w:val="auto"/>
          <w:sz w:val="24"/>
          <w:highlight w:val="none"/>
        </w:rPr>
        <w:t>。</w:t>
      </w:r>
    </w:p>
    <w:p w14:paraId="3083CA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工程所需材料全部由中标单位自行组织采购供应，但所有材料必须与投标文件材料相符，并符合设计和规范要求，经建设单位和监理单位同意后，方能投入使用。</w:t>
      </w:r>
    </w:p>
    <w:p w14:paraId="7F0BC356">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.工程质量、工期及有关要求</w:t>
      </w:r>
    </w:p>
    <w:p w14:paraId="0E09A10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中标单位应按照投标人须知前附表要求的工程质量标准完成本工程施工任务。工程验收以国家现行的施工验收技术规范、工程质量验评标准、施工图纸、设计变更及技术说明书等设计、技术文件为依据。如施工质量不合格，中标单位须负责返工直至达到合格要求，所造成的损失和一切费用由中标单位负责。</w:t>
      </w:r>
    </w:p>
    <w:p w14:paraId="3187ED9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鼓励中标单位采购节能环保产品。</w:t>
      </w:r>
    </w:p>
    <w:p w14:paraId="4B29BE05">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工期要求及</w:t>
      </w:r>
      <w:r>
        <w:rPr>
          <w:rFonts w:hint="eastAsia" w:ascii="宋体" w:hAnsi="宋体" w:eastAsia="宋体" w:cs="宋体"/>
          <w:color w:val="auto"/>
          <w:sz w:val="24"/>
          <w:highlight w:val="none"/>
          <w:lang w:eastAsia="zh-CN"/>
        </w:rPr>
        <w:t>其</w:t>
      </w:r>
      <w:r>
        <w:rPr>
          <w:rFonts w:hint="eastAsia" w:ascii="宋体" w:hAnsi="宋体" w:eastAsia="宋体" w:cs="宋体"/>
          <w:color w:val="auto"/>
          <w:sz w:val="24"/>
          <w:highlight w:val="none"/>
        </w:rPr>
        <w:t>规定</w:t>
      </w:r>
    </w:p>
    <w:p w14:paraId="20871AD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(1)中标单位应按照投标人须知前附表要求的日历天（含节假日、停水、停电、风雨天在内）内完成招标内容全部施工项目。开工及竣工日期以承包合同签订规定为准。</w:t>
      </w:r>
    </w:p>
    <w:p w14:paraId="35F0FD3D">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因建设单位原因或不可抗力的自然灾害造成施工工期延误的其工期可相应顺延，但必须经建设单位现场签证。</w:t>
      </w:r>
    </w:p>
    <w:p w14:paraId="3BC7BDFA">
      <w:pPr>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color w:val="auto"/>
          <w:sz w:val="24"/>
          <w:szCs w:val="24"/>
          <w:highlight w:val="none"/>
        </w:rPr>
        <w:t>本工程最高投标限价编制依据及说明</w:t>
      </w:r>
    </w:p>
    <w:p w14:paraId="13AD679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（1）《建设工程工程量清单计价标准》（GB/T50500—2024）</w:t>
      </w:r>
      <w:r>
        <w:rPr>
          <w:rFonts w:hint="eastAsia" w:ascii="宋体" w:hAnsi="宋体" w:cs="宋体"/>
          <w:color w:val="auto"/>
          <w:sz w:val="24"/>
          <w:highlight w:val="none"/>
          <w:lang w:eastAsia="zh-CN"/>
        </w:rPr>
        <w:t>、《市政工程工程量计算标准》(GB/T50857-2024)等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w:t>
      </w:r>
      <w:r>
        <w:rPr>
          <w:rFonts w:hint="eastAsia" w:ascii="宋体" w:hAnsi="宋体" w:eastAsia="宋体" w:cs="宋体"/>
          <w:b w:val="0"/>
          <w:bCs w:val="0"/>
          <w:color w:val="auto"/>
          <w:sz w:val="24"/>
          <w:highlight w:val="none"/>
          <w:lang w:val="en-US" w:eastAsia="zh-CN"/>
        </w:rPr>
        <w:t>《2024标准》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4289721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广东省建设工程计价依据（2018）》和《关于调整〈广东省建设工程计价依据2018〉计价规则的通知》（粤标定函〔2025〕22号）。具体包括：《广东省房屋建筑与装饰工程综合定额（2018）》《广东省市政工程综合定额（2018）》《广东省通用安装工程综合定额（2018）》《广东省园林绿化工程综合定额（2018）》《广东省建设工程施工机具台班费用编制规则（2018）》等；</w:t>
      </w:r>
    </w:p>
    <w:p w14:paraId="5174C7B6">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（3）施工图及相关资料；</w:t>
      </w:r>
    </w:p>
    <w:p w14:paraId="1471942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（4）招标文件及招标工程量清单；</w:t>
      </w:r>
    </w:p>
    <w:p w14:paraId="55013204">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（5）施工现场情况、工程特点及常规施工方案；</w:t>
      </w:r>
    </w:p>
    <w:p w14:paraId="0846211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（6）项目所在地工程造价管理机构发布的工程造价信息，工程造价信息缺项的，参照市场价格；</w:t>
      </w:r>
    </w:p>
    <w:p w14:paraId="3E58D9E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（7）与建设项目相关的标准、规范、技术资料。</w:t>
      </w:r>
    </w:p>
    <w:p w14:paraId="0565CF24">
      <w:pPr>
        <w:pStyle w:val="5"/>
        <w:bidi w:val="0"/>
        <w:rPr>
          <w:rFonts w:hint="eastAsia" w:ascii="宋体" w:hAnsi="宋体" w:eastAsia="宋体" w:cs="宋体"/>
          <w:color w:val="auto"/>
        </w:rPr>
      </w:pPr>
      <w:bookmarkStart w:id="11" w:name="_Toc5230"/>
      <w:r>
        <w:rPr>
          <w:rFonts w:hint="eastAsia" w:ascii="宋体" w:hAnsi="宋体" w:eastAsia="宋体" w:cs="宋体"/>
          <w:color w:val="auto"/>
        </w:rPr>
        <w:t>（</w:t>
      </w:r>
      <w:r>
        <w:rPr>
          <w:rFonts w:hint="eastAsia" w:ascii="宋体" w:hAnsi="宋体" w:eastAsia="宋体" w:cs="宋体"/>
          <w:color w:val="auto"/>
          <w:lang w:eastAsia="zh-CN"/>
        </w:rPr>
        <w:t>四</w:t>
      </w:r>
      <w:r>
        <w:rPr>
          <w:rFonts w:hint="eastAsia" w:ascii="宋体" w:hAnsi="宋体" w:eastAsia="宋体" w:cs="宋体"/>
          <w:color w:val="auto"/>
        </w:rPr>
        <w:t>）投标文件</w:t>
      </w:r>
      <w:bookmarkEnd w:id="11"/>
    </w:p>
    <w:p w14:paraId="2AAECBE7">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.投标文件组成</w:t>
      </w:r>
    </w:p>
    <w:p w14:paraId="500964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投标文件包括商务标书、经济标书、施工组织设计</w:t>
      </w:r>
      <w:r>
        <w:rPr>
          <w:rFonts w:hint="eastAsia" w:ascii="宋体" w:hAnsi="宋体" w:eastAsia="宋体" w:cs="宋体"/>
          <w:b w:val="0"/>
          <w:bCs w:val="0"/>
          <w:color w:val="auto"/>
          <w:sz w:val="24"/>
          <w:highlight w:val="none"/>
          <w:lang w:val="en-US" w:eastAsia="zh-CN"/>
        </w:rPr>
        <w:t>和定标文件四</w:t>
      </w:r>
      <w:r>
        <w:rPr>
          <w:rFonts w:hint="eastAsia" w:ascii="宋体" w:hAnsi="宋体" w:eastAsia="宋体" w:cs="宋体"/>
          <w:b w:val="0"/>
          <w:bCs w:val="0"/>
          <w:color w:val="auto"/>
          <w:sz w:val="24"/>
          <w:highlight w:val="none"/>
        </w:rPr>
        <w:t>个分册。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6FD053D2">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w:t>
      </w:r>
      <w:r>
        <w:rPr>
          <w:rFonts w:hint="eastAsia" w:ascii="宋体" w:hAnsi="宋体" w:eastAsia="宋体" w:cs="宋体"/>
          <w:b/>
          <w:color w:val="auto"/>
          <w:sz w:val="24"/>
          <w:highlight w:val="none"/>
        </w:rPr>
        <w:t>.投标文件编制</w:t>
      </w:r>
    </w:p>
    <w:p w14:paraId="4EBD4E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投标文件应按第</w:t>
      </w:r>
      <w:r>
        <w:rPr>
          <w:rFonts w:hint="eastAsia" w:ascii="宋体" w:hAnsi="宋体" w:eastAsia="宋体" w:cs="宋体"/>
          <w:b w:val="0"/>
          <w:bCs w:val="0"/>
          <w:color w:val="auto"/>
          <w:sz w:val="24"/>
          <w:highlight w:val="none"/>
          <w:lang w:val="en-US" w:eastAsia="zh-CN"/>
        </w:rPr>
        <w:t>四</w:t>
      </w:r>
      <w:r>
        <w:rPr>
          <w:rFonts w:hint="eastAsia" w:ascii="宋体" w:hAnsi="宋体" w:eastAsia="宋体" w:cs="宋体"/>
          <w:b w:val="0"/>
          <w:bCs w:val="0"/>
          <w:color w:val="auto"/>
          <w:sz w:val="24"/>
          <w:highlight w:val="none"/>
        </w:rPr>
        <w:t>章 投标文件格式规定的内容，投标人提交的投标文件应当使用招标文件所提供的投标文件全部格式。</w:t>
      </w:r>
    </w:p>
    <w:p w14:paraId="2513A7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16.1 </w:t>
      </w:r>
      <w:r>
        <w:rPr>
          <w:rFonts w:hint="eastAsia" w:ascii="宋体" w:hAnsi="宋体" w:eastAsia="宋体" w:cs="宋体"/>
          <w:b w:val="0"/>
          <w:bCs w:val="0"/>
          <w:color w:val="auto"/>
          <w:sz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7C4C4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16.2 </w:t>
      </w:r>
      <w:r>
        <w:rPr>
          <w:rFonts w:hint="eastAsia" w:ascii="宋体" w:hAnsi="宋体" w:eastAsia="宋体" w:cs="宋体"/>
          <w:b w:val="0"/>
          <w:bCs w:val="0"/>
          <w:color w:val="auto"/>
          <w:sz w:val="24"/>
          <w:highlight w:val="none"/>
        </w:rPr>
        <w:t>投标文件在电子投标时全部采用电子文档，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14:paraId="2CA87A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w:t>
      </w:r>
      <w:r>
        <w:rPr>
          <w:rFonts w:hint="eastAsia" w:ascii="宋体" w:hAnsi="宋体" w:eastAsia="宋体" w:cs="宋体"/>
          <w:b w:val="0"/>
          <w:bCs w:val="0"/>
          <w:color w:val="auto"/>
          <w:sz w:val="24"/>
          <w:highlight w:val="none"/>
        </w:rPr>
        <w:t xml:space="preserve"> 投标文件需按以下要求签字、盖章：</w:t>
      </w:r>
    </w:p>
    <w:p w14:paraId="330A662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电子投标文件：</w:t>
      </w:r>
    </w:p>
    <w:p w14:paraId="49F12B9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16.3.1</w:t>
      </w:r>
      <w:r>
        <w:rPr>
          <w:rFonts w:hint="eastAsia" w:ascii="宋体" w:hAnsi="宋体" w:eastAsia="宋体" w:cs="宋体"/>
          <w:b w:val="0"/>
          <w:bCs w:val="0"/>
          <w:color w:val="auto"/>
          <w:sz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578B69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16.3.2</w:t>
      </w:r>
      <w:r>
        <w:rPr>
          <w:rFonts w:hint="eastAsia" w:ascii="宋体" w:hAnsi="宋体" w:eastAsia="宋体" w:cs="宋体"/>
          <w:b w:val="0"/>
          <w:bCs w:val="0"/>
          <w:color w:val="auto"/>
          <w:sz w:val="24"/>
          <w:highlight w:val="none"/>
        </w:rPr>
        <w:t xml:space="preserve"> 投标文件封套、封面、组成内容中凡要求录入投标人名称且注明“盖单位章”处盖单位法人公章（电子印章）。</w:t>
      </w:r>
    </w:p>
    <w:p w14:paraId="18CAA65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16.3.3</w:t>
      </w:r>
      <w:r>
        <w:rPr>
          <w:rFonts w:hint="eastAsia" w:ascii="宋体" w:hAnsi="宋体" w:eastAsia="宋体" w:cs="宋体"/>
          <w:b w:val="0"/>
          <w:bCs w:val="0"/>
          <w:color w:val="auto"/>
          <w:sz w:val="24"/>
          <w:highlight w:val="none"/>
        </w:rPr>
        <w:t xml:space="preserve"> 投标文件的签字均为签字人本人亲笔署名或签章（电子印章），其余部分的彩色扫描件无须另行签字、盖章。</w:t>
      </w:r>
    </w:p>
    <w:p w14:paraId="3C994D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2" w:name="_Toc18556"/>
      <w:bookmarkStart w:id="13" w:name="_Toc27757"/>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 xml:space="preserve"> 商务标书的编制要求</w:t>
      </w:r>
      <w:bookmarkEnd w:id="12"/>
      <w:bookmarkEnd w:id="13"/>
    </w:p>
    <w:p w14:paraId="4759B8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16.4.1</w:t>
      </w:r>
      <w:r>
        <w:rPr>
          <w:rFonts w:hint="eastAsia" w:ascii="宋体" w:hAnsi="宋体" w:eastAsia="宋体" w:cs="宋体"/>
          <w:b w:val="0"/>
          <w:bCs w:val="0"/>
          <w:color w:val="auto"/>
          <w:sz w:val="24"/>
          <w:highlight w:val="none"/>
        </w:rPr>
        <w:t xml:space="preserve"> 商务标书包括但不限于以下内容：</w:t>
      </w:r>
    </w:p>
    <w:p w14:paraId="382FB2A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41AF84F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（2）目录； </w:t>
      </w:r>
    </w:p>
    <w:p w14:paraId="0EDE06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（3）《投标函》（格式二）；</w:t>
      </w:r>
    </w:p>
    <w:p w14:paraId="1D2C470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（4）《各项承诺一览表》（格式三）；</w:t>
      </w:r>
    </w:p>
    <w:p w14:paraId="5FDA53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（5）《法定代表人身份证明》（格式四）；</w:t>
      </w:r>
    </w:p>
    <w:p w14:paraId="63E436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（6）《授权委托书》（格式五）；</w:t>
      </w:r>
    </w:p>
    <w:p w14:paraId="09A855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投标保证缴纳证明（投标人采用投标保证金的，附交易平台《缴纳投标保证金通知书》页面截图和银行转账单扫描件；采用投标保证担保的，附银行保函彩色扫描件；采用投标保证担保的，附电子保单和《韶关市公共资源交易一体化平台保证金缴纳信息》页面截图打印页）；</w:t>
      </w:r>
    </w:p>
    <w:p w14:paraId="1C40EE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 《投标人基本情况表》（格式六）及所附资料；</w:t>
      </w:r>
    </w:p>
    <w:p w14:paraId="158E75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 《项目经理简历表》（格式七）及所附资料；</w:t>
      </w:r>
    </w:p>
    <w:p w14:paraId="52C919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（10）《项目经理任职声明》（格式八）；</w:t>
      </w:r>
    </w:p>
    <w:p w14:paraId="5C3AC4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（11）《项目技术负责人简历表》（格式九）及所附资料；</w:t>
      </w:r>
    </w:p>
    <w:p w14:paraId="2FD32B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（12）《专职安全员简历表》（格式十）及所附资料；</w:t>
      </w:r>
    </w:p>
    <w:p w14:paraId="741FE5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（13）《项目管理机构组成表》（格式十一）及所附资料；</w:t>
      </w:r>
    </w:p>
    <w:p w14:paraId="5E9E2F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（14） 建造师查询页（有效期）（格式十二）；</w:t>
      </w:r>
    </w:p>
    <w:p w14:paraId="049C0C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（15）</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危险性较大的分部分项工程清单及超过一定规模的危险性较大的分部分项工程清单</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（格式十三）</w:t>
      </w:r>
    </w:p>
    <w:p w14:paraId="461B220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（16）《助力项目承诺书》（格式十五）；</w:t>
      </w:r>
    </w:p>
    <w:p w14:paraId="113059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（17）《原件一览表》（格式十</w:t>
      </w:r>
      <w:r>
        <w:rPr>
          <w:rFonts w:hint="eastAsia" w:ascii="宋体" w:hAnsi="宋体" w:eastAsia="宋体" w:cs="宋体"/>
          <w:b w:val="0"/>
          <w:bCs w:val="0"/>
          <w:color w:val="auto"/>
          <w:sz w:val="24"/>
          <w:highlight w:val="none"/>
          <w:lang w:val="en-US" w:eastAsia="zh-CN"/>
        </w:rPr>
        <w:t>六</w:t>
      </w:r>
      <w:r>
        <w:rPr>
          <w:rFonts w:hint="eastAsia" w:ascii="宋体" w:hAnsi="宋体" w:eastAsia="宋体" w:cs="宋体"/>
          <w:b w:val="0"/>
          <w:bCs w:val="0"/>
          <w:color w:val="auto"/>
          <w:sz w:val="24"/>
          <w:highlight w:val="none"/>
        </w:rPr>
        <w:t>）；</w:t>
      </w:r>
    </w:p>
    <w:p w14:paraId="61873E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8</w:t>
      </w:r>
      <w:r>
        <w:rPr>
          <w:rFonts w:hint="eastAsia" w:ascii="宋体" w:hAnsi="宋体" w:eastAsia="宋体" w:cs="宋体"/>
          <w:b w:val="0"/>
          <w:bCs w:val="0"/>
          <w:color w:val="auto"/>
          <w:sz w:val="24"/>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76F0F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16.4</w:t>
      </w:r>
      <w:r>
        <w:rPr>
          <w:rFonts w:hint="eastAsia" w:ascii="宋体" w:hAnsi="宋体" w:eastAsia="宋体" w:cs="宋体"/>
          <w:b w:val="0"/>
          <w:bCs w:val="0"/>
          <w:color w:val="auto"/>
          <w:sz w:val="24"/>
          <w:highlight w:val="none"/>
        </w:rPr>
        <w:t>.2 本节第1</w:t>
      </w:r>
      <w:r>
        <w:rPr>
          <w:rFonts w:hint="eastAsia" w:ascii="宋体" w:hAnsi="宋体" w:eastAsia="宋体" w:cs="宋体"/>
          <w:b w:val="0"/>
          <w:bCs w:val="0"/>
          <w:color w:val="auto"/>
          <w:sz w:val="24"/>
          <w:highlight w:val="none"/>
          <w:lang w:val="en-US" w:eastAsia="zh-CN"/>
        </w:rPr>
        <w:t>6.4</w:t>
      </w:r>
      <w:r>
        <w:rPr>
          <w:rFonts w:hint="eastAsia" w:ascii="宋体" w:hAnsi="宋体" w:eastAsia="宋体" w:cs="宋体"/>
          <w:b w:val="0"/>
          <w:bCs w:val="0"/>
          <w:color w:val="auto"/>
          <w:sz w:val="24"/>
          <w:highlight w:val="none"/>
        </w:rPr>
        <w:t>.1目中所列出的商务标书组成内容中，第（1）至第（</w:t>
      </w:r>
      <w:r>
        <w:rPr>
          <w:rFonts w:hint="eastAsia" w:ascii="宋体" w:hAnsi="宋体" w:eastAsia="宋体" w:cs="宋体"/>
          <w:b w:val="0"/>
          <w:bCs w:val="0"/>
          <w:color w:val="auto"/>
          <w:sz w:val="24"/>
          <w:highlight w:val="none"/>
          <w:lang w:val="en-US" w:eastAsia="zh-CN"/>
        </w:rPr>
        <w:t>17</w:t>
      </w:r>
      <w:r>
        <w:rPr>
          <w:rFonts w:hint="eastAsia" w:ascii="宋体" w:hAnsi="宋体" w:eastAsia="宋体" w:cs="宋体"/>
          <w:b w:val="0"/>
          <w:bCs w:val="0"/>
          <w:color w:val="auto"/>
          <w:sz w:val="24"/>
          <w:highlight w:val="none"/>
        </w:rPr>
        <w:t>）项所有投标人均应提供</w:t>
      </w:r>
      <w:r>
        <w:rPr>
          <w:rFonts w:hint="eastAsia" w:ascii="宋体" w:hAnsi="宋体" w:eastAsia="宋体" w:cs="宋体"/>
          <w:b w:val="0"/>
          <w:bCs w:val="0"/>
          <w:color w:val="auto"/>
          <w:sz w:val="24"/>
          <w:highlight w:val="none"/>
          <w:lang w:val="en-US" w:eastAsia="zh-CN"/>
        </w:rPr>
        <w:t>。</w:t>
      </w:r>
    </w:p>
    <w:p w14:paraId="3B0EAD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16.4.3商务标书的组成内容按本节16.4.1目规定的顺序整理、编排后，逐页（页码起始从封面开始）连续标记页码</w:t>
      </w:r>
      <w:r>
        <w:rPr>
          <w:rFonts w:hint="eastAsia" w:ascii="宋体" w:hAnsi="宋体" w:eastAsia="宋体" w:cs="宋体"/>
          <w:b w:val="0"/>
          <w:bCs w:val="0"/>
          <w:color w:val="auto"/>
          <w:sz w:val="24"/>
          <w:highlight w:val="none"/>
        </w:rPr>
        <w:t>。</w:t>
      </w:r>
    </w:p>
    <w:p w14:paraId="74990F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14" w:name="_Hlt87783273"/>
      <w:bookmarkEnd w:id="14"/>
      <w:bookmarkStart w:id="15" w:name="_Hlt69670029"/>
      <w:bookmarkEnd w:id="15"/>
      <w:bookmarkStart w:id="16" w:name="_Toc3328"/>
      <w:bookmarkStart w:id="17" w:name="_Toc274313881"/>
      <w:bookmarkStart w:id="18" w:name="_Toc12870"/>
      <w:r>
        <w:rPr>
          <w:rFonts w:hint="eastAsia" w:ascii="宋体" w:hAnsi="宋体" w:eastAsia="宋体" w:cs="宋体"/>
          <w:b w:val="0"/>
          <w:bCs w:val="0"/>
          <w:color w:val="auto"/>
          <w:sz w:val="24"/>
          <w:highlight w:val="none"/>
        </w:rPr>
        <w:t>1</w:t>
      </w:r>
      <w:bookmarkStart w:id="19" w:name="_Hlt69670035"/>
      <w:bookmarkEnd w:id="19"/>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 xml:space="preserve"> 经济标书的编制要求</w:t>
      </w:r>
      <w:bookmarkEnd w:id="16"/>
      <w:bookmarkEnd w:id="17"/>
      <w:bookmarkEnd w:id="18"/>
    </w:p>
    <w:p w14:paraId="503852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 经济标书包括以下内容：</w:t>
      </w:r>
    </w:p>
    <w:p w14:paraId="7CDA8C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52409C5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7FF4F5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0" w:name="_Hlt69699579"/>
      <w:bookmarkEnd w:id="20"/>
      <w:r>
        <w:rPr>
          <w:rFonts w:hint="eastAsia" w:ascii="宋体" w:hAnsi="宋体" w:eastAsia="宋体" w:cs="宋体"/>
          <w:b w:val="0"/>
          <w:bCs w:val="0"/>
          <w:color w:val="auto"/>
          <w:sz w:val="24"/>
          <w:highlight w:val="none"/>
        </w:rPr>
        <w:t>（3）《投标总价》；</w:t>
      </w:r>
    </w:p>
    <w:p w14:paraId="48BFF7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说明：《投标总价》的格式按照《建设工程工程量清单计价标准》（GB/T50500-2024） </w:t>
      </w:r>
    </w:p>
    <w:p w14:paraId="06D389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执行，并应满足以下要求： </w:t>
      </w:r>
    </w:p>
    <w:p w14:paraId="06A2754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a．《投标总价扉页》后应附编制人的造价工程师注册证书彩色扫描件（须扫描至变更注册栏，一级造价师或二级造价师均可提供电子证书）；投标人委托造价咨询单位编制《投标总价》的，在该扉页“投标人 ”栏目加盖造价咨询人公章，并在该扉页后附造价咨询人的营业执照彩色扫描件。 </w:t>
      </w:r>
    </w:p>
    <w:p w14:paraId="6CB57D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 xml:space="preserve">b．投标人认为有必要补充的其他资料（例如关于投标总价下浮率超过 15%的书面说明和 </w:t>
      </w:r>
    </w:p>
    <w:p w14:paraId="4FC60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佐证材料）。</w:t>
      </w:r>
    </w:p>
    <w:p w14:paraId="364435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（4）投标人认为有必要补充的其他资料（例如关于</w:t>
      </w:r>
      <w:r>
        <w:rPr>
          <w:rFonts w:hint="eastAsia" w:ascii="宋体" w:hAnsi="宋体" w:eastAsia="宋体" w:cs="宋体"/>
          <w:color w:val="auto"/>
          <w:sz w:val="24"/>
          <w:highlight w:val="none"/>
        </w:rPr>
        <w:t>投标报价低于招标项目的成本警示价</w:t>
      </w:r>
      <w:r>
        <w:rPr>
          <w:rFonts w:hint="eastAsia" w:ascii="宋体" w:hAnsi="宋体" w:eastAsia="宋体" w:cs="宋体"/>
          <w:b w:val="0"/>
          <w:bCs w:val="0"/>
          <w:color w:val="auto"/>
          <w:sz w:val="24"/>
          <w:highlight w:val="none"/>
        </w:rPr>
        <w:t>的书面说明和佐证材料）。</w:t>
      </w:r>
    </w:p>
    <w:p w14:paraId="4C7676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.2 本节第1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.1目中所列出的经济标书组成内容中，第（1）至第（3）项所有投标人均应提供</w:t>
      </w:r>
      <w:bookmarkStart w:id="21" w:name="_Hlt145127239"/>
      <w:bookmarkEnd w:id="21"/>
      <w:r>
        <w:rPr>
          <w:rFonts w:hint="eastAsia" w:ascii="宋体" w:hAnsi="宋体" w:eastAsia="宋体" w:cs="宋体"/>
          <w:b w:val="0"/>
          <w:bCs w:val="0"/>
          <w:color w:val="auto"/>
          <w:sz w:val="24"/>
          <w:highlight w:val="none"/>
        </w:rPr>
        <w:t>。</w:t>
      </w:r>
    </w:p>
    <w:p w14:paraId="3254CD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6.5</w:t>
      </w:r>
      <w:r>
        <w:rPr>
          <w:rFonts w:hint="eastAsia" w:ascii="宋体" w:hAnsi="宋体" w:eastAsia="宋体" w:cs="宋体"/>
          <w:b w:val="0"/>
          <w:bCs w:val="0"/>
          <w:color w:val="auto"/>
          <w:sz w:val="24"/>
          <w:highlight w:val="none"/>
        </w:rPr>
        <w:t>.3 经济标书的组成内容按本节</w:t>
      </w:r>
      <w:r>
        <w:rPr>
          <w:rFonts w:hint="eastAsia" w:ascii="宋体" w:hAnsi="宋体" w:eastAsia="宋体" w:cs="宋体"/>
          <w:b w:val="0"/>
          <w:bCs w:val="0"/>
          <w:color w:val="auto"/>
          <w:sz w:val="24"/>
          <w:highlight w:val="none"/>
          <w:lang w:val="en-US" w:eastAsia="zh-CN"/>
        </w:rPr>
        <w:t>16.5</w:t>
      </w:r>
      <w:r>
        <w:rPr>
          <w:rFonts w:hint="eastAsia" w:ascii="宋体" w:hAnsi="宋体" w:eastAsia="宋体" w:cs="宋体"/>
          <w:b w:val="0"/>
          <w:bCs w:val="0"/>
          <w:color w:val="auto"/>
          <w:sz w:val="24"/>
          <w:highlight w:val="none"/>
        </w:rPr>
        <w:t>.1目规定的顺序整理、编排后，逐页（页码起始从封面开始）连续标记页码。</w:t>
      </w:r>
    </w:p>
    <w:p w14:paraId="383631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bookmarkStart w:id="22" w:name="_Toc27751"/>
      <w:bookmarkStart w:id="23" w:name="_Toc16279"/>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 xml:space="preserve"> 施工组织设计的编制要求</w:t>
      </w:r>
      <w:bookmarkEnd w:id="22"/>
      <w:bookmarkEnd w:id="23"/>
    </w:p>
    <w:p w14:paraId="1FD7F2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.1 施工组织设计的编制依据包括且不限于：</w:t>
      </w:r>
    </w:p>
    <w:p w14:paraId="1B028A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（1）招标文件及其答疑（或修改）公告；</w:t>
      </w:r>
    </w:p>
    <w:p w14:paraId="109A3B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（2）施工图及相关资料；</w:t>
      </w:r>
    </w:p>
    <w:p w14:paraId="3FA3DA9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（3）施工现场情况、工程特点；</w:t>
      </w:r>
    </w:p>
    <w:p w14:paraId="5BE6AA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（4）相关法律、法规、规定；</w:t>
      </w:r>
    </w:p>
    <w:p w14:paraId="2F9FEA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622A5A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（6）企业内部标准、工法。</w:t>
      </w:r>
    </w:p>
    <w:p w14:paraId="30E8D9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 施工组织设计包括但不限于以下内容：</w:t>
      </w:r>
    </w:p>
    <w:p w14:paraId="15BAEA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（1）封面（格式一）；</w:t>
      </w:r>
    </w:p>
    <w:p w14:paraId="2C191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（2）目录；</w:t>
      </w:r>
    </w:p>
    <w:p w14:paraId="3A4247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（3）总体概述（包括施工程序总体设想及施工段划分等内容）；</w:t>
      </w:r>
    </w:p>
    <w:p w14:paraId="372D2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（4）施工总进度计划及保证措施（包括进度管理目标；以横道图或标明关键线路的网络进度计划；保障进度计划需要的人、材、机需求计划及保证措施；违约责任承诺等内容）；</w:t>
      </w:r>
    </w:p>
    <w:p w14:paraId="391D40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（5）质量保证措施（包括质量管理目标；相应保证措施；违约责任承诺等内容）；</w:t>
      </w:r>
    </w:p>
    <w:p w14:paraId="584927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（6）施工技术措施（包括关键施工技术、工艺及工程项目实施的重点、难点分析和解决方案；新技术应用与承诺等内容）；</w:t>
      </w:r>
    </w:p>
    <w:p w14:paraId="73068F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（7）绿色施工、安全防护、文明施工措施计划；</w:t>
      </w:r>
    </w:p>
    <w:p w14:paraId="0B5E396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2C5B6F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（9）项目管理机构；</w:t>
      </w:r>
    </w:p>
    <w:p w14:paraId="2DD9EC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（10）投标人认为有必要补充的其他内容（例如对总包管理的认识以及对专业分包工程的管理、协调、配合、服务方案）。</w:t>
      </w:r>
    </w:p>
    <w:p w14:paraId="1B9ABE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.3 本节第1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.2目中所列出的施工组织设计组成内容中，第（1）至第（</w:t>
      </w: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）项所有投标人均应提供。</w:t>
      </w:r>
    </w:p>
    <w:p w14:paraId="61DE04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6.6</w:t>
      </w:r>
      <w:r>
        <w:rPr>
          <w:rFonts w:hint="eastAsia" w:ascii="宋体" w:hAnsi="宋体" w:eastAsia="宋体" w:cs="宋体"/>
          <w:b w:val="0"/>
          <w:bCs w:val="0"/>
          <w:color w:val="auto"/>
          <w:sz w:val="24"/>
          <w:highlight w:val="none"/>
        </w:rPr>
        <w:t>.4 施工组织设计的组成内容按本节第</w:t>
      </w:r>
      <w:r>
        <w:rPr>
          <w:rFonts w:hint="eastAsia" w:ascii="宋体" w:hAnsi="宋体" w:eastAsia="宋体" w:cs="宋体"/>
          <w:b w:val="0"/>
          <w:bCs w:val="0"/>
          <w:color w:val="auto"/>
          <w:sz w:val="24"/>
          <w:highlight w:val="none"/>
          <w:lang w:val="en-US" w:eastAsia="zh-CN"/>
        </w:rPr>
        <w:t>16.6</w:t>
      </w:r>
      <w:r>
        <w:rPr>
          <w:rFonts w:hint="eastAsia" w:ascii="宋体" w:hAnsi="宋体" w:eastAsia="宋体" w:cs="宋体"/>
          <w:b w:val="0"/>
          <w:bCs w:val="0"/>
          <w:color w:val="auto"/>
          <w:sz w:val="24"/>
          <w:highlight w:val="none"/>
        </w:rPr>
        <w:t>.2目规定的顺序整理、编排后，逐页（页码起始从封面开始）连续标记页码。</w:t>
      </w:r>
    </w:p>
    <w:p w14:paraId="4354AD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16.6.5 施工组织设计的正文除施工现场平面布置图和进度计划图用白色标准A3纸设置外，其他内容一律用白色标准A4纸设置。施工组织设计的正文建议不</w:t>
      </w:r>
      <w:r>
        <w:rPr>
          <w:rFonts w:hint="eastAsia" w:ascii="宋体" w:hAnsi="宋体" w:cs="宋体"/>
          <w:b w:val="0"/>
          <w:bCs w:val="0"/>
          <w:color w:val="auto"/>
          <w:sz w:val="24"/>
          <w:highlight w:val="none"/>
          <w:lang w:val="en-US" w:eastAsia="zh-CN"/>
        </w:rPr>
        <w:t>超过</w:t>
      </w:r>
      <w:r>
        <w:rPr>
          <w:rFonts w:hint="eastAsia" w:ascii="宋体" w:hAnsi="宋体" w:eastAsia="宋体" w:cs="宋体"/>
          <w:b w:val="0"/>
          <w:bCs w:val="0"/>
          <w:color w:val="auto"/>
          <w:sz w:val="24"/>
          <w:highlight w:val="none"/>
          <w:lang w:val="en-US" w:eastAsia="zh-CN"/>
        </w:rPr>
        <w:t>500页。</w:t>
      </w:r>
    </w:p>
    <w:p w14:paraId="67F1ED5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16.7定标文件的编制要求：</w:t>
      </w:r>
    </w:p>
    <w:p w14:paraId="1A78C1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5E9278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highlight w:val="none"/>
          <w:lang w:val="en-US" w:eastAsia="zh-CN"/>
        </w:rPr>
        <w:t>1) 定标因素评审资料（格式十七）</w:t>
      </w:r>
    </w:p>
    <w:p w14:paraId="3A1A69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 xml:space="preserve"> 本节第1</w:t>
      </w:r>
      <w:r>
        <w:rPr>
          <w:rFonts w:hint="eastAsia" w:ascii="宋体" w:hAnsi="宋体" w:eastAsia="宋体" w:cs="宋体"/>
          <w:b w:val="0"/>
          <w:bCs w:val="0"/>
          <w:color w:val="auto"/>
          <w:sz w:val="24"/>
          <w:highlight w:val="none"/>
          <w:lang w:val="en-US" w:eastAsia="zh-CN"/>
        </w:rPr>
        <w:t>6.7</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目中所列出的组成内容中，第（1）项所有投标人均应提供。</w:t>
      </w:r>
    </w:p>
    <w:p w14:paraId="7A068CE7">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.投标报价</w:t>
      </w:r>
    </w:p>
    <w:p w14:paraId="3C9200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17.1投标人报价可依据《2024标准》）规定自主确定投标报价，并应对已标价工程量清单填报价格的一致性及合理性负责，承担不合理报价及总价合同的工程量清单缺陷等风险。</w:t>
      </w:r>
    </w:p>
    <w:p w14:paraId="0D0030E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（1）《2024标准》和相关工程国家级行业工程量计算标准；</w:t>
      </w:r>
    </w:p>
    <w:p w14:paraId="59A9F7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（2）招标文件（包括招标工程量清单、合同条款、招标图纸、计算标准规范等）及其补遗、答疑、异议澄清或修正；</w:t>
      </w:r>
    </w:p>
    <w:p w14:paraId="5C752A0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（3）国家及省级、行业建设主管部门颁发的工程计量与计价相关规定，以及根据工程需要补充的工程量计算规则；</w:t>
      </w:r>
    </w:p>
    <w:p w14:paraId="1791F1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（4）与招标工程相关的技术标准规范等技术资料；</w:t>
      </w:r>
    </w:p>
    <w:p w14:paraId="557D3E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（5）工程特点及交付标准、地勘水文资料、现场踏勘情况；</w:t>
      </w:r>
    </w:p>
    <w:p w14:paraId="69FD8B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（6）投标人的工程实施方案及投标工期；</w:t>
      </w:r>
    </w:p>
    <w:p w14:paraId="448869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（7）投标人企业定额、工程造价数据、市场价格信息及价格变动预期、装备及管理水平、造价资讯等；</w:t>
      </w:r>
    </w:p>
    <w:p w14:paraId="6D3059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（8）其他相关资料。</w:t>
      </w:r>
    </w:p>
    <w:p w14:paraId="3FADDC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17.2投标人的投标报价不得高于招标人公布的最高投标限价。</w:t>
      </w:r>
    </w:p>
    <w:p w14:paraId="70073B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 投标人的安全生产措施费报价必须达到或超过最高投标限价中提供的安全生产措施费。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7AC6D4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投标人应在接收招标文件后，在规定时间内根据工程特点、合同要求及现场踏勘情况，复查措施项目清单列项的完整性和适用性。如投标人对措施项目清单有疑问或异议的，可按招标文件的规定以书面形式提请招标人澄清或修正，若投标人认为需要增加措施项目的，可在措施项目中补充列项及报价并对措施</w:t>
      </w:r>
      <w:r>
        <w:rPr>
          <w:rFonts w:hint="eastAsia" w:ascii="宋体" w:hAnsi="宋体" w:cs="宋体"/>
          <w:b w:val="0"/>
          <w:bCs w:val="0"/>
          <w:color w:val="auto"/>
          <w:sz w:val="24"/>
          <w:highlight w:val="none"/>
          <w:lang w:val="en-US" w:eastAsia="zh-CN"/>
        </w:rPr>
        <w:t>项目</w:t>
      </w:r>
      <w:r>
        <w:rPr>
          <w:rFonts w:hint="eastAsia" w:ascii="宋体" w:hAnsi="宋体" w:eastAsia="宋体" w:cs="宋体"/>
          <w:b w:val="0"/>
          <w:bCs w:val="0"/>
          <w:color w:val="auto"/>
          <w:sz w:val="24"/>
          <w:highlight w:val="none"/>
          <w:lang w:val="en-US" w:eastAsia="zh-CN"/>
        </w:rPr>
        <w:t>清单的准确性和完整性负责。</w:t>
      </w:r>
    </w:p>
    <w:p w14:paraId="04E84D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 采用单价合同的招标工程，投标人应在接收招标文件后，在规定时间内对招标工程量清单的分部分项工程项目清单进行复核。如投标人对分部分项工程项目清单有疑问或异议的，应按招标文件的规定以书面形式提请招标人澄清，招标人核实后作出修正的，投标人应按修正后的分部分项工程项目清单进行投标报价。无论投标人是否已提出疑问或异议，分部分项工程项目清单的完整性和准确性由招标人负责，清单项目或修正后(如有)的清单项目存在工程量清单缺陷的，应按《2024标准》第8.2节的规定调整相关价款及合同总价。</w:t>
      </w:r>
    </w:p>
    <w:p w14:paraId="442AA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17.6 采用总价合同的招标工程，投标人应在接收招标文件后，在规定时间内对招标工程量清单进行复核。如投标人对工程项目清单有疑问或异议的，应按招标文件的规定以书面形式提请招标人澄清，招标人核实后作出修正的投标人应按修正后的工程量清单进行报价。如投标人经复核认为招标工程量清单及其修正后(如有)的分部分项工程项目清单存在工程量清单缺陷的，可在已标价工程量清单的分部分项工程项目清单中进行补充完善及报价，并对已标价分部分项工程项目清单的完整性和准确性负责。无论投标人是否已提出疑问、异议或按已修正后的工程量清单报价、或对分部分项工程项目清单做出补充完善及报价除招标工程量清单说明为暂定数量的单价计价分部分项工程项目清单外，合同价格不应因存在工程量清单缺陷而调整。</w:t>
      </w:r>
    </w:p>
    <w:p w14:paraId="02FD10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17.7 投标人的投标价应包括招标文件中规定的由承包人承担范围及幅度内的风险费用。如招标文件中未明确相关风险责任的，投标人应在接</w:t>
      </w:r>
      <w:r>
        <w:rPr>
          <w:rFonts w:hint="eastAsia" w:ascii="宋体" w:hAnsi="宋体" w:cs="宋体"/>
          <w:b w:val="0"/>
          <w:bCs w:val="0"/>
          <w:color w:val="auto"/>
          <w:sz w:val="24"/>
          <w:highlight w:val="none"/>
          <w:lang w:val="en-US" w:eastAsia="zh-CN"/>
        </w:rPr>
        <w:t>收到</w:t>
      </w:r>
      <w:r>
        <w:rPr>
          <w:rFonts w:hint="eastAsia" w:ascii="宋体" w:hAnsi="宋体" w:eastAsia="宋体" w:cs="宋体"/>
          <w:b w:val="0"/>
          <w:bCs w:val="0"/>
          <w:color w:val="auto"/>
          <w:sz w:val="24"/>
          <w:highlight w:val="none"/>
          <w:lang w:val="en-US" w:eastAsia="zh-CN"/>
        </w:rPr>
        <w:t>招标文件后，在规定的时间内提请招标人明确，招标人应在规定时间内</w:t>
      </w:r>
      <w:r>
        <w:rPr>
          <w:rFonts w:hint="eastAsia" w:ascii="宋体" w:hAnsi="宋体" w:cs="宋体"/>
          <w:b w:val="0"/>
          <w:bCs w:val="0"/>
          <w:color w:val="auto"/>
          <w:sz w:val="24"/>
          <w:highlight w:val="none"/>
          <w:lang w:val="en-US" w:eastAsia="zh-CN"/>
        </w:rPr>
        <w:t>予以</w:t>
      </w:r>
      <w:r>
        <w:rPr>
          <w:rFonts w:hint="eastAsia" w:ascii="宋体" w:hAnsi="宋体" w:eastAsia="宋体" w:cs="宋体"/>
          <w:b w:val="0"/>
          <w:bCs w:val="0"/>
          <w:color w:val="auto"/>
          <w:sz w:val="24"/>
          <w:highlight w:val="none"/>
          <w:lang w:val="en-US" w:eastAsia="zh-CN"/>
        </w:rPr>
        <w:t>书面答复。</w:t>
      </w:r>
    </w:p>
    <w:p w14:paraId="079E58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17.8采用单价合同的工程，投标人应按要求完整填报工程量清单中所有清单项目的综合单价及其合价和(或)总价计价项目的价格，且每个清单项目应只填报一个报价，未按要求填报(漏填或未填)综合单价及其合价和(或)清单项目价格的，宜按《2024标准》第3.5.4条的规定完成相关的投标报价澄清或谈明，相关清单项目报价可视为已包含在投标总价中。</w:t>
      </w:r>
    </w:p>
    <w:p w14:paraId="641CA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17.9 采用总价合同的工程，投标人应按《2024标准》第6.1.7条的定补充完善工程量清单，并完整填报工程量清单中所有清单项目的综合单价及合价和(或)总价计价项目的价格，且每个清单项目应只填报一个报价，未</w:t>
      </w:r>
      <w:r>
        <w:rPr>
          <w:rFonts w:hint="eastAsia" w:ascii="宋体" w:hAnsi="宋体" w:cs="宋体"/>
          <w:b w:val="0"/>
          <w:bCs w:val="0"/>
          <w:color w:val="auto"/>
          <w:sz w:val="24"/>
          <w:highlight w:val="none"/>
          <w:lang w:val="en-US" w:eastAsia="zh-CN"/>
        </w:rPr>
        <w:t>按要</w:t>
      </w:r>
      <w:r>
        <w:rPr>
          <w:rFonts w:hint="eastAsia" w:ascii="宋体" w:hAnsi="宋体" w:eastAsia="宋体" w:cs="宋体"/>
          <w:b w:val="0"/>
          <w:bCs w:val="0"/>
          <w:color w:val="auto"/>
          <w:sz w:val="24"/>
          <w:highlight w:val="none"/>
          <w:lang w:val="en-US" w:eastAsia="zh-CN"/>
        </w:rPr>
        <w:t>求填报(漏填或未填)综合单价及其合价和(或)清单项目价格的，可按《2024标准》第3.5.4条的规定完成相关的投标报价澄清或说明，相关清单项目报价可视为已包含在其他的清单项目中。</w:t>
      </w:r>
    </w:p>
    <w:p w14:paraId="16527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17.10 投标人的投标总价应与分部分项工程项目清单、措施项清单、其他项目清单、增值税的</w:t>
      </w:r>
      <w:r>
        <w:rPr>
          <w:rFonts w:hint="eastAsia" w:ascii="宋体" w:hAnsi="宋体" w:cs="宋体"/>
          <w:b w:val="0"/>
          <w:bCs w:val="0"/>
          <w:color w:val="auto"/>
          <w:sz w:val="24"/>
          <w:highlight w:val="none"/>
          <w:lang w:val="en-US" w:eastAsia="zh-CN"/>
        </w:rPr>
        <w:t>合计</w:t>
      </w:r>
      <w:r>
        <w:rPr>
          <w:rFonts w:hint="eastAsia" w:ascii="宋体" w:hAnsi="宋体" w:eastAsia="宋体" w:cs="宋体"/>
          <w:b w:val="0"/>
          <w:bCs w:val="0"/>
          <w:color w:val="auto"/>
          <w:sz w:val="24"/>
          <w:highlight w:val="none"/>
          <w:lang w:val="en-US" w:eastAsia="zh-CN"/>
        </w:rPr>
        <w:t>总额一致。如投标总价与前述合价总额不符的、应在保持投标总价不变的前提下，按《2024标准》第3.5节的规定调整已标价程量清单。</w:t>
      </w:r>
    </w:p>
    <w:p w14:paraId="0108CF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17.11 投标人的投标总价应与分部分项工程项目清单、措施项清单、其他项目清单、增值税的合计总额一致。如投标总价与前述合价总额不符的、应在保持投标总价不变的前提下，按《2024标准》第3.5节的规定调整已标价程量清单。</w:t>
      </w:r>
    </w:p>
    <w:p w14:paraId="38ECF6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17.12 </w:t>
      </w:r>
      <w:r>
        <w:rPr>
          <w:rFonts w:hint="eastAsia" w:ascii="宋体" w:hAnsi="宋体" w:eastAsia="宋体" w:cs="宋体"/>
          <w:b w:val="0"/>
          <w:bCs w:val="0"/>
          <w:color w:val="auto"/>
          <w:sz w:val="24"/>
          <w:highlight w:val="none"/>
          <w:lang w:val="en-US" w:eastAsia="en-US"/>
        </w:rPr>
        <w:t>预算包干费：根据《建设工程工程量清单计价标准》（GB/T50500-2024）</w:t>
      </w:r>
      <w:r>
        <w:rPr>
          <w:rFonts w:hint="eastAsia" w:ascii="宋体" w:hAnsi="宋体" w:cs="宋体"/>
          <w:b w:val="0"/>
          <w:bCs w:val="0"/>
          <w:color w:val="auto"/>
          <w:sz w:val="24"/>
          <w:highlight w:val="none"/>
          <w:lang w:val="en-US" w:eastAsia="zh-CN"/>
        </w:rPr>
        <w:t>、</w:t>
      </w:r>
      <w:r>
        <w:rPr>
          <w:rFonts w:hint="eastAsia" w:ascii="宋体" w:hAnsi="宋体" w:eastAsia="宋体" w:cs="宋体"/>
          <w:b w:val="0"/>
          <w:bCs w:val="0"/>
          <w:color w:val="auto"/>
          <w:sz w:val="24"/>
          <w:highlight w:val="none"/>
          <w:lang w:val="en-US" w:eastAsia="en-US"/>
        </w:rPr>
        <w:t>《市政工程工程量计算标准》（GB/T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3F6D97D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18</w:t>
      </w:r>
      <w:r>
        <w:rPr>
          <w:rFonts w:hint="eastAsia" w:ascii="宋体" w:hAnsi="宋体" w:eastAsia="宋体" w:cs="宋体"/>
          <w:b/>
          <w:bCs/>
          <w:color w:val="auto"/>
          <w:sz w:val="24"/>
          <w:highlight w:val="none"/>
        </w:rPr>
        <w:t>.投标有效期</w:t>
      </w:r>
    </w:p>
    <w:p w14:paraId="1C1DF45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 投标有效期从提交投标文件的截止之日起算。本招标工程投标有效期见本投标人须知前附表规定的期限，在此期间，凡符合本招标文件要求的投标文件均保持有效。</w:t>
      </w:r>
    </w:p>
    <w:p w14:paraId="1637B34D">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 在投标有效期结束前出现特殊情况的，</w:t>
      </w:r>
      <w:r>
        <w:rPr>
          <w:rFonts w:hint="eastAsia" w:ascii="宋体" w:hAnsi="宋体" w:eastAsia="宋体" w:cs="宋体"/>
          <w:color w:val="auto"/>
          <w:kern w:val="0"/>
          <w:sz w:val="24"/>
          <w:highlight w:val="none"/>
        </w:rPr>
        <w:t>招标人可形成延长投标有效期的书面文件</w:t>
      </w:r>
      <w:r>
        <w:rPr>
          <w:rFonts w:hint="eastAsia" w:ascii="宋体" w:hAnsi="宋体" w:eastAsia="宋体" w:cs="宋体"/>
          <w:color w:val="auto"/>
          <w:sz w:val="24"/>
          <w:highlight w:val="none"/>
        </w:rPr>
        <w:t>报招标管理部门备案后在网上发布告知所有投标人</w:t>
      </w:r>
      <w:r>
        <w:rPr>
          <w:rFonts w:hint="eastAsia" w:ascii="宋体" w:hAnsi="宋体" w:eastAsia="宋体" w:cs="宋体"/>
          <w:color w:val="auto"/>
          <w:kern w:val="0"/>
          <w:sz w:val="24"/>
          <w:highlight w:val="none"/>
        </w:rPr>
        <w:t>。投标人同意延长的，不得要求或者被允许修改其投标文件的实质性内容，但应当相应延长其投标保证金的有效期；投标人拒绝延长的，其投标无效，但投标人有权收回其投标保证金。</w:t>
      </w:r>
    </w:p>
    <w:p w14:paraId="1E796BF3">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highlight w:val="none"/>
          <w:lang w:val="en-US" w:eastAsia="zh-CN"/>
        </w:rPr>
        <w:t>绿色建筑与装配式</w:t>
      </w:r>
    </w:p>
    <w:p w14:paraId="3FC075F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spacing w:val="0"/>
          <w:sz w:val="24"/>
          <w:szCs w:val="24"/>
          <w:highlight w:val="none"/>
          <w:lang w:val="en-US" w:eastAsia="zh-CN"/>
        </w:rPr>
        <w:t>9.1根据韶关市人民政府《关于加快推进全市绿色建筑发展工作的通知》（韶府办明电〔2013〕277号）及《韶关市住建管理局关于贯彻落实&lt;广东省绿色建筑条例&gt;有关工作的通知》（韶市建字〔2021〕85号）等有关规定，</w:t>
      </w:r>
      <w:r>
        <w:rPr>
          <w:rFonts w:hint="eastAsia" w:ascii="宋体" w:hAnsi="宋体" w:cs="宋体"/>
          <w:color w:val="auto"/>
          <w:spacing w:val="0"/>
          <w:sz w:val="24"/>
          <w:szCs w:val="24"/>
          <w:highlight w:val="none"/>
          <w:lang w:val="en-US" w:eastAsia="zh-CN"/>
        </w:rPr>
        <w:t>本招标项目不纳入绿色建设实施范围</w:t>
      </w:r>
      <w:r>
        <w:rPr>
          <w:rFonts w:hint="eastAsia" w:ascii="宋体" w:hAnsi="宋体" w:eastAsia="宋体" w:cs="宋体"/>
          <w:color w:val="auto"/>
          <w:spacing w:val="0"/>
          <w:sz w:val="24"/>
          <w:szCs w:val="24"/>
          <w:highlight w:val="none"/>
          <w:lang w:val="en-US" w:eastAsia="zh-CN"/>
        </w:rPr>
        <w:t>。</w:t>
      </w:r>
    </w:p>
    <w:p w14:paraId="19A9458C">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19.2 根据《韶关市人民政府办公厅关于大力发展装配式建筑的实施意见》（韶府办〔2019〕25号）等文件要求，本招标项目不纳入装配式建造建设实施范围。</w:t>
      </w:r>
    </w:p>
    <w:p w14:paraId="045B0319">
      <w:pPr>
        <w:keepNext w:val="0"/>
        <w:keepLines w:val="0"/>
        <w:pageBreakBefore w:val="0"/>
        <w:widowControl/>
        <w:kinsoku/>
        <w:wordWrap/>
        <w:overflowPunct/>
        <w:topLinePunct w:val="0"/>
        <w:bidi w:val="0"/>
        <w:adjustRightInd/>
        <w:snapToGrid/>
        <w:spacing w:line="400" w:lineRule="exact"/>
        <w:ind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投标保证金</w:t>
      </w:r>
    </w:p>
    <w:p w14:paraId="64D04C71">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 投标人应按本投标人须知前附表所规定的数额和方式提交投标保证金，</w:t>
      </w:r>
      <w:r>
        <w:rPr>
          <w:rFonts w:hint="eastAsia" w:ascii="宋体" w:hAnsi="宋体" w:eastAsia="宋体" w:cs="宋体"/>
          <w:color w:val="auto"/>
          <w:sz w:val="24"/>
          <w:highlight w:val="none"/>
          <w:lang w:eastAsia="zh-CN"/>
        </w:rPr>
        <w:t>不按照</w:t>
      </w:r>
      <w:r>
        <w:rPr>
          <w:rFonts w:hint="eastAsia" w:ascii="宋体" w:hAnsi="宋体" w:eastAsia="宋体" w:cs="宋体"/>
          <w:color w:val="auto"/>
          <w:sz w:val="24"/>
          <w:highlight w:val="none"/>
        </w:rPr>
        <w:t>招标文件要求提交投标保证金</w:t>
      </w:r>
      <w:r>
        <w:rPr>
          <w:rFonts w:hint="eastAsia" w:ascii="宋体" w:hAnsi="宋体" w:eastAsia="宋体" w:cs="宋体"/>
          <w:color w:val="auto"/>
          <w:sz w:val="24"/>
          <w:highlight w:val="none"/>
          <w:lang w:eastAsia="zh-CN"/>
        </w:rPr>
        <w:t>的投标人</w:t>
      </w:r>
      <w:r>
        <w:rPr>
          <w:rFonts w:hint="eastAsia" w:ascii="宋体" w:hAnsi="宋体" w:eastAsia="宋体" w:cs="宋体"/>
          <w:color w:val="auto"/>
          <w:sz w:val="24"/>
          <w:highlight w:val="none"/>
        </w:rPr>
        <w:t>不得进入资格后审和评标；投标保证金有效期应当与投标有效期一致。</w:t>
      </w:r>
    </w:p>
    <w:p w14:paraId="7E641017">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联合体投标的，应当以联合体各方或者联合体中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人的名义提交投标保证金。以联合体中</w:t>
      </w:r>
      <w:r>
        <w:rPr>
          <w:rFonts w:hint="eastAsia" w:ascii="宋体" w:hAnsi="宋体" w:eastAsia="宋体" w:cs="宋体"/>
          <w:color w:val="auto"/>
          <w:sz w:val="24"/>
          <w:highlight w:val="none"/>
          <w:lang w:val="en-US" w:eastAsia="zh-CN"/>
        </w:rPr>
        <w:t>牵头</w:t>
      </w:r>
      <w:r>
        <w:rPr>
          <w:rFonts w:hint="eastAsia" w:ascii="宋体" w:hAnsi="宋体" w:eastAsia="宋体" w:cs="宋体"/>
          <w:color w:val="auto"/>
          <w:sz w:val="24"/>
          <w:highlight w:val="none"/>
        </w:rPr>
        <w:t>人名义提交的投标保证金，对联合体各成员具有约束力。</w:t>
      </w:r>
    </w:p>
    <w:p w14:paraId="5D810731">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pacing w:val="0"/>
          <w:sz w:val="24"/>
          <w:szCs w:val="24"/>
          <w:highlight w:val="none"/>
        </w:rPr>
        <w:t>设有投标保证金的，</w:t>
      </w:r>
      <w:r>
        <w:rPr>
          <w:rFonts w:hint="eastAsia" w:ascii="宋体" w:hAnsi="宋体" w:eastAsia="宋体" w:cs="宋体"/>
          <w:color w:val="auto"/>
          <w:kern w:val="0"/>
          <w:sz w:val="24"/>
          <w:szCs w:val="24"/>
          <w:highlight w:val="none"/>
          <w:u w:val="none"/>
        </w:rPr>
        <w:t>招标人应当在中标通知书发出之日起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日内将投标保证金及银行同期存款利息退回中标候选人以外的投标人，在书面合同订立之日起</w:t>
      </w:r>
      <w:r>
        <w:rPr>
          <w:rFonts w:hint="eastAsia" w:ascii="宋体" w:hAnsi="宋体" w:eastAsia="宋体" w:cs="宋体"/>
          <w:color w:val="auto"/>
          <w:kern w:val="0"/>
          <w:sz w:val="24"/>
          <w:szCs w:val="24"/>
          <w:highlight w:val="none"/>
          <w:u w:val="none"/>
          <w:lang w:val="en-US" w:eastAsia="zh-CN"/>
        </w:rPr>
        <w:t>5</w:t>
      </w:r>
      <w:r>
        <w:rPr>
          <w:rFonts w:hint="eastAsia" w:ascii="宋体" w:hAnsi="宋体" w:eastAsia="宋体" w:cs="宋体"/>
          <w:color w:val="auto"/>
          <w:kern w:val="0"/>
          <w:sz w:val="24"/>
          <w:szCs w:val="24"/>
          <w:highlight w:val="none"/>
          <w:u w:val="none"/>
        </w:rPr>
        <w:t>日内将投标保证金及银行同期存款利息退回中标人和其他中标候选人。</w:t>
      </w:r>
    </w:p>
    <w:p w14:paraId="280880FC">
      <w:pPr>
        <w:pStyle w:val="31"/>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有下列情形之一，招标人应在发生后5个工作日内全额退还投标人的投标保证金及银行同期存款利息：</w:t>
      </w:r>
    </w:p>
    <w:p w14:paraId="379BE6A0">
      <w:pPr>
        <w:pStyle w:val="31"/>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（1）招标终止</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招标失败需要重新招标；</w:t>
      </w:r>
    </w:p>
    <w:p w14:paraId="26DCA35F">
      <w:pPr>
        <w:pStyle w:val="31"/>
        <w:keepNext w:val="0"/>
        <w:keepLines w:val="0"/>
        <w:pageBreakBefore w:val="0"/>
        <w:kinsoku/>
        <w:wordWrap/>
        <w:overflowPunct/>
        <w:topLinePunct w:val="0"/>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（2）投标人拒绝在投标有效期限终止之后延长投标有效期限。</w:t>
      </w:r>
    </w:p>
    <w:p w14:paraId="25F325C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有下列情形之一，招标人可以没收投标人的投标保证金：</w:t>
      </w:r>
    </w:p>
    <w:p w14:paraId="45C975EF">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在投标截止时间之后至投标有效期限终止期间撤回投标文件的；</w:t>
      </w:r>
    </w:p>
    <w:p w14:paraId="4E66EE4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中标人无正当理由放弃中标或未能在规定期限内提交履约担保或不与招标人签订承包合同或在签订合同时向招标人提出附加条件的；</w:t>
      </w:r>
    </w:p>
    <w:p w14:paraId="7301A89A">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由于违法行为被取消投标资格、中标无效的；</w:t>
      </w:r>
    </w:p>
    <w:p w14:paraId="3C41860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法律、法规、规章或招标文件规定可以没收投标保证金的其他情形。</w:t>
      </w:r>
      <w:r>
        <w:rPr>
          <w:rFonts w:hint="eastAsia" w:ascii="宋体" w:hAnsi="宋体" w:eastAsia="宋体" w:cs="宋体"/>
          <w:b/>
          <w:color w:val="auto"/>
          <w:sz w:val="24"/>
          <w:highlight w:val="none"/>
        </w:rPr>
        <w:t xml:space="preserve">      </w:t>
      </w:r>
    </w:p>
    <w:p w14:paraId="425FAA5B">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.投标文件提交</w:t>
      </w:r>
    </w:p>
    <w:p w14:paraId="0BE4C032">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投标人应按照投标人须知前附表要求，在投标文件提交截止时间前，投标人通过全国公共资源交易平台（广东省·韶关市）（https://ygp.gdzwfw.gov.cn/ggzy-portal/#/440200/index）提交已加密投标文件。逾期提交的电子投标文件，全国公共资源交易平台（广东省·韶关市）（https://ygp.gdzwfw.gov.cn/ggzy-portal/#/440200/index）将予以拒收。</w:t>
      </w:r>
    </w:p>
    <w:p w14:paraId="1B919723">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 在建设工程交易系统上传加盖了电子印章的投标文件、录入相关信息及标书页码信息，并提交投标标书。提交标书为已加密投标文件。具体操作参照《韶关市公共资源一体化平台——建设工程交易投标人操作指南（电子评标）V1.6》。本项目评标采用全流程电子化进行招标投标（投标人应根据韶关市公共资源建设工程交易系统-招标人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1C779F45">
      <w:pPr>
        <w:keepNext w:val="0"/>
        <w:keepLines w:val="0"/>
        <w:pageBreakBefore w:val="0"/>
        <w:widowControl w:val="0"/>
        <w:shd w:val="clear" w:color="auto" w:fill="auto"/>
        <w:kinsoku w:val="0"/>
        <w:wordWrap w:val="0"/>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 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1833FE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highlight w:val="none"/>
          <w:lang w:val="en-US" w:eastAsia="zh-CN"/>
        </w:rPr>
        <w:t xml:space="preserve"> 若</w:t>
      </w:r>
      <w:r>
        <w:rPr>
          <w:rFonts w:hint="eastAsia" w:ascii="宋体" w:hAnsi="宋体" w:eastAsia="宋体" w:cs="宋体"/>
          <w:color w:val="auto"/>
          <w:sz w:val="24"/>
          <w:szCs w:val="24"/>
          <w:highlight w:val="none"/>
          <w:lang w:val="en-US" w:eastAsia="zh-CN"/>
        </w:rPr>
        <w:t>招标文件要求提交的用于评审的证书、证件、证明原件的，投标人应自行将所需原件密封于文件袋（箱）中，并自行准备两张“原件一览表”(详见格式十六，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p w14:paraId="4B9CC06C">
      <w:pPr>
        <w:pStyle w:val="5"/>
        <w:bidi w:val="0"/>
        <w:rPr>
          <w:rFonts w:hint="eastAsia" w:ascii="宋体" w:hAnsi="宋体" w:eastAsia="宋体" w:cs="宋体"/>
          <w:color w:val="auto"/>
        </w:rPr>
      </w:pPr>
      <w:bookmarkStart w:id="24" w:name="_Toc20998"/>
      <w:r>
        <w:rPr>
          <w:rFonts w:hint="eastAsia" w:ascii="宋体" w:hAnsi="宋体" w:eastAsia="宋体" w:cs="宋体"/>
          <w:color w:val="auto"/>
        </w:rPr>
        <w:t>（</w:t>
      </w:r>
      <w:r>
        <w:rPr>
          <w:rFonts w:hint="eastAsia" w:ascii="宋体" w:hAnsi="宋体" w:eastAsia="宋体" w:cs="宋体"/>
          <w:color w:val="auto"/>
          <w:lang w:eastAsia="zh-CN"/>
        </w:rPr>
        <w:t>五</w:t>
      </w:r>
      <w:r>
        <w:rPr>
          <w:rFonts w:hint="eastAsia" w:ascii="宋体" w:hAnsi="宋体" w:eastAsia="宋体" w:cs="宋体"/>
          <w:color w:val="auto"/>
        </w:rPr>
        <w:t>） 开标规定</w:t>
      </w:r>
      <w:bookmarkEnd w:id="24"/>
    </w:p>
    <w:p w14:paraId="42265933">
      <w:pPr>
        <w:pStyle w:val="13"/>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开标</w:t>
      </w:r>
    </w:p>
    <w:p w14:paraId="3A0B0A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招标人邀请所有正确获取招标文件、电子投标、缴纳投标保证的投标人参加开标，投标人可自主决定是否参加。投标人可</w:t>
      </w:r>
      <w:r>
        <w:rPr>
          <w:rFonts w:hint="eastAsia" w:ascii="宋体" w:hAnsi="宋体" w:cs="宋体"/>
          <w:color w:val="auto"/>
          <w:sz w:val="24"/>
          <w:highlight w:val="none"/>
          <w:lang w:eastAsia="zh-CN"/>
        </w:rPr>
        <w:t>登录</w:t>
      </w:r>
      <w:r>
        <w:rPr>
          <w:rFonts w:hint="eastAsia" w:ascii="宋体" w:hAnsi="宋体" w:eastAsia="宋体" w:cs="宋体"/>
          <w:color w:val="auto"/>
          <w:sz w:val="24"/>
          <w:highlight w:val="none"/>
        </w:rPr>
        <w:t>交易平台观看开标实况、提出异议或进行澄清、确认等操作（具体按招标文件和系统操作手册为准）。投标人不参加开标的，视其默认开标结果，以及放弃在开标期间见证、监督、投诉、申辩的权利。</w:t>
      </w:r>
    </w:p>
    <w:p w14:paraId="3231B7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22.1.1开标时间和地点：见本章第二节“重要事项时间地点一览表”。</w:t>
      </w:r>
    </w:p>
    <w:p w14:paraId="6F55AECE">
      <w:pPr>
        <w:keepNext w:val="0"/>
        <w:keepLines w:val="0"/>
        <w:pageBreakBefore w:val="0"/>
        <w:widowControl w:val="0"/>
        <w:kinsoku w:val="0"/>
        <w:wordWrap w:val="0"/>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22.1.2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28B4A72E">
      <w:pPr>
        <w:keepNext w:val="0"/>
        <w:keepLines w:val="0"/>
        <w:pageBreakBefore w:val="0"/>
        <w:widowControl w:val="0"/>
        <w:kinsoku w:val="0"/>
        <w:wordWrap w:val="0"/>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22.1.3本项目实行全流程电子化招标投标，投标人在交易平台按要求上传加盖电子印章并经加密的电子投标文件，并在交易平台录入准确的页码信息即可完成在线投标。由于投标人原因导致未按投标</w:t>
      </w:r>
      <w:r>
        <w:rPr>
          <w:rFonts w:hint="eastAsia" w:ascii="宋体" w:hAnsi="宋体" w:cs="宋体"/>
          <w:color w:val="auto"/>
          <w:sz w:val="24"/>
          <w:highlight w:val="none"/>
          <w:lang w:val="en-US" w:eastAsia="zh-CN"/>
        </w:rPr>
        <w:t>截止</w:t>
      </w:r>
      <w:r>
        <w:rPr>
          <w:rFonts w:hint="eastAsia" w:ascii="宋体" w:hAnsi="宋体" w:eastAsia="宋体" w:cs="宋体"/>
          <w:color w:val="auto"/>
          <w:sz w:val="24"/>
          <w:highlight w:val="none"/>
          <w:lang w:val="en-US" w:eastAsia="zh-CN"/>
        </w:rPr>
        <w:t>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5ACB4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strike w:val="0"/>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lang w:eastAsia="zh-CN"/>
        </w:rPr>
        <w:t>本项目的开标起始时间即为投标人递交</w:t>
      </w:r>
      <w:r>
        <w:rPr>
          <w:rFonts w:hint="eastAsia" w:ascii="宋体" w:hAnsi="宋体" w:eastAsia="宋体" w:cs="宋体"/>
          <w:b w:val="0"/>
          <w:bCs w:val="0"/>
          <w:color w:val="auto"/>
          <w:sz w:val="24"/>
          <w:szCs w:val="24"/>
          <w:highlight w:val="none"/>
          <w:lang w:val="en-US" w:eastAsia="zh-CN"/>
        </w:rPr>
        <w:t>投标文件的截止时间。投标人使用全国互认CA的，必须由投标人自行解密外，投标人电子</w:t>
      </w:r>
      <w:r>
        <w:rPr>
          <w:rFonts w:hint="eastAsia" w:ascii="宋体" w:hAnsi="宋体" w:eastAsia="宋体" w:cs="宋体"/>
          <w:color w:val="auto"/>
          <w:sz w:val="24"/>
          <w:szCs w:val="24"/>
          <w:highlight w:val="none"/>
          <w:lang w:val="en-US" w:eastAsia="zh-CN"/>
        </w:rPr>
        <w:t>投标信息由招标代理进行解密，建设工程交易系统自动生成《投标保证缴纳情况表》和《开标一览表》。</w:t>
      </w:r>
    </w:p>
    <w:p w14:paraId="162C0C1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开标由招标人或其招标代理机构主持，其程序如下：</w:t>
      </w:r>
    </w:p>
    <w:p w14:paraId="1E04A7FA">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（1）主持人（招标人代表或招标人授权的招标代理机构人员）宣读开标纪律。</w:t>
      </w:r>
    </w:p>
    <w:p w14:paraId="5D4F8775">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（2）主持人宣布唱标人、记录人、见证人、监督人等有关人员姓名。</w:t>
      </w:r>
    </w:p>
    <w:p w14:paraId="621FF29A">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（3）招标代理机构会同交易场所工作人员对投标人的电子投标信息进行解密，建设工程交易系统自动生成《投标保证缴纳情况表》和《开标一览表》。</w:t>
      </w:r>
    </w:p>
    <w:p w14:paraId="39FC9CAE">
      <w:pPr>
        <w:keepNext w:val="0"/>
        <w:keepLines w:val="0"/>
        <w:pageBreakBefore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strike w:val="0"/>
          <w:dstrike w:val="0"/>
          <w:color w:val="auto"/>
          <w:sz w:val="24"/>
          <w:highlight w:val="none"/>
        </w:rPr>
      </w:pPr>
      <w:r>
        <w:rPr>
          <w:rFonts w:hint="eastAsia" w:ascii="宋体" w:hAnsi="宋体" w:eastAsia="宋体" w:cs="宋体"/>
          <w:strike w:val="0"/>
          <w:dstrike w:val="0"/>
          <w:color w:val="auto"/>
          <w:sz w:val="24"/>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EEA78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lang w:val="en-US" w:eastAsia="zh-CN"/>
        </w:rPr>
        <w:t>开标会上，符合要求的</w:t>
      </w:r>
      <w:r>
        <w:rPr>
          <w:rFonts w:hint="eastAsia" w:ascii="宋体" w:hAnsi="宋体" w:eastAsia="宋体" w:cs="宋体"/>
          <w:color w:val="auto"/>
          <w:sz w:val="24"/>
          <w:szCs w:val="24"/>
          <w:highlight w:val="none"/>
        </w:rPr>
        <w:t>投标人少于3</w:t>
      </w:r>
      <w:r>
        <w:rPr>
          <w:rFonts w:hint="eastAsia" w:ascii="宋体" w:hAnsi="宋体" w:eastAsia="宋体" w:cs="宋体"/>
          <w:color w:val="auto"/>
          <w:sz w:val="24"/>
          <w:szCs w:val="24"/>
          <w:highlight w:val="none"/>
          <w:lang w:eastAsia="zh-CN"/>
        </w:rPr>
        <w:t>家时</w:t>
      </w:r>
      <w:r>
        <w:rPr>
          <w:rFonts w:hint="eastAsia" w:ascii="宋体" w:hAnsi="宋体" w:eastAsia="宋体" w:cs="宋体"/>
          <w:color w:val="auto"/>
          <w:sz w:val="24"/>
          <w:szCs w:val="24"/>
          <w:highlight w:val="none"/>
        </w:rPr>
        <w:t>，该项目招标失败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招标人应依法重新招标或</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5331F17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763BD4ED">
      <w:pPr>
        <w:pStyle w:val="5"/>
        <w:bidi w:val="0"/>
        <w:rPr>
          <w:rFonts w:hint="eastAsia" w:ascii="宋体" w:hAnsi="宋体" w:eastAsia="宋体" w:cs="宋体"/>
          <w:b/>
          <w:color w:val="auto"/>
          <w:sz w:val="24"/>
          <w:highlight w:val="none"/>
        </w:rPr>
      </w:pPr>
      <w:bookmarkStart w:id="25" w:name="_Toc12314"/>
      <w:r>
        <w:rPr>
          <w:rFonts w:hint="eastAsia" w:ascii="宋体" w:hAnsi="宋体" w:eastAsia="宋体" w:cs="宋体"/>
          <w:color w:val="auto"/>
        </w:rPr>
        <w:t>（</w:t>
      </w:r>
      <w:r>
        <w:rPr>
          <w:rFonts w:hint="eastAsia" w:ascii="宋体" w:hAnsi="宋体" w:eastAsia="宋体" w:cs="宋体"/>
          <w:color w:val="auto"/>
          <w:lang w:eastAsia="zh-CN"/>
        </w:rPr>
        <w:t>六</w:t>
      </w:r>
      <w:r>
        <w:rPr>
          <w:rFonts w:hint="eastAsia" w:ascii="宋体" w:hAnsi="宋体" w:eastAsia="宋体" w:cs="宋体"/>
          <w:color w:val="auto"/>
        </w:rPr>
        <w:t>）评标</w:t>
      </w:r>
      <w:r>
        <w:rPr>
          <w:rFonts w:hint="eastAsia" w:ascii="宋体" w:hAnsi="宋体" w:eastAsia="宋体" w:cs="宋体"/>
          <w:color w:val="auto"/>
          <w:lang w:eastAsia="zh-CN"/>
        </w:rPr>
        <w:t>规定</w:t>
      </w:r>
      <w:bookmarkEnd w:id="25"/>
    </w:p>
    <w:p w14:paraId="4B32677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lang w:eastAsia="zh-CN"/>
        </w:rPr>
        <w:t>评标委员会</w:t>
      </w:r>
    </w:p>
    <w:p w14:paraId="2C3E3B69">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.1 </w:t>
      </w:r>
      <w:r>
        <w:rPr>
          <w:rFonts w:hint="eastAsia" w:ascii="宋体" w:hAnsi="宋体" w:eastAsia="宋体" w:cs="宋体"/>
          <w:b w:val="0"/>
          <w:bCs w:val="0"/>
          <w:color w:val="auto"/>
          <w:sz w:val="24"/>
          <w:szCs w:val="24"/>
          <w:highlight w:val="none"/>
          <w:lang w:eastAsia="zh-CN"/>
        </w:rPr>
        <w:t>本项目采用韶关市公共资源交易中心交易系统电子评标。</w:t>
      </w:r>
      <w:r>
        <w:rPr>
          <w:rFonts w:hint="eastAsia" w:ascii="宋体" w:hAnsi="宋体" w:eastAsia="宋体" w:cs="宋体"/>
          <w:color w:val="auto"/>
          <w:sz w:val="24"/>
          <w:highlight w:val="none"/>
        </w:rPr>
        <w:t>评标委员会由招标人依法组建，</w:t>
      </w:r>
      <w:r>
        <w:rPr>
          <w:rFonts w:hint="eastAsia" w:ascii="宋体" w:hAnsi="宋体" w:eastAsia="宋体" w:cs="宋体"/>
          <w:color w:val="auto"/>
          <w:sz w:val="24"/>
          <w:highlight w:val="none"/>
          <w:lang w:eastAsia="zh-CN"/>
        </w:rPr>
        <w:t>其中，</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，招标人应</w:t>
      </w:r>
      <w:r>
        <w:rPr>
          <w:rFonts w:hint="eastAsia" w:ascii="宋体" w:hAnsi="宋体" w:eastAsia="宋体" w:cs="宋体"/>
          <w:color w:val="auto"/>
          <w:kern w:val="0"/>
          <w:sz w:val="24"/>
          <w:szCs w:val="24"/>
          <w:highlight w:val="none"/>
        </w:rPr>
        <w:t>合理确定主场、副场评标专家专业类别及专家人数，依法组建</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kern w:val="0"/>
          <w:sz w:val="24"/>
          <w:szCs w:val="24"/>
          <w:highlight w:val="none"/>
        </w:rPr>
        <w:t>，并在规定时间内抽取专家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highlight w:val="none"/>
        </w:rPr>
        <w:t>其组成人员数见本投标人须知前附表。委员会成员按有关规定从广东省综合评标评审专家库</w:t>
      </w:r>
      <w:r>
        <w:rPr>
          <w:rFonts w:hint="eastAsia" w:ascii="宋体" w:hAnsi="宋体" w:eastAsia="宋体" w:cs="宋体"/>
          <w:snapToGrid w:val="0"/>
          <w:color w:val="auto"/>
          <w:kern w:val="0"/>
          <w:sz w:val="24"/>
          <w:szCs w:val="24"/>
          <w:highlight w:val="none"/>
          <w:lang w:eastAsia="zh-CN"/>
        </w:rPr>
        <w:t>—韶关区域中</w:t>
      </w:r>
      <w:r>
        <w:rPr>
          <w:rFonts w:hint="eastAsia" w:ascii="宋体" w:hAnsi="宋体" w:eastAsia="宋体" w:cs="宋体"/>
          <w:color w:val="auto"/>
          <w:sz w:val="24"/>
          <w:highlight w:val="none"/>
        </w:rPr>
        <w:t>随机抽取，并从中推选出</w:t>
      </w:r>
      <w:r>
        <w:rPr>
          <w:rFonts w:hint="eastAsia" w:ascii="宋体" w:hAnsi="宋体" w:eastAsia="宋体" w:cs="宋体"/>
          <w:color w:val="auto"/>
          <w:sz w:val="24"/>
          <w:highlight w:val="none"/>
          <w:lang w:eastAsia="zh-CN"/>
        </w:rPr>
        <w:t>评标委员会组长</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组长</w:t>
      </w:r>
      <w:r>
        <w:rPr>
          <w:rFonts w:hint="eastAsia" w:ascii="宋体" w:hAnsi="宋体" w:eastAsia="宋体" w:cs="宋体"/>
          <w:color w:val="auto"/>
          <w:sz w:val="24"/>
          <w:highlight w:val="none"/>
        </w:rPr>
        <w:t>主持</w:t>
      </w:r>
      <w:r>
        <w:rPr>
          <w:rFonts w:hint="eastAsia" w:ascii="宋体" w:hAnsi="宋体" w:eastAsia="宋体" w:cs="宋体"/>
          <w:color w:val="auto"/>
          <w:sz w:val="24"/>
          <w:highlight w:val="none"/>
          <w:lang w:eastAsia="zh-CN"/>
        </w:rPr>
        <w:t>评标</w:t>
      </w:r>
      <w:r>
        <w:rPr>
          <w:rFonts w:hint="eastAsia" w:ascii="宋体" w:hAnsi="宋体" w:eastAsia="宋体" w:cs="宋体"/>
          <w:color w:val="auto"/>
          <w:sz w:val="24"/>
          <w:highlight w:val="none"/>
        </w:rPr>
        <w:t>工作。</w:t>
      </w:r>
    </w:p>
    <w:p w14:paraId="7987FFA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招标人可以派代表参加评标委员会，原则上以一人为限，该代表应为招标人的正式员工，且具备国家和省规定的评标专家条件和要求，但不得担任评标委员会负责人，不得接受评标报酬，不得以任何方式影响其他评标专家独立评审。</w:t>
      </w:r>
    </w:p>
    <w:p w14:paraId="6246A45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评标专家</w:t>
      </w:r>
      <w:r>
        <w:rPr>
          <w:rFonts w:hint="eastAsia" w:ascii="宋体" w:hAnsi="宋体" w:eastAsia="宋体" w:cs="宋体"/>
          <w:color w:val="auto"/>
          <w:sz w:val="24"/>
          <w:highlight w:val="none"/>
        </w:rPr>
        <w:t>应按时参加评标活动，自觉遵守工作纪律和服从现场管理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主场、副场各自负责本场所</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成员推举产生</w:t>
      </w:r>
      <w:r>
        <w:rPr>
          <w:rFonts w:hint="eastAsia" w:ascii="宋体" w:hAnsi="宋体" w:eastAsia="宋体" w:cs="宋体"/>
          <w:color w:val="auto"/>
          <w:sz w:val="24"/>
          <w:highlight w:val="none"/>
          <w:lang w:eastAsia="zh-CN"/>
        </w:rPr>
        <w:t>的评标委员会组长</w:t>
      </w:r>
      <w:r>
        <w:rPr>
          <w:rFonts w:hint="eastAsia" w:ascii="宋体" w:hAnsi="宋体" w:eastAsia="宋体" w:cs="宋体"/>
          <w:color w:val="auto"/>
          <w:sz w:val="24"/>
          <w:highlight w:val="none"/>
        </w:rPr>
        <w:t>组织</w:t>
      </w:r>
      <w:r>
        <w:rPr>
          <w:rFonts w:hint="eastAsia" w:ascii="宋体" w:hAnsi="宋体" w:eastAsia="宋体" w:cs="宋体"/>
          <w:color w:val="auto"/>
          <w:sz w:val="24"/>
          <w:highlight w:val="none"/>
          <w:lang w:eastAsia="zh-CN"/>
        </w:rPr>
        <w:t>各</w:t>
      </w:r>
      <w:r>
        <w:rPr>
          <w:rFonts w:hint="eastAsia" w:ascii="宋体" w:hAnsi="宋体" w:eastAsia="宋体" w:cs="宋体"/>
          <w:color w:val="auto"/>
          <w:sz w:val="24"/>
          <w:highlight w:val="none"/>
        </w:rPr>
        <w:t>成员协商讨论。在评标过程中需要进行讨论或者通过实名投票方式表决意见的，应当通过视频会议系统进行，并做好相关记录。</w:t>
      </w:r>
    </w:p>
    <w:p w14:paraId="1398D94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cs="宋体"/>
          <w:color w:val="auto"/>
          <w:sz w:val="24"/>
          <w:highlight w:val="none"/>
          <w:lang w:eastAsia="zh-CN"/>
        </w:rPr>
        <w:t>并</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58E550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46CC86A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67AEB31A">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．评标过程的回避</w:t>
      </w:r>
    </w:p>
    <w:p w14:paraId="1EB050F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.1 </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专家参加评标活动时实行主动回避制度。有下列情形之一的，应当主动提出回避，不得担任该招标项目的</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成员。</w:t>
      </w:r>
    </w:p>
    <w:p w14:paraId="4B1747E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（1）投标人或者投标人主要负责人的近亲属；</w:t>
      </w:r>
    </w:p>
    <w:p w14:paraId="25F9A712">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（2）项目行政监督部门的人员；</w:t>
      </w:r>
    </w:p>
    <w:p w14:paraId="10DF352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（3）与投标人有其他社会关系或者经济利益关系，可能影响对投标公正评审的； </w:t>
      </w:r>
    </w:p>
    <w:p w14:paraId="795832D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（4）曾因在招标、评标以及其他与招标投标有关活动中从事违法行为而受过行政处罚或刑事处罚的。 </w:t>
      </w:r>
    </w:p>
    <w:p w14:paraId="23A88A1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　</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2491705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.3 </w:t>
      </w:r>
      <w:r>
        <w:rPr>
          <w:rFonts w:hint="eastAsia" w:ascii="宋体" w:hAnsi="宋体" w:eastAsia="宋体" w:cs="宋体"/>
          <w:color w:val="auto"/>
          <w:kern w:val="0"/>
          <w:sz w:val="24"/>
          <w:highlight w:val="none"/>
        </w:rPr>
        <w:t>有下列情形之一的，经招标人与公共资源交易中心审核确认后，</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kern w:val="0"/>
          <w:sz w:val="24"/>
          <w:highlight w:val="none"/>
        </w:rPr>
        <w:t>专家应按规定重新抽取。</w:t>
      </w:r>
    </w:p>
    <w:p w14:paraId="0B7E4DC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（1）已抽取的评标专家与评标的项目有利害关系，可能会妨碍公正评审；</w:t>
      </w:r>
    </w:p>
    <w:p w14:paraId="52AA34F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（2）由于原评标专家的违规行为，评标无效，评标活动需重新组织；</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（3）已抽取的评标专家未能参加评标活动或未能按时完成评标任务。</w:t>
      </w:r>
    </w:p>
    <w:p w14:paraId="1DB7B590">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 评标过程的保密</w:t>
      </w:r>
    </w:p>
    <w:p w14:paraId="2C83608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.1  开标后，直至授予中标人合同为止，凡属于对投标人文件的审查、澄清、评价和比较有关的资料及与中标候选人的推荐情况，与评标有关的其他任何情况均应严格保密。</w:t>
      </w:r>
    </w:p>
    <w:p w14:paraId="64A535A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.2  在投标文件的评审和比较、中标候选人推荐以及授予合同的过程中，投标人向招标人和评标委员会施加影响的任何行为，都将会导致其投标被拒绝。</w:t>
      </w:r>
    </w:p>
    <w:p w14:paraId="31FC48A6">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25</w:t>
      </w:r>
      <w:r>
        <w:rPr>
          <w:rFonts w:hint="eastAsia" w:ascii="宋体" w:hAnsi="宋体" w:eastAsia="宋体" w:cs="宋体"/>
          <w:color w:val="auto"/>
          <w:kern w:val="0"/>
          <w:sz w:val="24"/>
          <w:highlight w:val="none"/>
        </w:rPr>
        <w:t>.3  中标人确定后，招标人不对未中标人就评标过程以及未能中标原因作出任何解释。未中标人不得向评标委员会组成人员或其他有关人员索问评标过程的情况和材料。</w:t>
      </w:r>
    </w:p>
    <w:p w14:paraId="67D5E73E">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．评标办法（评标办法见本招标文件第三章）</w:t>
      </w:r>
    </w:p>
    <w:p w14:paraId="0A8582E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本工程评标办法由招标人按本投标人须知前附表的规定确定。</w:t>
      </w:r>
    </w:p>
    <w:p w14:paraId="21D16213">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评标结果公示</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p>
    <w:p w14:paraId="22E95F6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170746C">
      <w:pPr>
        <w:pStyle w:val="5"/>
        <w:bidi w:val="0"/>
        <w:rPr>
          <w:rFonts w:hint="eastAsia" w:ascii="宋体" w:hAnsi="宋体" w:eastAsia="宋体" w:cs="宋体"/>
          <w:color w:val="auto"/>
          <w:lang w:eastAsia="zh-CN"/>
        </w:rPr>
      </w:pPr>
      <w:bookmarkStart w:id="26" w:name="_Toc10039"/>
      <w:r>
        <w:rPr>
          <w:rFonts w:hint="eastAsia" w:ascii="宋体" w:hAnsi="宋体" w:eastAsia="宋体" w:cs="宋体"/>
          <w:color w:val="auto"/>
        </w:rPr>
        <w:t>（</w:t>
      </w:r>
      <w:r>
        <w:rPr>
          <w:rFonts w:hint="eastAsia" w:ascii="宋体" w:hAnsi="宋体" w:eastAsia="宋体" w:cs="宋体"/>
          <w:color w:val="auto"/>
          <w:lang w:eastAsia="zh-CN"/>
        </w:rPr>
        <w:t>七</w:t>
      </w:r>
      <w:r>
        <w:rPr>
          <w:rFonts w:hint="eastAsia" w:ascii="宋体" w:hAnsi="宋体" w:eastAsia="宋体" w:cs="宋体"/>
          <w:color w:val="auto"/>
        </w:rPr>
        <w:t>）定标</w:t>
      </w:r>
      <w:r>
        <w:rPr>
          <w:rFonts w:hint="eastAsia" w:ascii="宋体" w:hAnsi="宋体" w:eastAsia="宋体" w:cs="宋体"/>
          <w:color w:val="auto"/>
          <w:lang w:eastAsia="zh-CN"/>
        </w:rPr>
        <w:t>规定</w:t>
      </w:r>
      <w:bookmarkEnd w:id="26"/>
    </w:p>
    <w:p w14:paraId="076E588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highlight w:val="none"/>
          <w:lang w:val="en-US" w:eastAsia="zh-CN"/>
        </w:rPr>
        <w:t>28</w:t>
      </w:r>
      <w:r>
        <w:rPr>
          <w:rFonts w:hint="eastAsia" w:ascii="宋体" w:hAnsi="宋体" w:eastAsia="宋体" w:cs="宋体"/>
          <w:b/>
          <w:bCs/>
          <w:color w:val="auto"/>
          <w:sz w:val="24"/>
          <w:highlight w:val="none"/>
        </w:rPr>
        <w:t>.</w:t>
      </w:r>
      <w:r>
        <w:rPr>
          <w:rFonts w:hint="eastAsia" w:ascii="宋体" w:hAnsi="宋体" w:eastAsia="宋体" w:cs="宋体"/>
          <w:b/>
          <w:bCs/>
          <w:color w:val="auto"/>
          <w:sz w:val="24"/>
          <w:szCs w:val="24"/>
          <w:highlight w:val="none"/>
          <w:u w:val="none"/>
          <w:lang w:eastAsia="zh-CN"/>
        </w:rPr>
        <w:t>确定</w:t>
      </w:r>
      <w:r>
        <w:rPr>
          <w:rFonts w:hint="eastAsia" w:ascii="宋体" w:hAnsi="宋体" w:eastAsia="宋体" w:cs="宋体"/>
          <w:b/>
          <w:bCs/>
          <w:color w:val="auto"/>
          <w:sz w:val="24"/>
          <w:szCs w:val="24"/>
          <w:highlight w:val="none"/>
          <w:u w:val="none"/>
        </w:rPr>
        <w:t>定标时间</w:t>
      </w:r>
    </w:p>
    <w:p w14:paraId="38A04D9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u w:val="none"/>
        </w:rPr>
        <w:t>招标人</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自</w:t>
      </w:r>
      <w:r>
        <w:rPr>
          <w:rFonts w:hint="eastAsia" w:ascii="宋体" w:hAnsi="宋体" w:eastAsia="宋体" w:cs="宋体"/>
          <w:color w:val="auto"/>
          <w:sz w:val="24"/>
          <w:szCs w:val="24"/>
          <w:highlight w:val="none"/>
          <w:u w:val="none"/>
          <w:lang w:val="en-US" w:eastAsia="zh-CN"/>
        </w:rPr>
        <w:t>定标候选人</w:t>
      </w:r>
      <w:r>
        <w:rPr>
          <w:rFonts w:hint="eastAsia" w:ascii="宋体" w:hAnsi="宋体" w:eastAsia="宋体" w:cs="宋体"/>
          <w:color w:val="auto"/>
          <w:sz w:val="24"/>
          <w:szCs w:val="24"/>
          <w:highlight w:val="none"/>
          <w:u w:val="none"/>
        </w:rPr>
        <w:t>公示期满后</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个工作日内进入公共资源交易平台（与评标阶段公共资源交易平台相同）进行定标。定标会议全过程录音录像。招标人需要延期定标的，</w:t>
      </w:r>
      <w:r>
        <w:rPr>
          <w:rFonts w:hint="eastAsia" w:ascii="宋体" w:hAnsi="宋体" w:eastAsia="宋体" w:cs="宋体"/>
          <w:color w:val="auto"/>
          <w:sz w:val="24"/>
          <w:szCs w:val="24"/>
          <w:highlight w:val="none"/>
          <w:u w:val="none"/>
          <w:lang w:eastAsia="zh-CN"/>
        </w:rPr>
        <w:t>应</w:t>
      </w:r>
      <w:r>
        <w:rPr>
          <w:rFonts w:hint="eastAsia" w:ascii="宋体" w:hAnsi="宋体" w:eastAsia="宋体" w:cs="宋体"/>
          <w:color w:val="auto"/>
          <w:sz w:val="24"/>
          <w:szCs w:val="24"/>
          <w:highlight w:val="none"/>
          <w:u w:val="none"/>
        </w:rPr>
        <w:t>通过公共资源交易平台公布延期原因和定标时间。</w:t>
      </w:r>
    </w:p>
    <w:p w14:paraId="7B9C9862">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w:t>
      </w:r>
      <w:r>
        <w:rPr>
          <w:rFonts w:hint="eastAsia" w:ascii="宋体" w:hAnsi="宋体" w:eastAsia="宋体" w:cs="宋体"/>
          <w:b/>
          <w:color w:val="auto"/>
          <w:sz w:val="24"/>
          <w:highlight w:val="none"/>
          <w:lang w:eastAsia="zh-CN"/>
        </w:rPr>
        <w:t>定标委员会</w:t>
      </w:r>
    </w:p>
    <w:p w14:paraId="33C77EC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w:t>
      </w:r>
      <w:r>
        <w:rPr>
          <w:rFonts w:hint="eastAsia" w:ascii="宋体" w:hAnsi="宋体" w:cs="宋体"/>
          <w:b w:val="0"/>
          <w:bCs w:val="0"/>
          <w:color w:val="auto"/>
          <w:sz w:val="24"/>
          <w:szCs w:val="24"/>
          <w:highlight w:val="none"/>
          <w:u w:val="none"/>
          <w:lang w:val="en-US" w:eastAsia="zh-CN"/>
        </w:rPr>
        <w:t>7</w:t>
      </w:r>
      <w:r>
        <w:rPr>
          <w:rFonts w:hint="eastAsia" w:ascii="宋体" w:hAnsi="宋体" w:eastAsia="宋体" w:cs="宋体"/>
          <w:b w:val="0"/>
          <w:bCs w:val="0"/>
          <w:color w:val="auto"/>
          <w:sz w:val="24"/>
          <w:szCs w:val="24"/>
          <w:highlight w:val="none"/>
          <w:u w:val="none"/>
          <w:lang w:val="en-US" w:eastAsia="zh-CN"/>
        </w:rPr>
        <w:t>人及以上单数，成员数量应在招标文件中明确。专家人数原则上不超过2人。定标委员会成员数量在本投标人须知前附表中约定。</w:t>
      </w:r>
    </w:p>
    <w:p w14:paraId="2580DD2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29</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2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BB75098">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30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定标办法</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w:t>
      </w:r>
      <w:r>
        <w:rPr>
          <w:rFonts w:hint="eastAsia" w:ascii="宋体" w:hAnsi="宋体" w:eastAsia="宋体" w:cs="宋体"/>
          <w:b/>
          <w:color w:val="auto"/>
          <w:sz w:val="24"/>
          <w:highlight w:val="none"/>
        </w:rPr>
        <w:t>标办法见本招标文件第三章）</w:t>
      </w:r>
    </w:p>
    <w:p w14:paraId="44DA202B">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本项目定标办法由招标人按本投标人须知前附表的规定确定（只能选定其中一种定标办法）。</w:t>
      </w:r>
    </w:p>
    <w:p w14:paraId="030ECEC5">
      <w:pPr>
        <w:pStyle w:val="7"/>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rPr>
      </w:pPr>
      <w:r>
        <w:rPr>
          <w:rFonts w:hint="eastAsia" w:ascii="宋体" w:hAnsi="宋体" w:eastAsia="宋体" w:cs="宋体"/>
          <w:b/>
          <w:bCs/>
          <w:color w:val="auto"/>
          <w:sz w:val="24"/>
          <w:highlight w:val="none"/>
          <w:lang w:val="en-US" w:eastAsia="zh-CN"/>
        </w:rPr>
        <w:t>31</w:t>
      </w:r>
      <w:r>
        <w:rPr>
          <w:rFonts w:hint="eastAsia" w:ascii="宋体" w:hAnsi="宋体" w:eastAsia="宋体" w:cs="宋体"/>
          <w:b/>
          <w:bCs/>
          <w:color w:val="auto"/>
          <w:sz w:val="24"/>
          <w:highlight w:val="none"/>
        </w:rPr>
        <w:t>.</w:t>
      </w:r>
      <w:r>
        <w:rPr>
          <w:rFonts w:hint="eastAsia" w:ascii="宋体" w:hAnsi="宋体" w:eastAsia="宋体" w:cs="宋体"/>
          <w:b/>
          <w:bCs/>
          <w:strike w:val="0"/>
          <w:dstrike w:val="0"/>
          <w:color w:val="auto"/>
          <w:kern w:val="2"/>
          <w:sz w:val="24"/>
          <w:szCs w:val="24"/>
          <w:highlight w:val="none"/>
          <w:u w:val="none"/>
          <w:lang w:val="en-US" w:eastAsia="zh-CN"/>
        </w:rPr>
        <w:t>组建招标监督小组</w:t>
      </w:r>
    </w:p>
    <w:p w14:paraId="3935D621">
      <w:pPr>
        <w:pStyle w:val="18"/>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47807E32">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定标结果</w:t>
      </w:r>
      <w:r>
        <w:rPr>
          <w:rFonts w:hint="eastAsia" w:ascii="宋体" w:hAnsi="宋体" w:eastAsia="宋体" w:cs="宋体"/>
          <w:b/>
          <w:color w:val="auto"/>
          <w:sz w:val="24"/>
          <w:highlight w:val="none"/>
        </w:rPr>
        <w:t xml:space="preserve">公示  </w:t>
      </w:r>
    </w:p>
    <w:p w14:paraId="35B0AB6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个工作日内将中标候选人和定标情况在广东省招标投标监管网和韶关市公共资源交易中心工程交易系统上公示，公示时间不少于3个工作日。公示主要内容包括：公示主要内容包括：定标报告（定标成员信息除外）、中标人名单、中标价和拟投入本项目的项目负责人、技术负责人及各专业负责人（如有）等内容。</w:t>
      </w:r>
    </w:p>
    <w:p w14:paraId="4D382FDB">
      <w:pPr>
        <w:pStyle w:val="5"/>
        <w:bidi w:val="0"/>
        <w:rPr>
          <w:rFonts w:hint="eastAsia" w:ascii="宋体" w:hAnsi="宋体" w:eastAsia="宋体" w:cs="宋体"/>
          <w:b/>
          <w:color w:val="auto"/>
          <w:sz w:val="24"/>
          <w:highlight w:val="none"/>
        </w:rPr>
      </w:pPr>
      <w:bookmarkStart w:id="27" w:name="_Toc19457"/>
      <w:r>
        <w:rPr>
          <w:rFonts w:hint="eastAsia" w:ascii="宋体" w:hAnsi="宋体" w:eastAsia="宋体" w:cs="宋体"/>
          <w:color w:val="auto"/>
        </w:rPr>
        <w:t>（</w:t>
      </w:r>
      <w:r>
        <w:rPr>
          <w:rFonts w:hint="eastAsia" w:ascii="宋体" w:hAnsi="宋体" w:eastAsia="宋体" w:cs="宋体"/>
          <w:color w:val="auto"/>
          <w:lang w:eastAsia="zh-CN"/>
        </w:rPr>
        <w:t>八</w:t>
      </w:r>
      <w:r>
        <w:rPr>
          <w:rFonts w:hint="eastAsia" w:ascii="宋体" w:hAnsi="宋体" w:eastAsia="宋体" w:cs="宋体"/>
          <w:color w:val="auto"/>
        </w:rPr>
        <w:t>）中标确认</w:t>
      </w:r>
      <w:bookmarkEnd w:id="27"/>
    </w:p>
    <w:p w14:paraId="1F9E4E3C">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.中标人确定</w:t>
      </w:r>
    </w:p>
    <w:p w14:paraId="44435665">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中标人确定。</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标结果公示期满无异议的，招标人确认</w:t>
      </w:r>
      <w:r>
        <w:rPr>
          <w:rFonts w:hint="eastAsia" w:ascii="宋体" w:hAnsi="宋体" w:eastAsia="宋体" w:cs="宋体"/>
          <w:strike w:val="0"/>
          <w:dstrike w:val="0"/>
          <w:color w:val="auto"/>
          <w:sz w:val="24"/>
          <w:highlight w:val="none"/>
        </w:rPr>
        <w:t>排名第一的</w:t>
      </w:r>
      <w:r>
        <w:rPr>
          <w:rFonts w:hint="eastAsia" w:ascii="宋体" w:hAnsi="宋体" w:eastAsia="宋体" w:cs="宋体"/>
          <w:color w:val="auto"/>
          <w:sz w:val="24"/>
          <w:highlight w:val="none"/>
        </w:rPr>
        <w:t>中标候选人为中标人，中标人的投标报价即为中标价。</w:t>
      </w:r>
    </w:p>
    <w:p w14:paraId="2FE137A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.2 </w:t>
      </w:r>
      <w:r>
        <w:rPr>
          <w:rFonts w:hint="eastAsia" w:ascii="宋体" w:hAnsi="宋体" w:eastAsia="宋体" w:cs="宋体"/>
          <w:color w:val="auto"/>
          <w:sz w:val="24"/>
          <w:szCs w:val="24"/>
          <w:highlight w:val="none"/>
        </w:rPr>
        <w:t>中标人确定后，招标人应当</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7日</w:t>
      </w:r>
      <w:r>
        <w:rPr>
          <w:rFonts w:hint="eastAsia" w:ascii="宋体" w:hAnsi="宋体" w:eastAsia="宋体" w:cs="宋体"/>
          <w:color w:val="auto"/>
          <w:sz w:val="24"/>
          <w:szCs w:val="24"/>
          <w:highlight w:val="none"/>
          <w:u w:val="none"/>
        </w:rPr>
        <w:t>内</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eastAsia="zh-CN"/>
        </w:rPr>
        <w:t>线</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u w:val="none"/>
        </w:rPr>
        <w:t>加盖招标人单位</w:t>
      </w:r>
      <w:r>
        <w:rPr>
          <w:rFonts w:hint="eastAsia" w:ascii="宋体" w:hAnsi="宋体" w:eastAsia="宋体" w:cs="宋体"/>
          <w:color w:val="auto"/>
          <w:sz w:val="24"/>
          <w:szCs w:val="24"/>
          <w:highlight w:val="none"/>
          <w:u w:val="none"/>
          <w:lang w:eastAsia="zh-CN"/>
        </w:rPr>
        <w:t>电子签</w:t>
      </w:r>
      <w:r>
        <w:rPr>
          <w:rFonts w:hint="eastAsia" w:ascii="宋体" w:hAnsi="宋体" w:eastAsia="宋体" w:cs="宋体"/>
          <w:color w:val="auto"/>
          <w:sz w:val="24"/>
          <w:szCs w:val="24"/>
          <w:highlight w:val="none"/>
          <w:u w:val="none"/>
        </w:rPr>
        <w:t>章的中标通知书</w:t>
      </w:r>
      <w:r>
        <w:rPr>
          <w:rFonts w:hint="eastAsia" w:ascii="宋体" w:hAnsi="宋体" w:eastAsia="宋体" w:cs="宋体"/>
          <w:color w:val="auto"/>
          <w:sz w:val="24"/>
          <w:szCs w:val="24"/>
          <w:highlight w:val="none"/>
          <w:u w:val="none"/>
          <w:lang w:eastAsia="zh-CN"/>
        </w:rPr>
        <w:t>并</w:t>
      </w:r>
      <w:r>
        <w:rPr>
          <w:rFonts w:hint="eastAsia" w:ascii="宋体" w:hAnsi="宋体" w:eastAsia="宋体" w:cs="宋体"/>
          <w:color w:val="auto"/>
          <w:sz w:val="24"/>
          <w:szCs w:val="24"/>
          <w:highlight w:val="none"/>
          <w:u w:val="none"/>
        </w:rPr>
        <w:t>发放</w:t>
      </w:r>
      <w:r>
        <w:rPr>
          <w:rFonts w:hint="eastAsia" w:ascii="宋体" w:hAnsi="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rPr>
        <w:t>中标人及各相关单位</w:t>
      </w:r>
      <w:r>
        <w:rPr>
          <w:rFonts w:hint="eastAsia" w:ascii="宋体" w:hAnsi="宋体" w:eastAsia="宋体" w:cs="宋体"/>
          <w:color w:val="auto"/>
          <w:sz w:val="24"/>
          <w:highlight w:val="none"/>
        </w:rPr>
        <w:t>。招标人最迟应当在投标有效期届满30日前发出中标通知书，否则，应当按照本投标人须知投标有效期的规定延长投标有效期。</w:t>
      </w:r>
    </w:p>
    <w:p w14:paraId="27001D85">
      <w:pPr>
        <w:pStyle w:val="32"/>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2"/>
          <w:highlight w:val="none"/>
          <w:u w:val="none"/>
        </w:rPr>
      </w:pPr>
      <w:r>
        <w:rPr>
          <w:rFonts w:hint="eastAsia" w:ascii="宋体" w:hAnsi="宋体" w:eastAsia="宋体" w:cs="宋体"/>
          <w:color w:val="auto"/>
          <w:kern w:val="2"/>
          <w:highlight w:val="none"/>
          <w:u w:val="none"/>
        </w:rPr>
        <w:t>3</w:t>
      </w:r>
      <w:r>
        <w:rPr>
          <w:rFonts w:hint="eastAsia" w:ascii="宋体" w:hAnsi="宋体" w:eastAsia="宋体" w:cs="宋体"/>
          <w:color w:val="auto"/>
          <w:kern w:val="2"/>
          <w:highlight w:val="none"/>
          <w:u w:val="none"/>
          <w:lang w:val="en-US" w:eastAsia="zh-CN"/>
        </w:rPr>
        <w:t>3</w:t>
      </w:r>
      <w:r>
        <w:rPr>
          <w:rFonts w:hint="eastAsia" w:ascii="宋体" w:hAnsi="宋体" w:eastAsia="宋体" w:cs="宋体"/>
          <w:color w:val="auto"/>
          <w:kern w:val="2"/>
          <w:highlight w:val="none"/>
          <w:u w:val="none"/>
        </w:rPr>
        <w:t>.3</w:t>
      </w:r>
      <w:r>
        <w:rPr>
          <w:rFonts w:hint="eastAsia" w:ascii="宋体" w:hAnsi="宋体" w:eastAsia="宋体" w:cs="宋体"/>
          <w:color w:val="auto"/>
          <w:kern w:val="2"/>
          <w:highlight w:val="none"/>
          <w:u w:val="none"/>
          <w:lang w:val="en-US" w:eastAsia="zh-CN"/>
        </w:rPr>
        <w:t xml:space="preserve"> </w:t>
      </w:r>
      <w:r>
        <w:rPr>
          <w:rFonts w:hint="eastAsia" w:ascii="宋体" w:hAnsi="宋体" w:eastAsia="宋体" w:cs="宋体"/>
          <w:color w:val="auto"/>
          <w:sz w:val="24"/>
          <w:szCs w:val="24"/>
          <w:highlight w:val="none"/>
          <w:u w:val="none"/>
        </w:rPr>
        <w:t>招标人应当</w:t>
      </w:r>
      <w:r>
        <w:rPr>
          <w:rFonts w:hint="eastAsia" w:ascii="宋体" w:hAnsi="宋体" w:eastAsia="宋体" w:cs="宋体"/>
          <w:i w:val="0"/>
          <w:color w:val="auto"/>
          <w:kern w:val="0"/>
          <w:sz w:val="24"/>
          <w:szCs w:val="24"/>
          <w:highlight w:val="none"/>
          <w:u w:val="none"/>
          <w:lang w:val="en-US" w:eastAsia="zh-CN" w:bidi="ar"/>
        </w:rPr>
        <w:t>自中标通知书发出之日起15日内</w:t>
      </w:r>
      <w:r>
        <w:rPr>
          <w:rFonts w:hint="eastAsia" w:ascii="宋体" w:hAnsi="宋体" w:eastAsia="宋体" w:cs="宋体"/>
          <w:color w:val="auto"/>
          <w:spacing w:val="0"/>
          <w:sz w:val="24"/>
          <w:szCs w:val="24"/>
          <w:highlight w:val="none"/>
          <w:u w:val="none"/>
          <w:lang w:eastAsia="zh-CN"/>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pacing w:val="0"/>
          <w:sz w:val="24"/>
          <w:szCs w:val="24"/>
          <w:highlight w:val="none"/>
          <w:u w:val="none"/>
          <w:lang w:eastAsia="zh-CN"/>
        </w:rPr>
        <w:t>发布中标结果公示。</w:t>
      </w:r>
      <w:r>
        <w:rPr>
          <w:rFonts w:hint="eastAsia" w:ascii="宋体" w:hAnsi="宋体" w:eastAsia="宋体" w:cs="宋体"/>
          <w:color w:val="auto"/>
          <w:highlight w:val="none"/>
          <w:u w:val="none"/>
        </w:rPr>
        <w:t>招标人应当自确定中标人之日起15日内，</w:t>
      </w:r>
      <w:r>
        <w:rPr>
          <w:rFonts w:hint="eastAsia" w:ascii="宋体" w:hAnsi="宋体" w:eastAsia="宋体" w:cs="宋体"/>
          <w:color w:val="auto"/>
          <w:highlight w:val="none"/>
          <w:u w:val="none"/>
          <w:lang w:eastAsia="zh-CN"/>
        </w:rPr>
        <w:t>在线</w:t>
      </w:r>
      <w:r>
        <w:rPr>
          <w:rFonts w:hint="eastAsia" w:ascii="宋体" w:hAnsi="宋体" w:eastAsia="宋体" w:cs="宋体"/>
          <w:color w:val="auto"/>
          <w:highlight w:val="none"/>
          <w:u w:val="none"/>
        </w:rPr>
        <w:t>向有关</w:t>
      </w:r>
      <w:r>
        <w:rPr>
          <w:rFonts w:hint="eastAsia" w:ascii="宋体" w:hAnsi="宋体" w:eastAsia="宋体" w:cs="宋体"/>
          <w:color w:val="auto"/>
          <w:highlight w:val="none"/>
          <w:u w:val="none"/>
          <w:lang w:eastAsia="zh-CN"/>
        </w:rPr>
        <w:t>招标管理</w:t>
      </w:r>
      <w:r>
        <w:rPr>
          <w:rFonts w:hint="eastAsia" w:ascii="宋体" w:hAnsi="宋体" w:eastAsia="宋体" w:cs="宋体"/>
          <w:color w:val="auto"/>
          <w:highlight w:val="none"/>
          <w:u w:val="none"/>
        </w:rPr>
        <w:t>部门提交招标投标情况的书面报告。</w:t>
      </w:r>
    </w:p>
    <w:p w14:paraId="2355E6FD">
      <w:pPr>
        <w:keepNext w:val="0"/>
        <w:keepLines w:val="0"/>
        <w:pageBreakBefore w:val="0"/>
        <w:widowControl w:val="0"/>
        <w:shd w:val="clear" w:color="auto" w:fill="auto"/>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异议和投诉</w:t>
      </w:r>
    </w:p>
    <w:p w14:paraId="3DA7D647">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投标人或者其他利害关系人对招标项目的</w:t>
      </w:r>
      <w:r>
        <w:rPr>
          <w:rFonts w:hint="eastAsia" w:ascii="宋体" w:hAnsi="宋体" w:eastAsia="宋体" w:cs="宋体"/>
          <w:color w:val="auto"/>
          <w:sz w:val="24"/>
          <w:highlight w:val="none"/>
          <w:lang w:eastAsia="zh-CN"/>
        </w:rPr>
        <w:t>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eastAsia="zh-CN"/>
        </w:rPr>
        <w:t>和中标</w:t>
      </w:r>
      <w:r>
        <w:rPr>
          <w:rFonts w:hint="eastAsia" w:ascii="宋体" w:hAnsi="宋体" w:eastAsia="宋体" w:cs="宋体"/>
          <w:color w:val="auto"/>
          <w:sz w:val="24"/>
          <w:highlight w:val="none"/>
        </w:rPr>
        <w:t>结果有异议的，应当在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sz w:val="24"/>
          <w:highlight w:val="none"/>
        </w:rPr>
        <w:t>公示期</w:t>
      </w:r>
      <w:r>
        <w:rPr>
          <w:rFonts w:hint="eastAsia" w:ascii="宋体" w:hAnsi="宋体" w:eastAsia="宋体" w:cs="宋体"/>
          <w:color w:val="auto"/>
          <w:sz w:val="24"/>
          <w:highlight w:val="none"/>
          <w:lang w:eastAsia="zh-CN"/>
        </w:rPr>
        <w:t>间按规定线上</w:t>
      </w:r>
      <w:r>
        <w:rPr>
          <w:rFonts w:hint="eastAsia" w:ascii="宋体" w:hAnsi="宋体" w:eastAsia="宋体" w:cs="宋体"/>
          <w:color w:val="auto"/>
          <w:sz w:val="24"/>
          <w:highlight w:val="none"/>
        </w:rPr>
        <w:t>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7585F389">
      <w:pPr>
        <w:keepNext w:val="0"/>
        <w:keepLines w:val="0"/>
        <w:pageBreakBefore w:val="0"/>
        <w:widowControl w:val="0"/>
        <w:shd w:val="clear" w:color="auto" w:fill="auto"/>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kern w:val="0"/>
          <w:sz w:val="24"/>
          <w:szCs w:val="24"/>
          <w:highlight w:val="none"/>
        </w:rPr>
        <w:t>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kern w:val="0"/>
          <w:sz w:val="24"/>
          <w:szCs w:val="24"/>
          <w:highlight w:val="none"/>
        </w:rPr>
        <w:t>公示期间有关评标结果的异议成立的，招标人</w:t>
      </w:r>
      <w:r>
        <w:rPr>
          <w:rFonts w:hint="eastAsia" w:ascii="宋体" w:hAnsi="宋体" w:eastAsia="宋体" w:cs="宋体"/>
          <w:color w:val="auto"/>
          <w:kern w:val="0"/>
          <w:sz w:val="24"/>
          <w:szCs w:val="24"/>
          <w:highlight w:val="none"/>
          <w:lang w:eastAsia="zh-CN"/>
        </w:rPr>
        <w:t>原则上</w:t>
      </w:r>
      <w:r>
        <w:rPr>
          <w:rFonts w:hint="eastAsia" w:ascii="宋体" w:hAnsi="宋体" w:eastAsia="宋体" w:cs="宋体"/>
          <w:color w:val="auto"/>
          <w:kern w:val="0"/>
          <w:sz w:val="24"/>
          <w:szCs w:val="24"/>
          <w:highlight w:val="none"/>
        </w:rPr>
        <w:t>应当组织原评标委员会</w:t>
      </w:r>
      <w:r>
        <w:rPr>
          <w:rFonts w:hint="eastAsia" w:ascii="宋体" w:hAnsi="宋体" w:eastAsia="宋体" w:cs="宋体"/>
          <w:color w:val="auto"/>
          <w:kern w:val="0"/>
          <w:sz w:val="24"/>
          <w:szCs w:val="24"/>
          <w:highlight w:val="none"/>
          <w:lang w:eastAsia="zh-CN"/>
        </w:rPr>
        <w:t>和原定标委员会</w:t>
      </w:r>
      <w:r>
        <w:rPr>
          <w:rFonts w:hint="eastAsia" w:ascii="宋体" w:hAnsi="宋体" w:eastAsia="宋体" w:cs="宋体"/>
          <w:color w:val="auto"/>
          <w:kern w:val="0"/>
          <w:sz w:val="24"/>
          <w:szCs w:val="24"/>
          <w:highlight w:val="none"/>
        </w:rPr>
        <w:t>对有关的问题予以纠正，问题纠正后再公示</w:t>
      </w:r>
      <w:r>
        <w:rPr>
          <w:rFonts w:hint="eastAsia" w:ascii="宋体" w:hAnsi="宋体" w:eastAsia="宋体" w:cs="宋体"/>
          <w:color w:val="auto"/>
          <w:kern w:val="0"/>
          <w:sz w:val="24"/>
          <w:szCs w:val="24"/>
          <w:highlight w:val="none"/>
          <w:lang w:eastAsia="zh-CN"/>
        </w:rPr>
        <w:t>定标候选人和</w:t>
      </w:r>
      <w:r>
        <w:rPr>
          <w:rFonts w:hint="eastAsia" w:ascii="宋体" w:hAnsi="宋体" w:eastAsia="宋体" w:cs="宋体"/>
          <w:color w:val="auto"/>
          <w:kern w:val="0"/>
          <w:sz w:val="24"/>
          <w:szCs w:val="24"/>
          <w:highlight w:val="none"/>
        </w:rPr>
        <w:t>中标候选人。</w:t>
      </w:r>
    </w:p>
    <w:p w14:paraId="0B7CE4CB">
      <w:pPr>
        <w:pStyle w:val="18"/>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0"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color w:val="auto"/>
          <w:sz w:val="24"/>
          <w:highlight w:val="none"/>
          <w:lang w:val="en-US" w:eastAsia="zh-CN"/>
        </w:rPr>
        <w:t>34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highlight w:val="none"/>
        </w:rPr>
        <w:t>投标人或其他利害关系人认为招标投标活动不符合法律、行政法规规定的，可以自知道或者应当知道之日起10日内</w:t>
      </w:r>
      <w:r>
        <w:rPr>
          <w:rFonts w:hint="eastAsia" w:ascii="宋体" w:hAnsi="宋体" w:eastAsia="宋体" w:cs="宋体"/>
          <w:color w:val="auto"/>
          <w:highlight w:val="none"/>
          <w:lang w:eastAsia="zh-CN"/>
        </w:rPr>
        <w:t>按规定线上</w:t>
      </w:r>
      <w:r>
        <w:rPr>
          <w:rFonts w:hint="eastAsia" w:ascii="宋体" w:hAnsi="宋体" w:eastAsia="宋体" w:cs="宋体"/>
          <w:color w:val="auto"/>
          <w:highlight w:val="none"/>
        </w:rPr>
        <w:t>向有关</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部门投诉。投诉应当有明确的请求和必要的证明材料。</w:t>
      </w:r>
      <w:r>
        <w:rPr>
          <w:rFonts w:hint="eastAsia" w:ascii="宋体" w:hAnsi="宋体" w:eastAsia="宋体" w:cs="宋体"/>
          <w:color w:val="auto"/>
          <w:highlight w:val="none"/>
          <w:lang w:eastAsia="zh-CN"/>
        </w:rPr>
        <w:t>招标管理</w:t>
      </w:r>
      <w:r>
        <w:rPr>
          <w:rFonts w:hint="eastAsia" w:ascii="宋体" w:hAnsi="宋体" w:eastAsia="宋体" w:cs="宋体"/>
          <w:color w:val="auto"/>
          <w:highlight w:val="none"/>
        </w:rPr>
        <w:t>部门应当自收到投诉之日起30个工作日内作出书面处理决定。</w:t>
      </w:r>
    </w:p>
    <w:p w14:paraId="69FE146D">
      <w:pPr>
        <w:pStyle w:val="18"/>
        <w:keepNext w:val="0"/>
        <w:keepLines w:val="0"/>
        <w:pageBreakBefore w:val="0"/>
        <w:widowControl w:val="0"/>
        <w:shd w:val="clear" w:color="auto" w:fill="auto"/>
        <w:kinsoku/>
        <w:wordWrap/>
        <w:overflowPunct/>
        <w:topLinePunct w:val="0"/>
        <w:bidi w:val="0"/>
        <w:adjustRightInd/>
        <w:snapToGrid/>
        <w:spacing w:before="0" w:beforeLines="0" w:after="0" w:afterLines="0" w:line="340" w:lineRule="exact"/>
        <w:ind w:left="0" w:leftChars="0" w:firstLine="482" w:firstLineChars="200"/>
        <w:jc w:val="both"/>
        <w:textAlignment w:val="auto"/>
        <w:outlineLvl w:val="9"/>
        <w:rPr>
          <w:rFonts w:hint="eastAsia" w:ascii="宋体" w:hAnsi="宋体" w:eastAsia="宋体" w:cs="宋体"/>
          <w:b/>
          <w:bCs/>
          <w:i/>
          <w:color w:val="auto"/>
          <w:highlight w:val="none"/>
        </w:rPr>
      </w:pPr>
      <w:bookmarkStart w:id="28" w:name="_Toc236550039"/>
      <w:r>
        <w:rPr>
          <w:rStyle w:val="25"/>
          <w:rFonts w:hint="eastAsia" w:ascii="宋体" w:hAnsi="宋体" w:eastAsia="宋体" w:cs="宋体"/>
          <w:b/>
          <w:bCs/>
          <w:i w:val="0"/>
          <w:color w:val="auto"/>
          <w:highlight w:val="none"/>
          <w:lang w:val="en-US" w:eastAsia="zh-CN"/>
        </w:rPr>
        <w:t>35</w:t>
      </w:r>
      <w:r>
        <w:rPr>
          <w:rStyle w:val="25"/>
          <w:rFonts w:hint="eastAsia" w:ascii="宋体" w:hAnsi="宋体" w:eastAsia="宋体" w:cs="宋体"/>
          <w:b/>
          <w:bCs/>
          <w:i w:val="0"/>
          <w:color w:val="auto"/>
          <w:highlight w:val="none"/>
        </w:rPr>
        <w:t>．废除授标</w:t>
      </w:r>
      <w:bookmarkEnd w:id="28"/>
      <w:r>
        <w:rPr>
          <w:rStyle w:val="25"/>
          <w:rFonts w:hint="eastAsia" w:ascii="宋体" w:hAnsi="宋体" w:eastAsia="宋体" w:cs="宋体"/>
          <w:b/>
          <w:bCs/>
          <w:i w:val="0"/>
          <w:color w:val="auto"/>
          <w:highlight w:val="none"/>
        </w:rPr>
        <w:t>及授标</w:t>
      </w:r>
    </w:p>
    <w:p w14:paraId="22975AA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highlight w:val="none"/>
        </w:rPr>
        <w:t>：</w:t>
      </w:r>
    </w:p>
    <w:p w14:paraId="3A5E56C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（1）以他人名义投标或者以其他方式弄虚作假骗取中标的；</w:t>
      </w:r>
    </w:p>
    <w:p w14:paraId="3A1082E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（2）与其他投标人串通投标或以行贿的手段谋取中标的；</w:t>
      </w:r>
    </w:p>
    <w:p w14:paraId="4ECE5E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）不是从本投标企业基本账户</w:t>
      </w:r>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w:t>
      </w:r>
      <w:r>
        <w:rPr>
          <w:rFonts w:hint="eastAsia" w:ascii="宋体" w:hAnsi="宋体" w:eastAsia="宋体" w:cs="宋体"/>
          <w:color w:val="auto"/>
          <w:sz w:val="24"/>
          <w:highlight w:val="none"/>
          <w:lang w:eastAsia="zh-CN"/>
        </w:rPr>
        <w:t>或以虚假方式提交投标保证金保函（保单）</w:t>
      </w:r>
      <w:r>
        <w:rPr>
          <w:rFonts w:hint="eastAsia" w:ascii="宋体" w:hAnsi="宋体" w:eastAsia="宋体" w:cs="宋体"/>
          <w:color w:val="auto"/>
          <w:sz w:val="24"/>
          <w:highlight w:val="none"/>
        </w:rPr>
        <w:t>的；</w:t>
      </w:r>
    </w:p>
    <w:p w14:paraId="42D23008">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于投标有效期终止之前撤回投标文件，或者排名第一的中标候选人放弃中标资格的；</w:t>
      </w:r>
    </w:p>
    <w:p w14:paraId="1C640A4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）因中标人过错而未能按照规定与招标人签订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承包合同或中标人因不可抗力提出不能履行合同的；</w:t>
      </w:r>
    </w:p>
    <w:p w14:paraId="0BA9578E">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）因中标人过错而未能按照招标文件要求向招标人提交履约</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保的；</w:t>
      </w:r>
    </w:p>
    <w:p w14:paraId="22A6B18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lang w:val="en-US" w:eastAsia="zh-CN"/>
        </w:rPr>
        <w:t>中标单位拟派的项目负责人从投标截止时间起在其他建设工程担任项目负责人；</w:t>
      </w:r>
    </w:p>
    <w:p w14:paraId="3DF6C69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中标人被有关部门查实存在影响中标结果的违法行为，不符合中标条件的</w:t>
      </w:r>
      <w:r>
        <w:rPr>
          <w:rFonts w:hint="eastAsia" w:ascii="宋体" w:hAnsi="宋体" w:eastAsia="宋体" w:cs="宋体"/>
          <w:color w:val="auto"/>
          <w:sz w:val="24"/>
          <w:highlight w:val="none"/>
          <w:lang w:val="en-US" w:eastAsia="zh-CN"/>
        </w:rPr>
        <w:t>；</w:t>
      </w:r>
    </w:p>
    <w:p w14:paraId="4B2B8C9C">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人在参加本项目投标时有本企业投标承诺书所列被依法限制或暂停承揽业务</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停业的处罚的；</w:t>
      </w:r>
    </w:p>
    <w:p w14:paraId="6527364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）招标文件明确规定可以废除授标的其他情形。</w:t>
      </w:r>
    </w:p>
    <w:p w14:paraId="3B9FFCC0">
      <w:pPr>
        <w:pStyle w:val="3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40" w:lineRule="exact"/>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 xml:space="preserve">.2 </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highlight w:val="none"/>
          <w:lang w:eastAsia="zh-CN"/>
        </w:rPr>
        <w:t>被</w:t>
      </w:r>
      <w:r>
        <w:rPr>
          <w:rFonts w:hint="eastAsia" w:ascii="宋体" w:hAnsi="宋体" w:eastAsia="宋体" w:cs="宋体"/>
          <w:color w:val="auto"/>
          <w:sz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highlight w:val="none"/>
        </w:rPr>
        <w:t>或报原项目审批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3F8C540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w:t>
      </w:r>
      <w:r>
        <w:rPr>
          <w:rFonts w:hint="eastAsia" w:ascii="宋体" w:hAnsi="宋体" w:eastAsia="宋体" w:cs="宋体"/>
          <w:color w:val="auto"/>
          <w:sz w:val="24"/>
          <w:highlight w:val="none"/>
        </w:rPr>
        <w:t>.3 招标人有下列情形之一的，应依法承担相应的责任：</w:t>
      </w:r>
    </w:p>
    <w:p w14:paraId="772B668B">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（1）无正当理由不发出中标通知书的</w:t>
      </w:r>
      <w:r>
        <w:rPr>
          <w:rFonts w:hint="eastAsia" w:ascii="宋体" w:hAnsi="宋体" w:eastAsia="宋体" w:cs="宋体"/>
          <w:color w:val="auto"/>
          <w:sz w:val="24"/>
          <w:highlight w:val="none"/>
          <w:lang w:eastAsia="zh-CN"/>
        </w:rPr>
        <w:t>；</w:t>
      </w:r>
    </w:p>
    <w:p w14:paraId="780A0B64">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（2）招标人不按照规定确定中标人的；</w:t>
      </w:r>
    </w:p>
    <w:p w14:paraId="5F8CF70A">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（3）中标通知书发出后无正当理由改变中标结果的；</w:t>
      </w:r>
    </w:p>
    <w:p w14:paraId="6B82655D">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（4）无正当理由不与中标人签订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承包合同的；</w:t>
      </w:r>
    </w:p>
    <w:p w14:paraId="64B61F61">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4"/>
          <w:highlight w:val="none"/>
        </w:rPr>
        <w:t>（5）在签订</w:t>
      </w:r>
      <w:r>
        <w:rPr>
          <w:rFonts w:hint="eastAsia" w:ascii="宋体" w:hAnsi="宋体" w:eastAsia="宋体" w:cs="宋体"/>
          <w:color w:val="auto"/>
          <w:sz w:val="24"/>
          <w:highlight w:val="none"/>
          <w:lang w:eastAsia="zh-CN"/>
        </w:rPr>
        <w:t>工程总</w:t>
      </w:r>
      <w:r>
        <w:rPr>
          <w:rFonts w:hint="eastAsia" w:ascii="宋体" w:hAnsi="宋体" w:eastAsia="宋体" w:cs="宋体"/>
          <w:color w:val="auto"/>
          <w:sz w:val="24"/>
          <w:highlight w:val="none"/>
        </w:rPr>
        <w:t>承包合同时向中标人提出附加条件或者更改合同实质性内容的。</w:t>
      </w:r>
    </w:p>
    <w:p w14:paraId="3E531947">
      <w:pPr>
        <w:pStyle w:val="5"/>
        <w:bidi w:val="0"/>
        <w:rPr>
          <w:rFonts w:hint="eastAsia" w:ascii="宋体" w:hAnsi="宋体" w:eastAsia="宋体" w:cs="宋体"/>
          <w:color w:val="auto"/>
          <w:lang w:val="en-US" w:eastAsia="zh-CN"/>
        </w:rPr>
      </w:pPr>
      <w:bookmarkStart w:id="29" w:name="_Toc17580"/>
      <w:r>
        <w:rPr>
          <w:rFonts w:hint="eastAsia" w:ascii="宋体" w:hAnsi="宋体" w:eastAsia="宋体" w:cs="宋体"/>
          <w:color w:val="auto"/>
          <w:lang w:eastAsia="zh-CN"/>
        </w:rPr>
        <w:t>（</w:t>
      </w:r>
      <w:r>
        <w:rPr>
          <w:rFonts w:hint="eastAsia" w:ascii="宋体" w:hAnsi="宋体" w:eastAsia="宋体" w:cs="宋体"/>
          <w:color w:val="auto"/>
          <w:lang w:val="en-US" w:eastAsia="zh-CN"/>
        </w:rPr>
        <w:t>九</w:t>
      </w:r>
      <w:r>
        <w:rPr>
          <w:rFonts w:hint="eastAsia" w:ascii="宋体" w:hAnsi="宋体" w:eastAsia="宋体" w:cs="宋体"/>
          <w:color w:val="auto"/>
          <w:lang w:eastAsia="zh-CN"/>
        </w:rPr>
        <w:t>）</w:t>
      </w:r>
      <w:r>
        <w:rPr>
          <w:rFonts w:hint="eastAsia" w:ascii="宋体" w:hAnsi="宋体" w:eastAsia="宋体" w:cs="宋体"/>
          <w:color w:val="auto"/>
          <w:lang w:val="en-US" w:eastAsia="zh-CN"/>
        </w:rPr>
        <w:t>合同授予</w:t>
      </w:r>
      <w:bookmarkEnd w:id="29"/>
    </w:p>
    <w:p w14:paraId="6249ACB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36合同授予</w:t>
      </w:r>
    </w:p>
    <w:p w14:paraId="6D72AFC2">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.1 本工程的施工承包合同将授予按本投标人须知确定的中标人。</w:t>
      </w:r>
    </w:p>
    <w:p w14:paraId="41DD49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CN"/>
        </w:rPr>
        <w:t>招标人和中标人应当在投标有效期内并自中标通知书发出之日起30日内，按照招标文件和中标人的投标文件订立施工承包合同</w:t>
      </w:r>
      <w:r>
        <w:rPr>
          <w:rFonts w:hint="eastAsia" w:ascii="宋体" w:hAnsi="宋体" w:eastAsia="宋体" w:cs="宋体"/>
          <w:b w:val="0"/>
          <w:bCs w:val="0"/>
          <w:color w:val="auto"/>
          <w:spacing w:val="0"/>
          <w:sz w:val="24"/>
          <w:szCs w:val="24"/>
          <w:highlight w:val="none"/>
          <w:u w:val="none" w:color="auto"/>
        </w:rPr>
        <w:t>，中标人的投标报价为合同价；合同的标的、价款、质量、履行期限等主要条款应当与招标文件和中标人的投标文件的内容一致。</w:t>
      </w:r>
      <w:r>
        <w:rPr>
          <w:rFonts w:hint="eastAsia" w:ascii="宋体" w:hAnsi="宋体" w:eastAsia="宋体" w:cs="宋体"/>
          <w:color w:val="auto"/>
          <w:sz w:val="24"/>
          <w:szCs w:val="24"/>
          <w:highlight w:val="none"/>
          <w:lang w:val="en-US" w:eastAsia="zh-CN"/>
        </w:rPr>
        <w:t>签订合同必须以招标人发布招标项目招标文件时的合同文本为蓝本，不得另行采用未经发布的合同文本签订本工程</w:t>
      </w:r>
      <w:r>
        <w:rPr>
          <w:rFonts w:hint="eastAsia" w:ascii="宋体" w:hAnsi="宋体" w:eastAsia="宋体" w:cs="宋体"/>
          <w:color w:val="auto"/>
          <w:sz w:val="24"/>
          <w:highlight w:val="none"/>
          <w:lang w:eastAsia="zh-CN"/>
        </w:rPr>
        <w:t>施工承包合同</w:t>
      </w:r>
      <w:r>
        <w:rPr>
          <w:rFonts w:hint="eastAsia" w:ascii="宋体" w:hAnsi="宋体" w:eastAsia="宋体" w:cs="宋体"/>
          <w:color w:val="auto"/>
          <w:sz w:val="24"/>
          <w:szCs w:val="24"/>
          <w:highlight w:val="none"/>
          <w:lang w:val="en-US" w:eastAsia="zh-CN"/>
        </w:rPr>
        <w:t>。同时，</w:t>
      </w:r>
      <w:r>
        <w:rPr>
          <w:rFonts w:hint="eastAsia" w:ascii="宋体" w:hAnsi="宋体" w:eastAsia="宋体" w:cs="宋体"/>
          <w:b w:val="0"/>
          <w:bCs w:val="0"/>
          <w:color w:val="auto"/>
          <w:spacing w:val="0"/>
          <w:sz w:val="24"/>
          <w:szCs w:val="24"/>
          <w:highlight w:val="none"/>
          <w:u w:val="none" w:color="auto"/>
        </w:rPr>
        <w:t>招标人和中标人不得另行订立背离招标文件、投标文件实质性内容的其他协议。</w:t>
      </w:r>
    </w:p>
    <w:p w14:paraId="23C645BE">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.3 招标人如不按本投标人须知第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款的规定与中标人</w:t>
      </w:r>
      <w:r>
        <w:rPr>
          <w:rFonts w:hint="eastAsia" w:ascii="宋体" w:hAnsi="宋体" w:eastAsia="宋体" w:cs="宋体"/>
          <w:b w:val="0"/>
          <w:bCs w:val="0"/>
          <w:color w:val="auto"/>
          <w:spacing w:val="0"/>
          <w:sz w:val="24"/>
          <w:szCs w:val="24"/>
          <w:highlight w:val="none"/>
          <w:u w:val="none" w:color="auto"/>
        </w:rPr>
        <w:t>订立</w:t>
      </w:r>
      <w:r>
        <w:rPr>
          <w:rFonts w:hint="eastAsia" w:ascii="宋体" w:hAnsi="宋体" w:eastAsia="宋体" w:cs="宋体"/>
          <w:color w:val="auto"/>
          <w:sz w:val="24"/>
          <w:highlight w:val="none"/>
        </w:rPr>
        <w:t>施工承包合同，或者招标人、中标人订立背离合同实质性内容的其他协议，应改正并处以投标保证金额罚款。</w:t>
      </w:r>
    </w:p>
    <w:p w14:paraId="2E95AC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.4 中标人如不按本投标人须知第</w:t>
      </w:r>
      <w:r>
        <w:rPr>
          <w:rFonts w:hint="eastAsia" w:ascii="宋体" w:hAnsi="宋体" w:eastAsia="宋体" w:cs="宋体"/>
          <w:b/>
          <w:color w:val="auto"/>
          <w:sz w:val="24"/>
          <w:highlight w:val="none"/>
          <w:lang w:val="en-US" w:eastAsia="zh-CN"/>
        </w:rPr>
        <w:t>36</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款的规定与招标人订立施工承包合同，则招标人将废除授标，投标保证金不予退还，给招标人造成的损失超过投标保证金数额的，还应当对超过部分予以赔偿，同时依法承担相应法律责任。</w:t>
      </w:r>
    </w:p>
    <w:p w14:paraId="5E0056B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5 </w:t>
      </w:r>
      <w:r>
        <w:rPr>
          <w:rFonts w:hint="eastAsia" w:ascii="宋体" w:hAnsi="宋体" w:eastAsia="宋体" w:cs="宋体"/>
          <w:color w:val="auto"/>
          <w:sz w:val="24"/>
          <w:highlight w:val="none"/>
        </w:rPr>
        <w:t>中标人应当按照施工承包合同约定履行义务，完成中标项目施工任务，不得将中标项目施工任务转让（转包）或者违法分包给其他人。</w:t>
      </w:r>
    </w:p>
    <w:p w14:paraId="5159F3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highlight w:val="none"/>
          <w:lang w:val="en-US" w:eastAsia="zh-CN"/>
        </w:rPr>
        <w:t>36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6 </w:t>
      </w:r>
      <w:r>
        <w:rPr>
          <w:rFonts w:hint="eastAsia" w:ascii="宋体" w:hAnsi="宋体" w:eastAsia="宋体" w:cs="宋体"/>
          <w:color w:val="auto"/>
          <w:sz w:val="24"/>
          <w:szCs w:val="24"/>
          <w:highlight w:val="none"/>
          <w:u w:val="none"/>
        </w:rPr>
        <w:t>招标人、中标人</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自合同签订后的20日内</w:t>
      </w:r>
      <w:r>
        <w:rPr>
          <w:rFonts w:hint="eastAsia" w:ascii="宋体" w:hAnsi="宋体" w:eastAsia="宋体" w:cs="宋体"/>
          <w:color w:val="auto"/>
          <w:sz w:val="24"/>
          <w:szCs w:val="24"/>
          <w:highlight w:val="none"/>
          <w:u w:val="none"/>
          <w:lang w:val="en-US" w:eastAsia="zh-CN"/>
        </w:rPr>
        <w:t>,按照规定</w:t>
      </w:r>
      <w:r>
        <w:rPr>
          <w:rFonts w:hint="eastAsia" w:ascii="宋体" w:hAnsi="宋体" w:eastAsia="宋体" w:cs="宋体"/>
          <w:color w:val="auto"/>
          <w:sz w:val="24"/>
          <w:szCs w:val="24"/>
          <w:highlight w:val="none"/>
          <w:u w:val="none"/>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z w:val="24"/>
          <w:szCs w:val="24"/>
          <w:highlight w:val="none"/>
          <w:u w:val="none"/>
        </w:rPr>
        <w:t>公布中标合同履行情况等信息。</w:t>
      </w:r>
      <w:r>
        <w:rPr>
          <w:rFonts w:hint="eastAsia" w:ascii="宋体" w:hAnsi="宋体" w:eastAsia="宋体" w:cs="宋体"/>
          <w:color w:val="auto"/>
          <w:kern w:val="0"/>
          <w:sz w:val="24"/>
          <w:szCs w:val="24"/>
          <w:highlight w:val="none"/>
          <w:u w:val="none"/>
          <w:lang w:eastAsia="zh-CN"/>
        </w:rPr>
        <w:t>主要内容应包括</w:t>
      </w:r>
      <w:r>
        <w:rPr>
          <w:rFonts w:hint="eastAsia" w:ascii="宋体" w:hAnsi="宋体" w:eastAsia="宋体" w:cs="宋体"/>
          <w:color w:val="auto"/>
          <w:kern w:val="0"/>
          <w:sz w:val="24"/>
          <w:szCs w:val="24"/>
          <w:highlight w:val="none"/>
          <w:u w:val="none"/>
        </w:rPr>
        <w:t>招标人及中标人名称及社会信用代码</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合同签订人或其委托人全称</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合同金额及合同单位；合同签署时间及合同期限；质量要求；合同其他主要内容；其他依法应当载明的内容</w:t>
      </w:r>
      <w:r>
        <w:rPr>
          <w:rFonts w:hint="eastAsia" w:ascii="宋体" w:hAnsi="宋体" w:eastAsia="宋体" w:cs="宋体"/>
          <w:color w:val="auto"/>
          <w:kern w:val="0"/>
          <w:sz w:val="24"/>
          <w:szCs w:val="24"/>
          <w:highlight w:val="none"/>
          <w:u w:val="none"/>
          <w:lang w:eastAsia="zh-CN"/>
        </w:rPr>
        <w:t>等</w:t>
      </w:r>
      <w:r>
        <w:rPr>
          <w:rFonts w:hint="eastAsia" w:ascii="宋体" w:hAnsi="宋体" w:eastAsia="宋体" w:cs="宋体"/>
          <w:color w:val="auto"/>
          <w:kern w:val="0"/>
          <w:sz w:val="24"/>
          <w:szCs w:val="24"/>
          <w:highlight w:val="none"/>
          <w:u w:val="none"/>
        </w:rPr>
        <w:t>。</w:t>
      </w:r>
    </w:p>
    <w:p w14:paraId="553622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37.</w:t>
      </w:r>
      <w:r>
        <w:rPr>
          <w:rFonts w:hint="eastAsia" w:ascii="宋体" w:hAnsi="宋体" w:eastAsia="宋体" w:cs="宋体"/>
          <w:b/>
          <w:bCs/>
          <w:color w:val="auto"/>
          <w:sz w:val="24"/>
          <w:highlight w:val="none"/>
        </w:rPr>
        <w:t>履约和支付担保</w:t>
      </w:r>
    </w:p>
    <w:p w14:paraId="683474B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.1 中标人</w:t>
      </w:r>
      <w:r>
        <w:rPr>
          <w:rFonts w:hint="eastAsia" w:ascii="宋体" w:hAnsi="宋体" w:eastAsia="宋体" w:cs="宋体"/>
          <w:color w:val="auto"/>
          <w:sz w:val="24"/>
          <w:highlight w:val="none"/>
          <w:lang w:eastAsia="zh-CN"/>
        </w:rPr>
        <w:t>须</w:t>
      </w:r>
      <w:r>
        <w:rPr>
          <w:rFonts w:hint="eastAsia" w:ascii="宋体" w:hAnsi="宋体" w:eastAsia="宋体" w:cs="宋体"/>
          <w:color w:val="auto"/>
          <w:sz w:val="24"/>
          <w:highlight w:val="none"/>
        </w:rPr>
        <w:t>在签订施工承包合同后</w:t>
      </w:r>
      <w:r>
        <w:rPr>
          <w:rFonts w:hint="eastAsia" w:ascii="宋体" w:hAnsi="宋体" w:eastAsia="宋体" w:cs="宋体"/>
          <w:color w:val="auto"/>
          <w:sz w:val="24"/>
          <w:highlight w:val="none"/>
          <w:lang w:eastAsia="zh-CN"/>
        </w:rPr>
        <w:t>按规定</w:t>
      </w:r>
      <w:r>
        <w:rPr>
          <w:rFonts w:hint="eastAsia" w:ascii="宋体" w:hAnsi="宋体" w:eastAsia="宋体" w:cs="宋体"/>
          <w:color w:val="auto"/>
          <w:sz w:val="24"/>
          <w:highlight w:val="none"/>
        </w:rPr>
        <w:t>向招标人提交履约担保，</w:t>
      </w:r>
      <w:r>
        <w:rPr>
          <w:rFonts w:hint="eastAsia" w:ascii="宋体" w:hAnsi="宋体" w:eastAsia="宋体" w:cs="宋体"/>
          <w:color w:val="auto"/>
          <w:spacing w:val="0"/>
          <w:sz w:val="24"/>
          <w:szCs w:val="24"/>
          <w:highlight w:val="none"/>
          <w:u w:val="none"/>
        </w:rPr>
        <w:t>履约担保额</w:t>
      </w:r>
      <w:r>
        <w:rPr>
          <w:rFonts w:hint="eastAsia" w:ascii="宋体" w:hAnsi="宋体" w:eastAsia="宋体" w:cs="宋体"/>
          <w:color w:val="auto"/>
          <w:spacing w:val="0"/>
          <w:sz w:val="24"/>
          <w:szCs w:val="24"/>
          <w:highlight w:val="none"/>
          <w:u w:val="none"/>
          <w:lang w:eastAsia="zh-CN"/>
        </w:rPr>
        <w:t>不得超过中标</w:t>
      </w:r>
      <w:r>
        <w:rPr>
          <w:rFonts w:hint="eastAsia" w:ascii="宋体" w:hAnsi="宋体" w:eastAsia="宋体" w:cs="宋体"/>
          <w:color w:val="auto"/>
          <w:spacing w:val="0"/>
          <w:sz w:val="24"/>
          <w:szCs w:val="24"/>
          <w:highlight w:val="none"/>
          <w:u w:val="none"/>
        </w:rPr>
        <w:t>合同</w:t>
      </w:r>
      <w:r>
        <w:rPr>
          <w:rFonts w:hint="eastAsia" w:ascii="宋体" w:hAnsi="宋体" w:eastAsia="宋体" w:cs="宋体"/>
          <w:color w:val="auto"/>
          <w:spacing w:val="0"/>
          <w:sz w:val="24"/>
          <w:szCs w:val="24"/>
          <w:highlight w:val="none"/>
          <w:u w:val="none"/>
          <w:lang w:eastAsia="zh-CN"/>
        </w:rPr>
        <w:t>金额</w:t>
      </w:r>
      <w:r>
        <w:rPr>
          <w:rFonts w:hint="eastAsia" w:ascii="宋体" w:hAnsi="宋体" w:eastAsia="宋体" w:cs="宋体"/>
          <w:color w:val="auto"/>
          <w:spacing w:val="0"/>
          <w:sz w:val="24"/>
          <w:szCs w:val="24"/>
          <w:highlight w:val="none"/>
          <w:u w:val="none"/>
        </w:rPr>
        <w:t>的10%</w:t>
      </w:r>
      <w:r>
        <w:rPr>
          <w:rFonts w:hint="eastAsia" w:ascii="宋体" w:hAnsi="宋体" w:eastAsia="宋体" w:cs="宋体"/>
          <w:color w:val="auto"/>
          <w:spacing w:val="0"/>
          <w:sz w:val="24"/>
          <w:szCs w:val="24"/>
          <w:highlight w:val="none"/>
        </w:rPr>
        <w:t>。</w:t>
      </w:r>
      <w:r>
        <w:rPr>
          <w:rFonts w:hint="eastAsia" w:ascii="宋体" w:hAnsi="宋体" w:eastAsia="宋体" w:cs="宋体"/>
          <w:color w:val="auto"/>
          <w:sz w:val="24"/>
          <w:highlight w:val="none"/>
        </w:rPr>
        <w:t>具体要求以投标人须知前附表要求为准。</w:t>
      </w:r>
    </w:p>
    <w:p w14:paraId="1FB614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若中标人不能按本投标人须知第</w:t>
      </w:r>
      <w:r>
        <w:rPr>
          <w:rFonts w:hint="eastAsia" w:ascii="宋体" w:hAnsi="宋体" w:eastAsia="宋体" w:cs="宋体"/>
          <w:b/>
          <w:color w:val="auto"/>
          <w:sz w:val="24"/>
          <w:highlight w:val="none"/>
          <w:lang w:val="en-US" w:eastAsia="zh-CN"/>
        </w:rPr>
        <w:t>37</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款的规定金额向招标人提交履约担保的，招标人将有充分的理由解除承包合同，并没收其投标保证金，给招标人造成的损失超过投标保证金数额的，还应当对超过部分予以赔偿。</w:t>
      </w:r>
    </w:p>
    <w:p w14:paraId="50BFE0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eastAsia="宋体" w:cs="宋体"/>
          <w:color w:val="auto"/>
          <w:spacing w:val="0"/>
          <w:sz w:val="24"/>
          <w:szCs w:val="24"/>
          <w:highlight w:val="none"/>
          <w:u w:val="none"/>
        </w:rPr>
        <w:t>招标人要求中标人提供履约担保的，应当向中标人提供工程款支付担保</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color w:val="auto"/>
          <w:spacing w:val="0"/>
          <w:sz w:val="24"/>
          <w:szCs w:val="24"/>
          <w:highlight w:val="none"/>
          <w:u w:val="none"/>
        </w:rPr>
        <w:t>工程款支付担保</w:t>
      </w:r>
      <w:r>
        <w:rPr>
          <w:rFonts w:hint="eastAsia" w:ascii="宋体" w:hAnsi="宋体" w:eastAsia="宋体" w:cs="宋体"/>
          <w:color w:val="auto"/>
          <w:spacing w:val="0"/>
          <w:sz w:val="24"/>
          <w:szCs w:val="24"/>
          <w:highlight w:val="none"/>
          <w:u w:val="none"/>
          <w:lang w:eastAsia="zh-CN"/>
        </w:rPr>
        <w:t>可以</w:t>
      </w:r>
      <w:r>
        <w:rPr>
          <w:rFonts w:hint="eastAsia" w:ascii="宋体" w:hAnsi="宋体" w:eastAsia="宋体" w:cs="宋体"/>
          <w:color w:val="auto"/>
          <w:spacing w:val="0"/>
          <w:sz w:val="24"/>
          <w:szCs w:val="24"/>
          <w:highlight w:val="none"/>
          <w:u w:val="none"/>
        </w:rPr>
        <w:t>选择现金保证金、银行保函、保证保险、融资担保公司保函等</w:t>
      </w:r>
      <w:r>
        <w:rPr>
          <w:rFonts w:hint="eastAsia" w:ascii="宋体" w:hAnsi="宋体" w:eastAsia="宋体" w:cs="宋体"/>
          <w:color w:val="auto"/>
          <w:spacing w:val="0"/>
          <w:sz w:val="24"/>
          <w:szCs w:val="24"/>
          <w:highlight w:val="none"/>
          <w:u w:val="none"/>
          <w:lang w:eastAsia="zh-CN"/>
        </w:rPr>
        <w:t>方式提交</w:t>
      </w:r>
      <w:r>
        <w:rPr>
          <w:rFonts w:hint="eastAsia" w:ascii="宋体" w:hAnsi="宋体" w:eastAsia="宋体" w:cs="宋体"/>
          <w:color w:val="auto"/>
          <w:spacing w:val="0"/>
          <w:sz w:val="24"/>
          <w:szCs w:val="24"/>
          <w:highlight w:val="none"/>
          <w:u w:val="none"/>
        </w:rPr>
        <w:t>。</w:t>
      </w:r>
    </w:p>
    <w:p w14:paraId="783774A6">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lang w:val="en-US" w:eastAsia="zh-CN"/>
        </w:rPr>
        <w:t>38</w:t>
      </w:r>
      <w:r>
        <w:rPr>
          <w:rFonts w:hint="eastAsia" w:ascii="宋体" w:hAnsi="宋体" w:eastAsia="宋体" w:cs="宋体"/>
          <w:b/>
          <w:color w:val="auto"/>
          <w:sz w:val="24"/>
          <w:szCs w:val="24"/>
          <w:highlight w:val="none"/>
          <w:u w:val="none"/>
        </w:rPr>
        <w:t>.合同</w:t>
      </w:r>
      <w:r>
        <w:rPr>
          <w:rFonts w:hint="eastAsia" w:ascii="宋体" w:hAnsi="宋体" w:eastAsia="宋体" w:cs="宋体"/>
          <w:b/>
          <w:color w:val="auto"/>
          <w:sz w:val="24"/>
          <w:szCs w:val="24"/>
          <w:highlight w:val="none"/>
          <w:u w:val="none"/>
          <w:lang w:eastAsia="zh-CN"/>
        </w:rPr>
        <w:t>存档</w:t>
      </w:r>
    </w:p>
    <w:p w14:paraId="28768C37">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u w:val="none"/>
        </w:rPr>
        <w:t>招标人应当自签订施工承包合同之日起30日内，按照规定将</w:t>
      </w:r>
      <w:r>
        <w:rPr>
          <w:rFonts w:hint="eastAsia" w:ascii="宋体" w:hAnsi="宋体" w:eastAsia="宋体" w:cs="宋体"/>
          <w:color w:val="auto"/>
          <w:sz w:val="24"/>
          <w:szCs w:val="24"/>
          <w:highlight w:val="none"/>
          <w:u w:val="none"/>
          <w:lang w:eastAsia="zh-CN"/>
        </w:rPr>
        <w:t>电子版</w:t>
      </w:r>
      <w:r>
        <w:rPr>
          <w:rFonts w:hint="eastAsia" w:ascii="宋体" w:hAnsi="宋体" w:eastAsia="宋体" w:cs="宋体"/>
          <w:color w:val="auto"/>
          <w:sz w:val="24"/>
          <w:szCs w:val="24"/>
          <w:highlight w:val="none"/>
          <w:u w:val="none"/>
        </w:rPr>
        <w:t>施工承包合同及其相关资料报送</w:t>
      </w:r>
      <w:r>
        <w:rPr>
          <w:rFonts w:hint="eastAsia" w:ascii="宋体" w:hAnsi="宋体" w:eastAsia="宋体" w:cs="宋体"/>
          <w:color w:val="auto"/>
          <w:sz w:val="24"/>
          <w:szCs w:val="24"/>
          <w:highlight w:val="none"/>
          <w:u w:val="none"/>
          <w:lang w:eastAsia="zh-CN"/>
        </w:rPr>
        <w:t>招标管理</w:t>
      </w:r>
      <w:r>
        <w:rPr>
          <w:rFonts w:hint="eastAsia" w:ascii="宋体" w:hAnsi="宋体" w:eastAsia="宋体" w:cs="宋体"/>
          <w:b w:val="0"/>
          <w:bCs w:val="0"/>
          <w:color w:val="auto"/>
          <w:sz w:val="24"/>
          <w:szCs w:val="24"/>
          <w:highlight w:val="none"/>
          <w:u w:val="none"/>
          <w:lang w:eastAsia="zh-CN"/>
        </w:rPr>
        <w:t>部门存档</w:t>
      </w:r>
      <w:r>
        <w:rPr>
          <w:rFonts w:hint="eastAsia" w:ascii="宋体" w:hAnsi="宋体" w:eastAsia="宋体" w:cs="宋体"/>
          <w:b w:val="0"/>
          <w:bCs w:val="0"/>
          <w:color w:val="auto"/>
          <w:sz w:val="24"/>
          <w:szCs w:val="24"/>
          <w:highlight w:val="none"/>
          <w:u w:val="none"/>
        </w:rPr>
        <w:t>。</w:t>
      </w:r>
    </w:p>
    <w:p w14:paraId="028C1913">
      <w:pPr>
        <w:pStyle w:val="5"/>
        <w:bidi w:val="0"/>
        <w:rPr>
          <w:rFonts w:hint="eastAsia" w:ascii="宋体" w:hAnsi="宋体" w:eastAsia="宋体" w:cs="宋体"/>
          <w:color w:val="auto"/>
        </w:rPr>
      </w:pPr>
      <w:bookmarkStart w:id="30" w:name="_Toc21828"/>
      <w:r>
        <w:rPr>
          <w:rFonts w:hint="eastAsia" w:ascii="宋体" w:hAnsi="宋体" w:eastAsia="宋体" w:cs="宋体"/>
          <w:color w:val="auto"/>
        </w:rPr>
        <w:t>（</w:t>
      </w:r>
      <w:r>
        <w:rPr>
          <w:rFonts w:hint="eastAsia" w:ascii="宋体" w:hAnsi="宋体" w:eastAsia="宋体" w:cs="宋体"/>
          <w:color w:val="auto"/>
          <w:lang w:eastAsia="zh-CN"/>
        </w:rPr>
        <w:t>十</w:t>
      </w:r>
      <w:r>
        <w:rPr>
          <w:rFonts w:hint="eastAsia" w:ascii="宋体" w:hAnsi="宋体" w:eastAsia="宋体" w:cs="宋体"/>
          <w:color w:val="auto"/>
        </w:rPr>
        <w:t>）电子管理规定</w:t>
      </w:r>
      <w:bookmarkEnd w:id="30"/>
    </w:p>
    <w:p w14:paraId="2FA43694">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39</w:t>
      </w:r>
      <w:r>
        <w:rPr>
          <w:rFonts w:hint="eastAsia" w:ascii="宋体" w:hAnsi="宋体" w:eastAsia="宋体" w:cs="宋体"/>
          <w:b/>
          <w:color w:val="auto"/>
          <w:kern w:val="0"/>
          <w:sz w:val="24"/>
          <w:highlight w:val="none"/>
        </w:rPr>
        <w:t>.应急管理</w:t>
      </w:r>
    </w:p>
    <w:p w14:paraId="4AF82638">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14:paraId="33E41928">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（1）因国际互联网中断、停电、网络入侵、不可抗力等非可控因素导致系统不能正常运行；</w:t>
      </w:r>
    </w:p>
    <w:p w14:paraId="64D148A3">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（2）因系统服务器发生故障而无法访问系统或无法使用系统</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因电子招标投标系统软件或网络数据库出现错误不能进行正常操作；</w:t>
      </w:r>
    </w:p>
    <w:p w14:paraId="77A757B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）电子招</w:t>
      </w:r>
      <w:r>
        <w:rPr>
          <w:rFonts w:hint="eastAsia" w:ascii="宋体" w:hAnsi="宋体" w:eastAsia="宋体" w:cs="宋体"/>
          <w:color w:val="auto"/>
          <w:kern w:val="0"/>
          <w:sz w:val="24"/>
          <w:highlight w:val="none"/>
          <w:lang w:eastAsia="zh-CN"/>
        </w:rPr>
        <w:t>标</w:t>
      </w:r>
      <w:r>
        <w:rPr>
          <w:rFonts w:hint="eastAsia" w:ascii="宋体" w:hAnsi="宋体" w:eastAsia="宋体" w:cs="宋体"/>
          <w:color w:val="auto"/>
          <w:kern w:val="0"/>
          <w:sz w:val="24"/>
          <w:highlight w:val="none"/>
        </w:rPr>
        <w:t>投标系统发现有安全漏洞，有潜在的泄密危险；</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计算机病毒造成影响；</w:t>
      </w:r>
    </w:p>
    <w:p w14:paraId="70B20610">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）其他无法保证电子招标投标过程公平、公正和信息安全的意外情况；</w:t>
      </w:r>
    </w:p>
    <w:p w14:paraId="0912C035">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）相关行政监督部门</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司法、纪检监察等机关依法要求中止或终止电子招标投标活动；</w:t>
      </w:r>
    </w:p>
    <w:p w14:paraId="2825A2D7">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）法律法规规定的其他情形。</w:t>
      </w:r>
    </w:p>
    <w:p w14:paraId="106B77F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14:paraId="22550411">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.2评审或评标过程中如遇系统故障等突发事件，评标</w:t>
      </w:r>
      <w:r>
        <w:rPr>
          <w:rFonts w:hint="eastAsia" w:ascii="宋体" w:hAnsi="宋体" w:eastAsia="宋体" w:cs="宋体"/>
          <w:color w:val="auto"/>
          <w:kern w:val="0"/>
          <w:sz w:val="24"/>
          <w:highlight w:val="none"/>
          <w:lang w:eastAsia="zh-CN"/>
        </w:rPr>
        <w:t>定标</w:t>
      </w:r>
      <w:r>
        <w:rPr>
          <w:rFonts w:hint="eastAsia" w:ascii="宋体" w:hAnsi="宋体" w:eastAsia="宋体" w:cs="宋体"/>
          <w:color w:val="auto"/>
          <w:kern w:val="0"/>
          <w:sz w:val="24"/>
          <w:highlight w:val="none"/>
        </w:rPr>
        <w:t>专家应及时与现场工作人员沟通解决。</w:t>
      </w:r>
    </w:p>
    <w:p w14:paraId="1433B99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14:paraId="3830834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BD2010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14:paraId="387D802A">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电子招标投标中止、终止或结束后，招标人（招标代理机构）应将电子招标投标活动的记录下载打印成纸质文档存档。</w:t>
      </w:r>
    </w:p>
    <w:p w14:paraId="4ADCCAAF">
      <w:pPr>
        <w:keepNext w:val="0"/>
        <w:keepLines w:val="0"/>
        <w:pageBreakBefore w:val="0"/>
        <w:widowControl/>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40</w:t>
      </w:r>
      <w:r>
        <w:rPr>
          <w:rFonts w:hint="eastAsia" w:ascii="宋体" w:hAnsi="宋体" w:eastAsia="宋体" w:cs="宋体"/>
          <w:b/>
          <w:color w:val="auto"/>
          <w:kern w:val="0"/>
          <w:sz w:val="24"/>
          <w:highlight w:val="none"/>
        </w:rPr>
        <w:t>.相关规定</w:t>
      </w:r>
    </w:p>
    <w:p w14:paraId="53AD51BE">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1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14:paraId="0E8D7A6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2投标人在电子招标投标活动中实施下列行为之一，所产生的后果由投标人自行承担。</w:t>
      </w:r>
    </w:p>
    <w:p w14:paraId="1363903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（1）投标人的数字证书和密码被他人冒用、盗用；</w:t>
      </w:r>
    </w:p>
    <w:p w14:paraId="2BCEC59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（2）使用他人数字证书或把数字证书借给他人使用的，依法按以他人名义投标处理；有围标串标行为的，依法按串通投标处理；</w:t>
      </w:r>
    </w:p>
    <w:p w14:paraId="190ED56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（3）因投标人计算机系统遭遇网络堵塞、病毒入侵、硬件故障等导致不能正常登录网上招标投标系统参与投标；</w:t>
      </w:r>
    </w:p>
    <w:p w14:paraId="044C3576">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4"/>
          <w:highlight w:val="none"/>
        </w:rPr>
        <w:t>（4）经</w:t>
      </w:r>
      <w:r>
        <w:rPr>
          <w:rFonts w:hint="eastAsia" w:ascii="宋体" w:hAnsi="宋体" w:eastAsia="宋体" w:cs="宋体"/>
          <w:color w:val="auto"/>
          <w:kern w:val="0"/>
          <w:sz w:val="24"/>
          <w:highlight w:val="none"/>
          <w:lang w:eastAsia="zh-CN"/>
        </w:rPr>
        <w:t>电子招标投标</w:t>
      </w:r>
      <w:r>
        <w:rPr>
          <w:rFonts w:hint="eastAsia" w:ascii="宋体" w:hAnsi="宋体" w:eastAsia="宋体" w:cs="宋体"/>
          <w:color w:val="auto"/>
          <w:kern w:val="0"/>
          <w:sz w:val="24"/>
          <w:highlight w:val="none"/>
        </w:rPr>
        <w:t>系统检测到投标人</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w:t>
      </w:r>
      <w:r>
        <w:rPr>
          <w:rFonts w:hint="eastAsia" w:ascii="宋体" w:hAnsi="宋体" w:eastAsia="宋体" w:cs="宋体"/>
          <w:color w:val="auto"/>
          <w:sz w:val="24"/>
          <w:highlight w:val="none"/>
          <w:lang w:eastAsia="zh-CN"/>
        </w:rPr>
        <w:t>公共资源</w:t>
      </w:r>
      <w:r>
        <w:rPr>
          <w:rFonts w:hint="eastAsia" w:ascii="宋体" w:hAnsi="宋体" w:eastAsia="宋体" w:cs="宋体"/>
          <w:color w:val="auto"/>
          <w:sz w:val="24"/>
          <w:highlight w:val="none"/>
        </w:rPr>
        <w:t>交易中心计算机编制或上传的除外）</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情形</w:t>
      </w:r>
      <w:r>
        <w:rPr>
          <w:rFonts w:hint="eastAsia" w:ascii="宋体" w:hAnsi="宋体" w:eastAsia="宋体" w:cs="宋体"/>
          <w:color w:val="auto"/>
          <w:kern w:val="0"/>
          <w:sz w:val="24"/>
          <w:highlight w:val="none"/>
        </w:rPr>
        <w:t>，视为串通投标行为，其投标无效，并依法处理。</w:t>
      </w:r>
    </w:p>
    <w:p w14:paraId="62EBABED">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lang w:eastAsia="zh-CN"/>
        </w:rPr>
        <w:t>电子招标</w:t>
      </w:r>
      <w:r>
        <w:rPr>
          <w:rFonts w:hint="eastAsia" w:ascii="宋体" w:hAnsi="宋体" w:eastAsia="宋体" w:cs="宋体"/>
          <w:color w:val="auto"/>
          <w:sz w:val="24"/>
          <w:szCs w:val="24"/>
          <w:highlight w:val="none"/>
        </w:rPr>
        <w:t>投标活动的各类注册人员和相关从业人员，应当在</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中选取。</w:t>
      </w:r>
      <w:r>
        <w:rPr>
          <w:rFonts w:hint="eastAsia" w:ascii="宋体" w:hAnsi="宋体" w:eastAsia="宋体" w:cs="宋体"/>
          <w:color w:val="auto"/>
          <w:kern w:val="0"/>
          <w:sz w:val="24"/>
          <w:highlight w:val="none"/>
        </w:rPr>
        <w:t xml:space="preserve"> 参加投标之前，投标人应</w:t>
      </w:r>
      <w:r>
        <w:rPr>
          <w:rFonts w:hint="eastAsia" w:ascii="宋体" w:hAnsi="宋体" w:eastAsia="宋体" w:cs="宋体"/>
          <w:color w:val="auto"/>
          <w:kern w:val="0"/>
          <w:sz w:val="24"/>
          <w:highlight w:val="none"/>
          <w:lang w:eastAsia="zh-CN"/>
        </w:rPr>
        <w:t>确保</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lang w:eastAsia="zh-CN"/>
        </w:rPr>
        <w:t>人员</w:t>
      </w:r>
      <w:r>
        <w:rPr>
          <w:rFonts w:hint="eastAsia" w:ascii="宋体" w:hAnsi="宋体" w:eastAsia="宋体" w:cs="宋体"/>
          <w:color w:val="auto"/>
          <w:kern w:val="0"/>
          <w:sz w:val="24"/>
          <w:highlight w:val="none"/>
        </w:rPr>
        <w:t>信息与</w:t>
      </w:r>
      <w:r>
        <w:rPr>
          <w:rFonts w:hint="eastAsia" w:ascii="宋体" w:hAnsi="宋体" w:eastAsia="宋体" w:cs="宋体"/>
          <w:color w:val="auto"/>
          <w:kern w:val="0"/>
          <w:sz w:val="24"/>
          <w:highlight w:val="none"/>
          <w:lang w:val="en-US" w:eastAsia="zh-CN"/>
        </w:rPr>
        <w:t>投标系统</w:t>
      </w:r>
      <w:r>
        <w:rPr>
          <w:rFonts w:hint="eastAsia" w:ascii="宋体" w:hAnsi="宋体" w:eastAsia="宋体" w:cs="宋体"/>
          <w:color w:val="auto"/>
          <w:sz w:val="24"/>
          <w:szCs w:val="24"/>
          <w:highlight w:val="none"/>
        </w:rPr>
        <w:t>人员</w:t>
      </w:r>
      <w:r>
        <w:rPr>
          <w:rFonts w:hint="eastAsia" w:ascii="宋体" w:hAnsi="宋体" w:eastAsia="宋体" w:cs="宋体"/>
          <w:b w:val="0"/>
          <w:bCs w:val="0"/>
          <w:color w:val="auto"/>
          <w:sz w:val="24"/>
          <w:highlight w:val="none"/>
        </w:rPr>
        <w:t>信息</w:t>
      </w:r>
      <w:r>
        <w:rPr>
          <w:rFonts w:hint="eastAsia" w:ascii="宋体" w:hAnsi="宋体" w:eastAsia="宋体" w:cs="宋体"/>
          <w:color w:val="auto"/>
          <w:kern w:val="0"/>
          <w:sz w:val="24"/>
          <w:highlight w:val="none"/>
        </w:rPr>
        <w:t>一致，以免造成投标不成功</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因其可能引起的一切后果由投标人自行承担。</w:t>
      </w:r>
    </w:p>
    <w:p w14:paraId="1A4D517B">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 xml:space="preserve">.4 </w:t>
      </w:r>
      <w:r>
        <w:rPr>
          <w:rFonts w:hint="eastAsia" w:ascii="宋体" w:hAnsi="宋体" w:eastAsia="宋体" w:cs="宋体"/>
          <w:color w:val="auto"/>
          <w:kern w:val="0"/>
          <w:sz w:val="24"/>
          <w:highlight w:val="none"/>
        </w:rPr>
        <w:t>拟派</w:t>
      </w:r>
      <w:r>
        <w:rPr>
          <w:rFonts w:hint="eastAsia" w:ascii="宋体" w:hAnsi="宋体" w:eastAsia="宋体" w:cs="宋体"/>
          <w:color w:val="auto"/>
          <w:kern w:val="0"/>
          <w:sz w:val="24"/>
          <w:highlight w:val="none"/>
          <w:lang w:eastAsia="zh-CN"/>
        </w:rPr>
        <w:t>参加</w:t>
      </w:r>
      <w:r>
        <w:rPr>
          <w:rFonts w:hint="eastAsia" w:ascii="宋体" w:hAnsi="宋体" w:eastAsia="宋体" w:cs="宋体"/>
          <w:color w:val="auto"/>
          <w:kern w:val="0"/>
          <w:sz w:val="24"/>
          <w:highlight w:val="none"/>
        </w:rPr>
        <w:t>投标</w:t>
      </w:r>
      <w:r>
        <w:rPr>
          <w:rFonts w:hint="eastAsia" w:ascii="宋体" w:hAnsi="宋体" w:eastAsia="宋体" w:cs="宋体"/>
          <w:color w:val="auto"/>
          <w:sz w:val="24"/>
          <w:szCs w:val="24"/>
          <w:highlight w:val="none"/>
        </w:rPr>
        <w:t>担任</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项目负责人的建造师，在施工报建时，由核发施工许可证的主管部门对其进行锁定。工程项目已通过竣工验收并提供竣工验收报告，</w:t>
      </w:r>
      <w:r>
        <w:rPr>
          <w:rFonts w:hint="eastAsia" w:ascii="宋体" w:hAnsi="宋体" w:eastAsia="宋体" w:cs="宋体"/>
          <w:color w:val="auto"/>
          <w:sz w:val="24"/>
          <w:szCs w:val="24"/>
          <w:highlight w:val="none"/>
          <w:lang w:eastAsia="zh-CN"/>
        </w:rPr>
        <w:t>承包人</w:t>
      </w:r>
      <w:r>
        <w:rPr>
          <w:rFonts w:hint="eastAsia" w:ascii="宋体" w:hAnsi="宋体" w:eastAsia="宋体" w:cs="宋体"/>
          <w:color w:val="auto"/>
          <w:sz w:val="24"/>
          <w:szCs w:val="24"/>
          <w:highlight w:val="none"/>
        </w:rPr>
        <w:t>可向</w:t>
      </w:r>
      <w:r>
        <w:rPr>
          <w:rFonts w:hint="eastAsia" w:ascii="宋体" w:hAnsi="宋体" w:eastAsia="宋体" w:cs="宋体"/>
          <w:color w:val="auto"/>
          <w:sz w:val="24"/>
          <w:szCs w:val="24"/>
          <w:highlight w:val="none"/>
          <w:lang w:eastAsia="zh-CN"/>
        </w:rPr>
        <w:t>原</w:t>
      </w:r>
      <w:r>
        <w:rPr>
          <w:rFonts w:hint="eastAsia" w:ascii="宋体" w:hAnsi="宋体" w:eastAsia="宋体" w:cs="宋体"/>
          <w:color w:val="auto"/>
          <w:sz w:val="24"/>
          <w:szCs w:val="24"/>
          <w:highlight w:val="none"/>
        </w:rPr>
        <w:t>核发施工许可证的主管部门申请解锁</w:t>
      </w:r>
      <w:r>
        <w:rPr>
          <w:rFonts w:hint="eastAsia" w:ascii="宋体" w:hAnsi="宋体" w:eastAsia="宋体" w:cs="宋体"/>
          <w:color w:val="auto"/>
          <w:sz w:val="24"/>
          <w:szCs w:val="24"/>
          <w:highlight w:val="none"/>
          <w:lang w:eastAsia="zh-CN"/>
        </w:rPr>
        <w:t>原已</w:t>
      </w:r>
      <w:r>
        <w:rPr>
          <w:rFonts w:hint="eastAsia" w:ascii="宋体" w:hAnsi="宋体" w:eastAsia="宋体" w:cs="宋体"/>
          <w:color w:val="auto"/>
          <w:sz w:val="24"/>
          <w:szCs w:val="24"/>
          <w:highlight w:val="none"/>
        </w:rPr>
        <w:t>锁定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建造师</w:t>
      </w:r>
      <w:r>
        <w:rPr>
          <w:rFonts w:hint="eastAsia" w:ascii="宋体" w:hAnsi="宋体" w:eastAsia="宋体" w:cs="宋体"/>
          <w:color w:val="auto"/>
          <w:sz w:val="24"/>
          <w:szCs w:val="24"/>
          <w:highlight w:val="none"/>
          <w:lang w:eastAsia="zh-CN"/>
        </w:rPr>
        <w:t>。</w:t>
      </w:r>
    </w:p>
    <w:p w14:paraId="342116F3">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电子评标的项目，</w:t>
      </w:r>
      <w:r>
        <w:rPr>
          <w:rFonts w:hint="eastAsia" w:ascii="宋体" w:hAnsi="宋体" w:eastAsia="宋体" w:cs="宋体"/>
          <w:color w:val="auto"/>
          <w:kern w:val="0"/>
          <w:sz w:val="24"/>
          <w:highlight w:val="none"/>
          <w:lang w:eastAsia="zh-CN"/>
        </w:rPr>
        <w:t>投标时，</w:t>
      </w:r>
      <w:r>
        <w:rPr>
          <w:rFonts w:hint="eastAsia" w:ascii="宋体" w:hAnsi="宋体" w:eastAsia="宋体" w:cs="宋体"/>
          <w:color w:val="auto"/>
          <w:kern w:val="0"/>
          <w:sz w:val="24"/>
          <w:highlight w:val="none"/>
        </w:rPr>
        <w:t>投标文件一律不接受纸质文件，投标人须递交具备法律效力的电子投标文件。</w:t>
      </w:r>
    </w:p>
    <w:p w14:paraId="69D4026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经数字证书签章签名上传的招标资料或投标资料具有法律效力。招标人（招标代理机构）、潜在投标人应当对其上传资料的真实性、完整性和准确性负责。</w:t>
      </w:r>
    </w:p>
    <w:p w14:paraId="4BA0561D">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40</w:t>
      </w:r>
      <w:r>
        <w:rPr>
          <w:rFonts w:hint="eastAsia" w:ascii="宋体" w:hAnsi="宋体" w:eastAsia="宋体" w:cs="宋体"/>
          <w:color w:val="auto"/>
          <w:sz w:val="24"/>
          <w:highlight w:val="none"/>
        </w:rPr>
        <w:t>.7</w:t>
      </w:r>
      <w:r>
        <w:rPr>
          <w:rFonts w:hint="eastAsia" w:ascii="宋体" w:hAnsi="宋体" w:eastAsia="宋体" w:cs="宋体"/>
          <w:color w:val="auto"/>
          <w:kern w:val="0"/>
          <w:sz w:val="24"/>
          <w:highlight w:val="none"/>
        </w:rPr>
        <w:t>评标（定标）工作完成后，电子招标投标系统将电子辅助评标（定标）过程产生的数据和记录自动存档，并进行数据的汇总、统计，供有关部门查询、监督。</w:t>
      </w:r>
    </w:p>
    <w:p w14:paraId="7A7E34E5">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kern w:val="0"/>
          <w:sz w:val="24"/>
          <w:highlight w:val="none"/>
          <w:lang w:val="en-US" w:eastAsia="zh-CN"/>
        </w:rPr>
        <w:t>40</w:t>
      </w:r>
      <w:r>
        <w:rPr>
          <w:rFonts w:hint="eastAsia" w:ascii="宋体" w:hAnsi="宋体" w:eastAsia="宋体" w:cs="宋体"/>
          <w:color w:val="auto"/>
          <w:kern w:val="0"/>
          <w:sz w:val="24"/>
          <w:highlight w:val="none"/>
        </w:rPr>
        <w:t>.8电子辅助评标（定标）的档案，除纪检监察机关、行政监督部门或者司法机关依法进行核查外，其他任何单位或个人不得擅自查阅档案资料。</w:t>
      </w:r>
    </w:p>
    <w:p w14:paraId="3108CC2D">
      <w:pPr>
        <w:pStyle w:val="5"/>
        <w:bidi w:val="0"/>
        <w:rPr>
          <w:rFonts w:hint="eastAsia" w:ascii="宋体" w:hAnsi="宋体" w:eastAsia="宋体" w:cs="宋体"/>
          <w:b/>
          <w:bCs/>
          <w:color w:val="auto"/>
          <w:szCs w:val="28"/>
          <w:highlight w:val="none"/>
          <w:lang w:val="en-US" w:eastAsia="zh-CN"/>
        </w:rPr>
      </w:pPr>
      <w:bookmarkStart w:id="31" w:name="_Toc25765"/>
      <w:r>
        <w:rPr>
          <w:rFonts w:hint="eastAsia" w:ascii="宋体" w:hAnsi="宋体" w:eastAsia="宋体" w:cs="宋体"/>
          <w:color w:val="auto"/>
        </w:rPr>
        <w:t>（</w:t>
      </w:r>
      <w:r>
        <w:rPr>
          <w:rFonts w:hint="eastAsia" w:ascii="宋体" w:hAnsi="宋体" w:eastAsia="宋体" w:cs="宋体"/>
          <w:color w:val="auto"/>
          <w:lang w:eastAsia="zh-CN"/>
        </w:rPr>
        <w:t>十</w:t>
      </w:r>
      <w:r>
        <w:rPr>
          <w:rFonts w:hint="eastAsia" w:ascii="宋体" w:hAnsi="宋体" w:eastAsia="宋体" w:cs="宋体"/>
          <w:color w:val="auto"/>
          <w:lang w:val="en-US" w:eastAsia="zh-CN"/>
        </w:rPr>
        <w:t>一</w:t>
      </w:r>
      <w:r>
        <w:rPr>
          <w:rFonts w:hint="eastAsia" w:ascii="宋体" w:hAnsi="宋体" w:eastAsia="宋体" w:cs="宋体"/>
          <w:color w:val="auto"/>
        </w:rPr>
        <w:t>）</w:t>
      </w:r>
      <w:r>
        <w:rPr>
          <w:rFonts w:hint="eastAsia" w:ascii="宋体" w:hAnsi="宋体" w:eastAsia="宋体" w:cs="宋体"/>
          <w:color w:val="auto"/>
          <w:lang w:val="en-US" w:eastAsia="zh-CN"/>
        </w:rPr>
        <w:t>其他</w:t>
      </w:r>
      <w:bookmarkEnd w:id="31"/>
    </w:p>
    <w:p w14:paraId="1FA2392A">
      <w:pPr>
        <w:keepNext w:val="0"/>
        <w:keepLines w:val="0"/>
        <w:pageBreakBefore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41.放弃中标的处理</w:t>
      </w:r>
    </w:p>
    <w:p w14:paraId="5FECADA4">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41.1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A7A19E6">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41.2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DD1DC21">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41.3 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D667AD6">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43.本项目由中标人支付招标代理费及评标专家酬劳，代理费根据国家计委 关于印发《招标代理服务收费管理暂行办法》的通知计价格[2002]1980号，评标专家酬劳（包括食宿费用、交通费、专家评审劳务费等）由招标代理机构先垫付，中标人须在中标公告公示期结束后,向招标代理机构一次性付清招标代理费和评标专家酬劳（评标专家酬劳以当天评委签收为准）。</w:t>
      </w:r>
    </w:p>
    <w:p w14:paraId="5EE6CFD0">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44.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4F2B8C6">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45.本次招标鼓励投标人积极响应政策号召，充分利用其人才、技术、专业、资源、资金、设备或管理优势，通过技术创新和资源优化，以投标人自愿为原则，助力百千万工程公益性项目。</w:t>
      </w:r>
    </w:p>
    <w:p w14:paraId="3B67E3D3">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投标人需提供自愿助力百千万工程公益性项目公益捐建（捐赠或配建）进度计划及保证措施；以投标人自愿为原则，按招标文件</w:t>
      </w:r>
      <w:r>
        <w:rPr>
          <w:rFonts w:hint="eastAsia" w:ascii="宋体" w:hAnsi="宋体" w:cs="宋体"/>
          <w:color w:val="auto"/>
          <w:kern w:val="0"/>
          <w:sz w:val="24"/>
          <w:highlight w:val="none"/>
          <w:lang w:val="en-US" w:eastAsia="zh-CN"/>
        </w:rPr>
        <w:t>格式</w:t>
      </w:r>
      <w:r>
        <w:rPr>
          <w:rFonts w:hint="eastAsia" w:ascii="宋体" w:hAnsi="宋体" w:eastAsia="宋体" w:cs="宋体"/>
          <w:color w:val="auto"/>
          <w:kern w:val="0"/>
          <w:sz w:val="24"/>
          <w:highlight w:val="none"/>
          <w:lang w:val="en-US" w:eastAsia="zh-CN"/>
        </w:rPr>
        <w:t>十五要求提供《助力项目承诺书》。</w:t>
      </w:r>
    </w:p>
    <w:p w14:paraId="440D1867">
      <w:pPr>
        <w:rPr>
          <w:rFonts w:hint="eastAsia" w:ascii="宋体" w:hAnsi="宋体" w:eastAsia="宋体" w:cs="宋体"/>
          <w:color w:val="auto"/>
          <w:lang w:val="en-US" w:eastAsia="zh-CN"/>
        </w:rPr>
      </w:pPr>
    </w:p>
    <w:p w14:paraId="372EAED8">
      <w:pPr>
        <w:rPr>
          <w:rFonts w:hint="eastAsia" w:ascii="宋体" w:hAnsi="宋体" w:eastAsia="宋体" w:cs="宋体"/>
          <w:color w:val="auto"/>
          <w:lang w:val="en-US" w:eastAsia="zh-CN"/>
        </w:rPr>
      </w:pPr>
    </w:p>
    <w:p w14:paraId="0130E881">
      <w:pPr>
        <w:rPr>
          <w:rFonts w:hint="eastAsia" w:ascii="宋体" w:hAnsi="宋体" w:eastAsia="宋体" w:cs="宋体"/>
          <w:color w:val="auto"/>
          <w:lang w:val="en-US" w:eastAsia="zh-CN"/>
        </w:rPr>
      </w:pPr>
    </w:p>
    <w:p w14:paraId="24F22FA4">
      <w:pPr>
        <w:rPr>
          <w:rFonts w:hint="eastAsia" w:ascii="宋体" w:hAnsi="宋体" w:eastAsia="宋体" w:cs="宋体"/>
          <w:color w:val="auto"/>
          <w:lang w:val="en-US" w:eastAsia="zh-CN"/>
        </w:rPr>
      </w:pPr>
    </w:p>
    <w:p w14:paraId="31B58779">
      <w:pPr>
        <w:rPr>
          <w:rFonts w:hint="eastAsia" w:ascii="宋体" w:hAnsi="宋体" w:eastAsia="宋体" w:cs="宋体"/>
          <w:color w:val="auto"/>
          <w:lang w:val="en-US" w:eastAsia="zh-CN"/>
        </w:rPr>
      </w:pPr>
    </w:p>
    <w:p w14:paraId="32F2A8C4">
      <w:pPr>
        <w:rPr>
          <w:rFonts w:hint="eastAsia" w:ascii="宋体" w:hAnsi="宋体" w:eastAsia="宋体" w:cs="宋体"/>
          <w:color w:val="auto"/>
          <w:lang w:val="en-US" w:eastAsia="zh-CN"/>
        </w:rPr>
      </w:pPr>
    </w:p>
    <w:p w14:paraId="1AF0A5A4">
      <w:pPr>
        <w:rPr>
          <w:rFonts w:hint="eastAsia" w:ascii="宋体" w:hAnsi="宋体" w:eastAsia="宋体" w:cs="宋体"/>
          <w:color w:val="auto"/>
          <w:lang w:val="en-US" w:eastAsia="zh-CN"/>
        </w:rPr>
      </w:pPr>
    </w:p>
    <w:p w14:paraId="606EE5EB">
      <w:pPr>
        <w:rPr>
          <w:rFonts w:hint="eastAsia" w:ascii="宋体" w:hAnsi="宋体" w:eastAsia="宋体" w:cs="宋体"/>
          <w:color w:val="auto"/>
          <w:lang w:val="en-US" w:eastAsia="zh-CN"/>
        </w:rPr>
      </w:pPr>
    </w:p>
    <w:p w14:paraId="2ED7F7B4">
      <w:pPr>
        <w:rPr>
          <w:rFonts w:hint="eastAsia" w:ascii="宋体" w:hAnsi="宋体" w:eastAsia="宋体" w:cs="宋体"/>
          <w:color w:val="auto"/>
          <w:lang w:val="en-US" w:eastAsia="zh-CN"/>
        </w:rPr>
      </w:pPr>
    </w:p>
    <w:p w14:paraId="2C66C4ED">
      <w:pPr>
        <w:rPr>
          <w:rFonts w:hint="eastAsia" w:ascii="宋体" w:hAnsi="宋体" w:eastAsia="宋体" w:cs="宋体"/>
          <w:color w:val="auto"/>
          <w:lang w:val="en-US" w:eastAsia="zh-CN"/>
        </w:rPr>
      </w:pPr>
    </w:p>
    <w:p w14:paraId="4F939094">
      <w:pPr>
        <w:rPr>
          <w:rFonts w:hint="eastAsia" w:ascii="宋体" w:hAnsi="宋体" w:eastAsia="宋体" w:cs="宋体"/>
          <w:color w:val="auto"/>
          <w:lang w:val="en-US" w:eastAsia="zh-CN"/>
        </w:rPr>
      </w:pPr>
    </w:p>
    <w:p w14:paraId="7A2D632D">
      <w:pPr>
        <w:rPr>
          <w:rFonts w:hint="eastAsia" w:ascii="宋体" w:hAnsi="宋体" w:eastAsia="宋体" w:cs="宋体"/>
          <w:color w:val="auto"/>
          <w:lang w:val="en-US" w:eastAsia="zh-CN"/>
        </w:rPr>
      </w:pPr>
    </w:p>
    <w:p w14:paraId="5482CF42">
      <w:pPr>
        <w:rPr>
          <w:rFonts w:hint="eastAsia" w:ascii="宋体" w:hAnsi="宋体" w:eastAsia="宋体" w:cs="宋体"/>
          <w:color w:val="auto"/>
          <w:lang w:val="en-US" w:eastAsia="zh-CN"/>
        </w:rPr>
      </w:pPr>
    </w:p>
    <w:p w14:paraId="1DECE380">
      <w:pPr>
        <w:rPr>
          <w:rFonts w:hint="eastAsia" w:ascii="宋体" w:hAnsi="宋体" w:eastAsia="宋体" w:cs="宋体"/>
          <w:color w:val="auto"/>
          <w:lang w:val="en-US" w:eastAsia="zh-CN"/>
        </w:rPr>
      </w:pPr>
    </w:p>
    <w:p w14:paraId="37D19A36">
      <w:pPr>
        <w:rPr>
          <w:rFonts w:hint="eastAsia" w:ascii="宋体" w:hAnsi="宋体" w:eastAsia="宋体" w:cs="宋体"/>
          <w:color w:val="auto"/>
          <w:lang w:val="en-US" w:eastAsia="zh-CN"/>
        </w:rPr>
      </w:pPr>
    </w:p>
    <w:p w14:paraId="57A827A7">
      <w:pPr>
        <w:rPr>
          <w:rFonts w:hint="eastAsia" w:ascii="宋体" w:hAnsi="宋体" w:eastAsia="宋体" w:cs="宋体"/>
          <w:color w:val="auto"/>
          <w:lang w:val="en-US" w:eastAsia="zh-CN"/>
        </w:rPr>
      </w:pPr>
    </w:p>
    <w:p w14:paraId="067B62CA">
      <w:pPr>
        <w:rPr>
          <w:rFonts w:hint="eastAsia" w:ascii="宋体" w:hAnsi="宋体" w:eastAsia="宋体" w:cs="宋体"/>
          <w:color w:val="auto"/>
          <w:lang w:val="en-US" w:eastAsia="zh-CN"/>
        </w:rPr>
      </w:pPr>
    </w:p>
    <w:p w14:paraId="377E9E78">
      <w:pPr>
        <w:rPr>
          <w:rFonts w:hint="eastAsia" w:ascii="宋体" w:hAnsi="宋体" w:eastAsia="宋体" w:cs="宋体"/>
          <w:color w:val="auto"/>
          <w:lang w:val="en-US" w:eastAsia="zh-CN"/>
        </w:rPr>
      </w:pPr>
    </w:p>
    <w:p w14:paraId="18EDED80">
      <w:pPr>
        <w:rPr>
          <w:rFonts w:hint="eastAsia" w:ascii="宋体" w:hAnsi="宋体" w:eastAsia="宋体" w:cs="宋体"/>
          <w:color w:val="auto"/>
          <w:lang w:val="en-US" w:eastAsia="zh-CN"/>
        </w:rPr>
      </w:pPr>
    </w:p>
    <w:p w14:paraId="0AE0D6C3">
      <w:pPr>
        <w:rPr>
          <w:rFonts w:hint="eastAsia" w:ascii="宋体" w:hAnsi="宋体" w:eastAsia="宋体" w:cs="宋体"/>
          <w:color w:val="auto"/>
          <w:lang w:val="en-US" w:eastAsia="zh-CN"/>
        </w:rPr>
      </w:pPr>
    </w:p>
    <w:p w14:paraId="3A8CAA61">
      <w:pPr>
        <w:rPr>
          <w:rFonts w:hint="eastAsia" w:ascii="宋体" w:hAnsi="宋体" w:eastAsia="宋体" w:cs="宋体"/>
          <w:color w:val="auto"/>
          <w:lang w:val="en-US" w:eastAsia="zh-CN"/>
        </w:rPr>
      </w:pPr>
    </w:p>
    <w:p w14:paraId="6BCF8EA0">
      <w:pPr>
        <w:rPr>
          <w:rFonts w:hint="eastAsia" w:ascii="宋体" w:hAnsi="宋体" w:eastAsia="宋体" w:cs="宋体"/>
          <w:color w:val="auto"/>
          <w:lang w:val="en-US" w:eastAsia="zh-CN"/>
        </w:rPr>
      </w:pPr>
    </w:p>
    <w:p w14:paraId="07CEC73C">
      <w:pPr>
        <w:pStyle w:val="3"/>
        <w:bidi w:val="0"/>
        <w:jc w:val="center"/>
        <w:rPr>
          <w:rFonts w:hint="eastAsia" w:ascii="宋体" w:hAnsi="宋体" w:eastAsia="宋体" w:cs="宋体"/>
          <w:color w:val="auto"/>
        </w:rPr>
      </w:pPr>
      <w:bookmarkStart w:id="32" w:name="_Toc8246"/>
      <w:r>
        <w:rPr>
          <w:rFonts w:hint="eastAsia" w:ascii="宋体" w:hAnsi="宋体" w:eastAsia="宋体" w:cs="宋体"/>
          <w:color w:val="auto"/>
        </w:rPr>
        <w:t>第三章   评标</w:t>
      </w:r>
      <w:r>
        <w:rPr>
          <w:rFonts w:hint="eastAsia" w:ascii="宋体" w:hAnsi="宋体" w:eastAsia="宋体" w:cs="宋体"/>
          <w:color w:val="auto"/>
          <w:lang w:eastAsia="zh-CN"/>
        </w:rPr>
        <w:t>定标</w:t>
      </w:r>
      <w:r>
        <w:rPr>
          <w:rFonts w:hint="eastAsia" w:ascii="宋体" w:hAnsi="宋体" w:eastAsia="宋体" w:cs="宋体"/>
          <w:color w:val="auto"/>
        </w:rPr>
        <w:t>办法</w:t>
      </w:r>
      <w:bookmarkEnd w:id="32"/>
    </w:p>
    <w:p w14:paraId="2216F885">
      <w:pPr>
        <w:pStyle w:val="4"/>
        <w:bidi w:val="0"/>
        <w:ind w:left="0" w:leftChars="0" w:firstLine="0" w:firstLineChars="0"/>
        <w:jc w:val="both"/>
        <w:rPr>
          <w:rFonts w:hint="eastAsia" w:ascii="宋体" w:hAnsi="宋体" w:eastAsia="宋体" w:cs="宋体"/>
          <w:color w:val="auto"/>
        </w:rPr>
      </w:pPr>
      <w:bookmarkStart w:id="33" w:name="_Toc26840"/>
      <w:r>
        <w:rPr>
          <w:rFonts w:hint="eastAsia" w:ascii="宋体" w:hAnsi="宋体" w:eastAsia="宋体" w:cs="宋体"/>
          <w:color w:val="auto"/>
        </w:rPr>
        <w:t>一、评标</w:t>
      </w:r>
      <w:r>
        <w:rPr>
          <w:rFonts w:hint="eastAsia" w:ascii="宋体" w:hAnsi="宋体" w:eastAsia="宋体" w:cs="宋体"/>
          <w:color w:val="auto"/>
          <w:lang w:eastAsia="zh-CN"/>
        </w:rPr>
        <w:t>定标</w:t>
      </w:r>
      <w:r>
        <w:rPr>
          <w:rFonts w:hint="eastAsia" w:ascii="宋体" w:hAnsi="宋体" w:eastAsia="宋体" w:cs="宋体"/>
          <w:color w:val="auto"/>
        </w:rPr>
        <w:t>原则</w:t>
      </w:r>
      <w:bookmarkEnd w:id="33"/>
    </w:p>
    <w:p w14:paraId="6CCD8E3B">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02E9D438">
      <w:pPr>
        <w:pStyle w:val="4"/>
        <w:bidi w:val="0"/>
        <w:ind w:left="0" w:leftChars="0" w:firstLine="0" w:firstLineChars="0"/>
        <w:rPr>
          <w:rFonts w:hint="eastAsia" w:ascii="宋体" w:hAnsi="宋体" w:eastAsia="宋体" w:cs="宋体"/>
          <w:color w:val="auto"/>
          <w:lang w:eastAsia="zh-CN"/>
        </w:rPr>
      </w:pPr>
      <w:bookmarkStart w:id="34" w:name="_Toc13215"/>
      <w:r>
        <w:rPr>
          <w:rFonts w:hint="eastAsia" w:ascii="宋体" w:hAnsi="宋体" w:eastAsia="宋体" w:cs="宋体"/>
          <w:color w:val="auto"/>
          <w:lang w:eastAsia="zh-CN"/>
        </w:rPr>
        <w:t>二</w:t>
      </w:r>
      <w:r>
        <w:rPr>
          <w:rFonts w:hint="eastAsia" w:ascii="宋体" w:hAnsi="宋体" w:eastAsia="宋体" w:cs="宋体"/>
          <w:color w:val="auto"/>
        </w:rPr>
        <w:t>、评标</w:t>
      </w:r>
      <w:r>
        <w:rPr>
          <w:rFonts w:hint="eastAsia" w:ascii="宋体" w:hAnsi="宋体" w:eastAsia="宋体" w:cs="宋体"/>
          <w:color w:val="auto"/>
          <w:lang w:val="en-US" w:eastAsia="zh-CN"/>
        </w:rPr>
        <w:t>定标</w:t>
      </w:r>
      <w:r>
        <w:rPr>
          <w:rFonts w:hint="eastAsia" w:ascii="宋体" w:hAnsi="宋体" w:eastAsia="宋体" w:cs="宋体"/>
          <w:color w:val="auto"/>
          <w:lang w:eastAsia="zh-CN"/>
        </w:rPr>
        <w:t>规则</w:t>
      </w:r>
      <w:bookmarkEnd w:id="34"/>
    </w:p>
    <w:p w14:paraId="44DCEB3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（一）评标委员会应当根据招标文件规定的评标标准和方法，对投标文件进行系统地评审和比较。招标文件中没有规定的标准和方法不得作为评标的依据。评标委员会成员应依照评标办法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独立完成对投标文件的评审，并对评标结果签字确认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评标委员会应依照评标办法规定的工作方法和标准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对各评标委员会成员的评标结果进行汇总。</w:t>
      </w:r>
    </w:p>
    <w:p w14:paraId="7CFDD93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标委员会应当根据招标文件规定的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w:t>
      </w:r>
      <w:r>
        <w:rPr>
          <w:rFonts w:hint="eastAsia" w:ascii="宋体" w:hAnsi="宋体" w:eastAsia="宋体" w:cs="宋体"/>
          <w:b w:val="0"/>
          <w:i w:val="0"/>
          <w:snapToGrid/>
          <w:color w:val="auto"/>
          <w:sz w:val="24"/>
          <w:szCs w:val="24"/>
          <w:highlight w:val="none"/>
          <w:u w:val="none"/>
          <w:shd w:val="clear" w:color="auto" w:fill="FFFFFF"/>
          <w:lang w:eastAsia="zh-CN"/>
        </w:rPr>
        <w:t>对定标候选人</w:t>
      </w:r>
      <w:r>
        <w:rPr>
          <w:rFonts w:hint="eastAsia" w:ascii="宋体" w:hAnsi="宋体" w:eastAsia="宋体" w:cs="宋体"/>
          <w:color w:val="auto"/>
          <w:sz w:val="24"/>
          <w:szCs w:val="24"/>
          <w:highlight w:val="none"/>
        </w:rPr>
        <w:t>进行系统</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评审和比较。招标文件中没有规定的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不得作为</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标的依据。</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独立完成对</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color w:val="auto"/>
          <w:sz w:val="24"/>
          <w:szCs w:val="24"/>
          <w:highlight w:val="none"/>
        </w:rPr>
        <w:t>的评审，并对</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对各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标结果进行汇总。</w:t>
      </w:r>
    </w:p>
    <w:p w14:paraId="311BA606">
      <w:pPr>
        <w:pStyle w:val="4"/>
        <w:bidi w:val="0"/>
        <w:ind w:left="0" w:leftChars="0" w:firstLine="0" w:firstLineChars="0"/>
        <w:rPr>
          <w:rFonts w:hint="eastAsia" w:ascii="宋体" w:hAnsi="宋体" w:eastAsia="宋体" w:cs="宋体"/>
          <w:color w:val="auto"/>
          <w:lang w:eastAsia="zh-CN"/>
        </w:rPr>
      </w:pPr>
      <w:bookmarkStart w:id="35" w:name="_Toc24880"/>
      <w:r>
        <w:rPr>
          <w:rFonts w:hint="eastAsia" w:ascii="宋体" w:hAnsi="宋体" w:eastAsia="宋体" w:cs="宋体"/>
          <w:color w:val="auto"/>
          <w:lang w:eastAsia="zh-CN"/>
        </w:rPr>
        <w:t>三、评标细则</w:t>
      </w:r>
      <w:bookmarkEnd w:id="35"/>
    </w:p>
    <w:p w14:paraId="58C3E82A">
      <w:pPr>
        <w:keepNext w:val="0"/>
        <w:keepLines w:val="0"/>
        <w:pageBreakBefore w:val="0"/>
        <w:kinsoku/>
        <w:wordWrap/>
        <w:overflowPunct/>
        <w:topLinePunct w:val="0"/>
        <w:autoSpaceDE/>
        <w:autoSpaceDN/>
        <w:bidi w:val="0"/>
        <w:adjustRightInd/>
        <w:snapToGrid/>
        <w:spacing w:line="400" w:lineRule="exact"/>
        <w:ind w:firstLine="361" w:firstLineChars="15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综合评估法</w:t>
      </w:r>
    </w:p>
    <w:p w14:paraId="10FB065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根据有关法律、法规的相关规定，结合本招标项目资金来源和规模特点，本次招标采用综合评估法进行评标。</w:t>
      </w:r>
    </w:p>
    <w:p w14:paraId="494F9A39">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6" w:name="_Toc9289"/>
      <w:bookmarkStart w:id="37" w:name="_Toc1657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评审范围</w:t>
      </w:r>
      <w:bookmarkEnd w:id="36"/>
      <w:bookmarkEnd w:id="37"/>
    </w:p>
    <w:p w14:paraId="7E22B56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评标委员会应对所有投标人的投标文件进行评审。</w:t>
      </w:r>
    </w:p>
    <w:p w14:paraId="441460E5">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38" w:name="_Toc17846"/>
      <w:bookmarkStart w:id="39" w:name="_Toc20456"/>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初步评审阶段</w:t>
      </w:r>
      <w:bookmarkEnd w:id="38"/>
      <w:bookmarkEnd w:id="39"/>
    </w:p>
    <w:p w14:paraId="7ABA65C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初步评审阶段分为资格评审、形式评审和响应性评审三个环节。</w:t>
      </w:r>
    </w:p>
    <w:p w14:paraId="756FF58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初步评审阶段各个环节否决投标的全部条件，在</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投标人须知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、投标人须知</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lang w:val="en-US" w:eastAsia="zh-CN"/>
        </w:rPr>
        <w:t>中</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投标否决”</w:t>
      </w:r>
      <w:r>
        <w:rPr>
          <w:rFonts w:hint="eastAsia" w:ascii="宋体" w:hAnsi="宋体" w:eastAsia="宋体" w:cs="宋体"/>
          <w:color w:val="auto"/>
          <w:sz w:val="24"/>
          <w:szCs w:val="24"/>
          <w:highlight w:val="none"/>
        </w:rPr>
        <w:t>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r>
        <w:rPr>
          <w:rFonts w:hint="eastAsia" w:ascii="宋体" w:hAnsi="宋体" w:eastAsia="宋体" w:cs="宋体"/>
          <w:color w:val="auto"/>
          <w:sz w:val="24"/>
          <w:szCs w:val="24"/>
          <w:highlight w:val="none"/>
          <w:lang w:eastAsia="zh-CN"/>
        </w:rPr>
        <w:t>。</w:t>
      </w:r>
    </w:p>
    <w:p w14:paraId="475A89AE">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rPr>
      </w:pPr>
      <w:bookmarkStart w:id="40" w:name="_Toc9470"/>
      <w:bookmarkStart w:id="41" w:name="_Toc17066"/>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详细评审阶段</w:t>
      </w:r>
      <w:bookmarkEnd w:id="40"/>
      <w:bookmarkEnd w:id="41"/>
    </w:p>
    <w:p w14:paraId="26837231">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评审程序</w:t>
      </w:r>
    </w:p>
    <w:p w14:paraId="0D43D71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评审内容分为商务技术和投标报价两大部分。其中，商务技术合计满分100分，权重为</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%；投标报价满分100分，权重为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%。两大部分权重之和应为100%。</w:t>
      </w:r>
    </w:p>
    <w:p w14:paraId="0222B53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除特别注明外，综合得分以及商务技术得分、投标报价得分的中间过程计算值和最终值，均按“四舍五入”原则精确到两位小数。</w:t>
      </w:r>
    </w:p>
    <w:p w14:paraId="0805A57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（1）商务技术得分M</w:t>
      </w:r>
    </w:p>
    <w:p w14:paraId="61BED95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a．评标委员会按照《综合评分表》商务部分指定的评分标准对各评分因素进行打分。各评分因素得分之和即为某投标人的商务得分M1。</w:t>
      </w:r>
    </w:p>
    <w:p w14:paraId="1C6A1A35">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委员会各成员独立按照《综合评分表》技术部分（施工组织设计）指定的评分标准对各评分因素进行打分，累加后得出技术评分。将评标委员会所有成员的技术评分去掉一个最高分和一个最低分后，取算术平均值，即为某投标人的技术得分M2。</w:t>
      </w:r>
    </w:p>
    <w:p w14:paraId="6768666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c．M＝M1＋M2</w:t>
      </w:r>
    </w:p>
    <w:p w14:paraId="163C908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式中：M1为某投标人的商务得分，M2为某投标人的技术得分。</w:t>
      </w:r>
    </w:p>
    <w:p w14:paraId="128A50C9">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（2）投标报价得分N</w:t>
      </w:r>
    </w:p>
    <w:p w14:paraId="2E9D3F9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a．评标委员会按照《综合评分表》投标报价部分指定的方法计算评标基准价D。</w:t>
      </w:r>
    </w:p>
    <w:p w14:paraId="695FA17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b．采用内插法计算某投标人的投标报价得分N，即当投标人的投标总价等于评标基准价时得100分，每高于评标基准价一个百分点扣1分, 每低于评标基准价一个百分点扣0.5分，扣完为止。公式如下：</w:t>
      </w:r>
    </w:p>
    <w:p w14:paraId="4D1FE51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N＝100－（| Di－D | ÷D）×100×E</w:t>
      </w:r>
    </w:p>
    <w:p w14:paraId="1FFD5F4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式中：D为评标基准价；Di为某投标人的投标总价；E为扣分因子，当Di＞D时，E＝1；当Di＜D时，E＝0.5。</w:t>
      </w:r>
    </w:p>
    <w:p w14:paraId="15B4A52A">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（3）综合得分</w:t>
      </w:r>
    </w:p>
    <w:p w14:paraId="3EADCC8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综合得分换算为百分制，满分100分，公式如下：</w:t>
      </w:r>
    </w:p>
    <w:p w14:paraId="3AEDB97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综合得分＝M÷商务技术合计满分×100×商务技术权重＋N×投标报价权重</w:t>
      </w:r>
    </w:p>
    <w:p w14:paraId="4A07850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式中：M为商务技术得分，N为投标报价得分。</w:t>
      </w:r>
    </w:p>
    <w:p w14:paraId="2A53C32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评标委员会根据招标文件规定的评分细则，对招标文件中的各评审因素进行评审、比较、打分，将得分前5名不排序（按企业统一社会信用代码后4位大小排位）</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rPr>
        <w:t>。</w:t>
      </w:r>
    </w:p>
    <w:p w14:paraId="0DFD3D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定标候选人得分只作为评标委员会的推荐依据，不作为定标委员会对中标候选人排序的依据。</w:t>
      </w:r>
      <w:r>
        <w:rPr>
          <w:rFonts w:hint="eastAsia" w:ascii="宋体" w:hAnsi="宋体" w:eastAsia="宋体" w:cs="宋体"/>
          <w:color w:val="auto"/>
          <w:sz w:val="24"/>
          <w:szCs w:val="24"/>
          <w:highlight w:val="none"/>
          <w:lang w:val="en-US" w:eastAsia="zh-CN"/>
        </w:rPr>
        <w:t>当有效投标人数量不足5名但满足法定要求时，所有通过评审的有效投标人均应作为定标候选人。</w:t>
      </w:r>
    </w:p>
    <w:p w14:paraId="2BC4C1F0">
      <w:pPr>
        <w:keepNext w:val="0"/>
        <w:keepLines w:val="0"/>
        <w:pageBreakBefore w:val="0"/>
        <w:widowControl w:val="0"/>
        <w:kinsoku/>
        <w:wordWrap/>
        <w:overflowPunct/>
        <w:topLinePunct w:val="0"/>
        <w:autoSpaceDE/>
        <w:autoSpaceDN/>
        <w:bidi w:val="0"/>
        <w:adjustRightInd/>
        <w:snapToGrid/>
        <w:spacing w:line="400" w:lineRule="exact"/>
        <w:ind w:firstLine="361" w:firstLineChars="15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否决投标说明</w:t>
      </w:r>
    </w:p>
    <w:p w14:paraId="556494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详细评审阶段否决投标的全部条件，在“第二章 投标人须知”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、投标人须知”</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eastAsia="zh-CN"/>
        </w:rPr>
        <w:t>“（二）投标否决”集中列示。投标人有其中所列任何一种情形的，由评标委员会否决其投标。经详细评审后，有效投标人数量不足3个时，招标人应依法重新组织招标。</w:t>
      </w:r>
    </w:p>
    <w:p w14:paraId="289A95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注：投标人在详细评审阶段根据评分方法提供的佐证材料，其合法性、有效性和准确性不符合要求的，有关量化因素（或评分标准）的折算、调整（或评分）按相应量化标准（或评分标准）处理，但不否决投标。</w:t>
      </w:r>
    </w:p>
    <w:p w14:paraId="449DEC17">
      <w:pPr>
        <w:pStyle w:val="13"/>
        <w:widowControl w:val="0"/>
        <w:numPr>
          <w:ilvl w:val="0"/>
          <w:numId w:val="0"/>
        </w:numPr>
        <w:jc w:val="both"/>
        <w:rPr>
          <w:rFonts w:hint="eastAsia" w:ascii="宋体" w:hAnsi="宋体" w:eastAsia="宋体" w:cs="宋体"/>
          <w:color w:val="auto"/>
          <w:highlight w:val="none"/>
        </w:rPr>
      </w:pPr>
    </w:p>
    <w:p w14:paraId="0BAD0D6E">
      <w:pPr>
        <w:pStyle w:val="13"/>
        <w:widowControl w:val="0"/>
        <w:numPr>
          <w:ilvl w:val="0"/>
          <w:numId w:val="0"/>
        </w:numPr>
        <w:jc w:val="both"/>
        <w:rPr>
          <w:rFonts w:hint="eastAsia" w:ascii="宋体" w:hAnsi="宋体" w:eastAsia="宋体" w:cs="宋体"/>
          <w:color w:val="auto"/>
          <w:highlight w:val="none"/>
        </w:rPr>
      </w:pPr>
    </w:p>
    <w:p w14:paraId="57F191B9">
      <w:pPr>
        <w:pStyle w:val="13"/>
        <w:widowControl w:val="0"/>
        <w:numPr>
          <w:ilvl w:val="0"/>
          <w:numId w:val="0"/>
        </w:numPr>
        <w:jc w:val="both"/>
        <w:rPr>
          <w:rFonts w:hint="eastAsia" w:ascii="宋体" w:hAnsi="宋体" w:eastAsia="宋体" w:cs="宋体"/>
          <w:color w:val="auto"/>
          <w:highlight w:val="none"/>
        </w:rPr>
      </w:pPr>
    </w:p>
    <w:p w14:paraId="440A47E3">
      <w:pPr>
        <w:pStyle w:val="13"/>
        <w:widowControl w:val="0"/>
        <w:numPr>
          <w:ilvl w:val="0"/>
          <w:numId w:val="0"/>
        </w:numPr>
        <w:jc w:val="both"/>
        <w:rPr>
          <w:rFonts w:hint="eastAsia" w:ascii="宋体" w:hAnsi="宋体" w:eastAsia="宋体" w:cs="宋体"/>
          <w:color w:val="auto"/>
          <w:highlight w:val="none"/>
        </w:rPr>
      </w:pPr>
    </w:p>
    <w:p w14:paraId="2649B807">
      <w:pPr>
        <w:pStyle w:val="13"/>
        <w:widowControl w:val="0"/>
        <w:numPr>
          <w:ilvl w:val="0"/>
          <w:numId w:val="0"/>
        </w:numPr>
        <w:jc w:val="both"/>
        <w:rPr>
          <w:rFonts w:hint="eastAsia" w:ascii="宋体" w:hAnsi="宋体" w:eastAsia="宋体" w:cs="宋体"/>
          <w:color w:val="auto"/>
          <w:highlight w:val="none"/>
        </w:rPr>
      </w:pPr>
    </w:p>
    <w:p w14:paraId="2F6630E4">
      <w:pPr>
        <w:keepNext w:val="0"/>
        <w:keepLines w:val="0"/>
        <w:pageBreakBefore w:val="0"/>
        <w:widowControl/>
        <w:kinsoku/>
        <w:wordWrap w:val="0"/>
        <w:overflowPunct/>
        <w:topLinePunct w:val="0"/>
        <w:autoSpaceDE/>
        <w:autoSpaceDN/>
        <w:bidi w:val="0"/>
        <w:adjustRightInd w:val="0"/>
        <w:snapToGrid w:val="0"/>
        <w:spacing w:line="240" w:lineRule="auto"/>
        <w:ind w:firstLine="602" w:firstLineChars="200"/>
        <w:jc w:val="center"/>
        <w:textAlignment w:val="baseline"/>
        <w:rPr>
          <w:rFonts w:hint="eastAsia" w:ascii="宋体" w:hAnsi="宋体" w:eastAsia="宋体" w:cs="宋体"/>
          <w:color w:val="auto"/>
          <w:highlight w:val="none"/>
        </w:rPr>
      </w:pPr>
      <w:r>
        <w:rPr>
          <w:rFonts w:hint="eastAsia" w:ascii="宋体" w:hAnsi="宋体" w:eastAsia="宋体" w:cs="宋体"/>
          <w:b/>
          <w:bCs/>
          <w:snapToGrid w:val="0"/>
          <w:color w:val="auto"/>
          <w:kern w:val="0"/>
          <w:sz w:val="30"/>
          <w:szCs w:val="30"/>
          <w:highlight w:val="none"/>
        </w:rPr>
        <w:t>综合评分表</w:t>
      </w:r>
    </w:p>
    <w:tbl>
      <w:tblPr>
        <w:tblStyle w:val="21"/>
        <w:tblW w:w="9574" w:type="dxa"/>
        <w:jc w:val="center"/>
        <w:tblLayout w:type="fixed"/>
        <w:tblCellMar>
          <w:top w:w="0" w:type="dxa"/>
          <w:left w:w="108" w:type="dxa"/>
          <w:bottom w:w="0" w:type="dxa"/>
          <w:right w:w="108" w:type="dxa"/>
        </w:tblCellMar>
      </w:tblPr>
      <w:tblGrid>
        <w:gridCol w:w="1404"/>
        <w:gridCol w:w="3757"/>
        <w:gridCol w:w="4413"/>
      </w:tblGrid>
      <w:tr w14:paraId="220AC4C8">
        <w:tblPrEx>
          <w:tblCellMar>
            <w:top w:w="0" w:type="dxa"/>
            <w:left w:w="108" w:type="dxa"/>
            <w:bottom w:w="0" w:type="dxa"/>
            <w:right w:w="108" w:type="dxa"/>
          </w:tblCellMar>
        </w:tblPrEx>
        <w:trPr>
          <w:trHeight w:val="624" w:hRule="exact"/>
          <w:jc w:val="center"/>
        </w:trPr>
        <w:tc>
          <w:tcPr>
            <w:tcW w:w="9574"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644DD56">
            <w:pPr>
              <w:widowControl w:val="0"/>
              <w:tabs>
                <w:tab w:val="left" w:pos="1354"/>
                <w:tab w:val="left" w:pos="1459"/>
                <w:tab w:val="center" w:pos="3902"/>
                <w:tab w:val="right" w:pos="7805"/>
              </w:tabs>
              <w:wordWrap w:val="0"/>
              <w:adjustRightInd w:val="0"/>
              <w:snapToGrid w:val="0"/>
              <w:spacing w:after="0" w:afterLines="0" w:afterAutospacing="0" w:line="440" w:lineRule="exact"/>
              <w:jc w:val="both"/>
              <w:rPr>
                <w:rFonts w:hint="eastAsia" w:ascii="宋体" w:hAnsi="宋体" w:eastAsia="宋体" w:cs="宋体"/>
                <w:snapToGrid w:val="0"/>
                <w:kern w:val="0"/>
                <w:sz w:val="24"/>
                <w:szCs w:val="24"/>
                <w:lang w:val="en-US" w:eastAsia="zh-CN" w:bidi="ar-SA"/>
              </w:rPr>
            </w:pPr>
            <w:bookmarkStart w:id="42" w:name="_Toc31485"/>
            <w:r>
              <w:rPr>
                <w:rFonts w:hint="eastAsia" w:ascii="宋体" w:hAnsi="宋体" w:eastAsia="宋体" w:cs="宋体"/>
                <w:snapToGrid w:val="0"/>
                <w:kern w:val="0"/>
                <w:sz w:val="24"/>
                <w:szCs w:val="24"/>
                <w:lang w:val="en-US" w:eastAsia="zh-CN" w:bidi="ar-SA"/>
              </w:rPr>
              <w:t>商务部分，满分：</w:t>
            </w:r>
            <w:r>
              <w:rPr>
                <w:rFonts w:hint="eastAsia" w:ascii="宋体" w:hAnsi="宋体" w:eastAsia="宋体" w:cs="宋体"/>
                <w:snapToGrid w:val="0"/>
                <w:kern w:val="0"/>
                <w:sz w:val="24"/>
                <w:szCs w:val="24"/>
                <w:u w:val="single"/>
                <w:lang w:val="en-US" w:eastAsia="zh-CN" w:bidi="ar-SA"/>
              </w:rPr>
              <w:t xml:space="preserve">  80  </w:t>
            </w:r>
            <w:r>
              <w:rPr>
                <w:rFonts w:hint="eastAsia" w:ascii="宋体" w:hAnsi="宋体" w:eastAsia="宋体" w:cs="宋体"/>
                <w:snapToGrid w:val="0"/>
                <w:kern w:val="0"/>
                <w:sz w:val="24"/>
                <w:szCs w:val="24"/>
                <w:lang w:val="en-US" w:eastAsia="zh-CN" w:bidi="ar-SA"/>
              </w:rPr>
              <w:t>分。</w:t>
            </w:r>
          </w:p>
        </w:tc>
      </w:tr>
      <w:tr w14:paraId="6B6A553C">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7790872">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评分因素</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5AB3A72">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评分标准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CD77342">
            <w:pPr>
              <w:widowControl w:val="0"/>
              <w:tabs>
                <w:tab w:val="left" w:pos="1354"/>
                <w:tab w:val="left" w:pos="1459"/>
                <w:tab w:val="center" w:pos="3902"/>
                <w:tab w:val="right" w:pos="7805"/>
              </w:tabs>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备注</w:t>
            </w:r>
          </w:p>
        </w:tc>
      </w:tr>
      <w:tr w14:paraId="40FD96BE">
        <w:tblPrEx>
          <w:tblCellMar>
            <w:top w:w="0" w:type="dxa"/>
            <w:left w:w="108" w:type="dxa"/>
            <w:bottom w:w="0" w:type="dxa"/>
            <w:right w:w="108" w:type="dxa"/>
          </w:tblCellMar>
        </w:tblPrEx>
        <w:trPr>
          <w:trHeight w:val="601"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9C62CDB">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企业奖项</w:t>
            </w:r>
          </w:p>
          <w:p w14:paraId="01CCBC3D">
            <w:pPr>
              <w:widowControl w:val="0"/>
              <w:wordWrap w:val="0"/>
              <w:adjustRightInd w:val="0"/>
              <w:snapToGrid w:val="0"/>
              <w:spacing w:after="0" w:afterLines="0" w:afterAutospacing="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lang w:val="en-US" w:eastAsia="zh-CN" w:bidi="ar-SA"/>
              </w:rPr>
              <w:t>（10分）</w:t>
            </w:r>
            <w:r>
              <w:rPr>
                <w:rFonts w:hint="eastAsia" w:ascii="宋体" w:hAnsi="宋体" w:eastAsia="宋体" w:cs="宋体"/>
                <w:snapToGrid w:val="0"/>
                <w:kern w:val="0"/>
                <w:sz w:val="24"/>
                <w:szCs w:val="24"/>
                <w:lang w:val="en-US" w:eastAsia="zh-CN" w:bidi="ar-SA"/>
              </w:rPr>
              <w:br w:type="textWrapping"/>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5E506B79">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企业近年来（2023年1月1日至今）获得</w:t>
            </w:r>
            <w:r>
              <w:rPr>
                <w:rFonts w:hint="eastAsia" w:ascii="宋体" w:hAnsi="宋体" w:eastAsia="宋体" w:cs="宋体"/>
                <w:snapToGrid w:val="0"/>
                <w:kern w:val="0"/>
                <w:sz w:val="24"/>
                <w:szCs w:val="24"/>
                <w:u w:val="single"/>
                <w:lang w:val="en-US" w:eastAsia="zh-CN" w:bidi="ar-SA"/>
              </w:rPr>
              <w:t xml:space="preserve">  市政 </w:t>
            </w:r>
            <w:r>
              <w:rPr>
                <w:rFonts w:hint="eastAsia" w:ascii="宋体" w:hAnsi="宋体" w:eastAsia="宋体" w:cs="宋体"/>
                <w:snapToGrid w:val="0"/>
                <w:kern w:val="0"/>
                <w:sz w:val="24"/>
                <w:szCs w:val="24"/>
                <w:lang w:val="en-US" w:eastAsia="zh-CN" w:bidi="ar-SA"/>
              </w:rPr>
              <w:t>工程类奖项情况：</w:t>
            </w:r>
          </w:p>
          <w:p w14:paraId="4ABE5902">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1．获得国家级奖项的，每个得</w:t>
            </w:r>
            <w:r>
              <w:rPr>
                <w:rFonts w:hint="eastAsia" w:ascii="宋体" w:hAnsi="宋体" w:eastAsia="宋体" w:cs="宋体"/>
                <w:snapToGrid w:val="0"/>
                <w:kern w:val="0"/>
                <w:sz w:val="24"/>
                <w:szCs w:val="24"/>
                <w:u w:val="single"/>
                <w:lang w:val="en-US" w:eastAsia="zh-CN" w:bidi="ar-SA"/>
              </w:rPr>
              <w:t xml:space="preserve"> 8 </w:t>
            </w:r>
            <w:r>
              <w:rPr>
                <w:rFonts w:hint="eastAsia" w:ascii="宋体" w:hAnsi="宋体" w:eastAsia="宋体" w:cs="宋体"/>
                <w:snapToGrid w:val="0"/>
                <w:kern w:val="0"/>
                <w:sz w:val="24"/>
                <w:szCs w:val="24"/>
                <w:lang w:val="en-US" w:eastAsia="zh-CN" w:bidi="ar-SA"/>
              </w:rPr>
              <w:t>分。</w:t>
            </w:r>
          </w:p>
          <w:p w14:paraId="0A1FC91A">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2．获得省级奖项的，每个得</w:t>
            </w:r>
            <w:r>
              <w:rPr>
                <w:rFonts w:hint="eastAsia" w:ascii="宋体" w:hAnsi="宋体" w:eastAsia="宋体" w:cs="宋体"/>
                <w:snapToGrid w:val="0"/>
                <w:kern w:val="0"/>
                <w:sz w:val="24"/>
                <w:szCs w:val="24"/>
                <w:u w:val="single"/>
                <w:lang w:val="en-US" w:eastAsia="zh-CN" w:bidi="ar-SA"/>
              </w:rPr>
              <w:t xml:space="preserve"> 4</w:t>
            </w:r>
            <w:r>
              <w:rPr>
                <w:rFonts w:hint="eastAsia" w:ascii="宋体" w:hAnsi="宋体" w:eastAsia="宋体" w:cs="宋体"/>
                <w:snapToGrid w:val="0"/>
                <w:kern w:val="0"/>
                <w:sz w:val="24"/>
                <w:szCs w:val="24"/>
                <w:lang w:val="en-US" w:eastAsia="zh-CN" w:bidi="ar-SA"/>
              </w:rPr>
              <w:t>分。</w:t>
            </w:r>
          </w:p>
          <w:p w14:paraId="3B16D773">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3．获得地市级奖项的，每个得</w:t>
            </w:r>
            <w:r>
              <w:rPr>
                <w:rFonts w:hint="eastAsia" w:ascii="宋体" w:hAnsi="宋体" w:eastAsia="宋体" w:cs="宋体"/>
                <w:snapToGrid w:val="0"/>
                <w:kern w:val="0"/>
                <w:sz w:val="24"/>
                <w:szCs w:val="24"/>
                <w:u w:val="single"/>
                <w:lang w:val="en-US" w:eastAsia="zh-CN" w:bidi="ar-SA"/>
              </w:rPr>
              <w:t>2</w:t>
            </w:r>
            <w:r>
              <w:rPr>
                <w:rFonts w:hint="eastAsia" w:ascii="宋体" w:hAnsi="宋体" w:eastAsia="宋体" w:cs="宋体"/>
                <w:snapToGrid w:val="0"/>
                <w:kern w:val="0"/>
                <w:sz w:val="24"/>
                <w:szCs w:val="24"/>
                <w:lang w:val="en-US" w:eastAsia="zh-CN" w:bidi="ar-SA"/>
              </w:rPr>
              <w:t>分。</w:t>
            </w:r>
          </w:p>
          <w:p w14:paraId="38E1B9DD">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4．以上奖项均未获得的，不予计分。</w:t>
            </w:r>
          </w:p>
          <w:p w14:paraId="583DC29A">
            <w:pPr>
              <w:widowControl w:val="0"/>
              <w:wordWrap w:val="0"/>
              <w:adjustRightInd w:val="0"/>
              <w:snapToGrid w:val="0"/>
              <w:spacing w:after="0" w:afterLines="0" w:afterAutospacing="0" w:line="400" w:lineRule="exact"/>
              <w:jc w:val="both"/>
              <w:rPr>
                <w:rFonts w:hint="eastAsia" w:ascii="宋体" w:hAnsi="宋体" w:eastAsia="宋体" w:cs="宋体"/>
                <w:kern w:val="0"/>
                <w:sz w:val="24"/>
                <w:szCs w:val="24"/>
                <w:lang w:val="en-US" w:eastAsia="zh-CN" w:bidi="ar-SA"/>
              </w:rPr>
            </w:pPr>
            <w:r>
              <w:rPr>
                <w:rFonts w:hint="eastAsia" w:ascii="宋体" w:hAnsi="宋体" w:eastAsia="宋体" w:cs="宋体"/>
                <w:snapToGrid w:val="0"/>
                <w:kern w:val="0"/>
                <w:sz w:val="24"/>
                <w:szCs w:val="24"/>
                <w:lang w:val="en-US" w:eastAsia="zh-CN" w:bidi="ar-SA"/>
              </w:rPr>
              <w:t>5．本项最高得10分。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BAB5630">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1．允许投标人提交多个业绩，但同一业绩只按最高级别奖项计分一次。</w:t>
            </w:r>
          </w:p>
          <w:p w14:paraId="1A47816E">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2．需附有关奖项证明彩色扫描件（或打印件）。</w:t>
            </w:r>
          </w:p>
          <w:p w14:paraId="6291027D">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3．颁发机构限定以下范围：</w:t>
            </w:r>
          </w:p>
          <w:p w14:paraId="3EE1FDAF">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①国家级奖项：</w:t>
            </w:r>
            <w:r>
              <w:rPr>
                <w:rFonts w:hint="eastAsia" w:ascii="宋体" w:hAnsi="宋体" w:eastAsia="宋体" w:cs="宋体"/>
                <w:color w:val="000000"/>
                <w:kern w:val="0"/>
                <w:sz w:val="24"/>
                <w:szCs w:val="24"/>
                <w:u w:val="single"/>
                <w:lang w:val="en-US" w:eastAsia="zh-CN" w:bidi="ar-SA"/>
              </w:rPr>
              <w:t>国务院、住建部、国家级行业协会；（相关协会需经民政部门备案，须提供备案截图，否则不得分）；</w:t>
            </w:r>
          </w:p>
          <w:p w14:paraId="092A7DDF">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②省级奖项：</w:t>
            </w:r>
            <w:r>
              <w:rPr>
                <w:rFonts w:hint="eastAsia" w:ascii="宋体" w:hAnsi="宋体" w:eastAsia="宋体" w:cs="宋体"/>
                <w:color w:val="000000"/>
                <w:kern w:val="0"/>
                <w:sz w:val="24"/>
                <w:szCs w:val="24"/>
                <w:u w:val="single"/>
                <w:lang w:val="en-US" w:eastAsia="zh-CN" w:bidi="ar-SA"/>
              </w:rPr>
              <w:t>省级人民政府、省级住建部门、省级行业协会；（相关协会需经民政部门备案，须提供备案截图，否则不得分）；</w:t>
            </w:r>
          </w:p>
          <w:p w14:paraId="4402AE5A">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③地市级奖项：</w:t>
            </w:r>
            <w:r>
              <w:rPr>
                <w:rFonts w:hint="eastAsia" w:ascii="宋体" w:hAnsi="宋体" w:eastAsia="宋体" w:cs="宋体"/>
                <w:color w:val="000000"/>
                <w:kern w:val="0"/>
                <w:sz w:val="24"/>
                <w:szCs w:val="24"/>
                <w:u w:val="single"/>
                <w:lang w:val="en-US" w:eastAsia="zh-CN" w:bidi="ar-SA"/>
              </w:rPr>
              <w:t xml:space="preserve"> 地市级人民政府、地市级住建部门、地级市行业协会。（相关协会需经民政部门备案，须提供备案截图，否则不得分）。</w:t>
            </w:r>
          </w:p>
          <w:p w14:paraId="17D11ADE">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4．获奖时间以奖项证明的落款日期为准。</w:t>
            </w:r>
          </w:p>
          <w:p w14:paraId="2DF3EE81">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5．任一奖项有以下情形之一的，该奖项视为无效，不予计分：</w:t>
            </w:r>
          </w:p>
          <w:p w14:paraId="200C54C2">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①奖项不属于指定类别的；</w:t>
            </w:r>
          </w:p>
          <w:p w14:paraId="16D26BB6">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②颁发机构不符合要求的；</w:t>
            </w:r>
          </w:p>
          <w:p w14:paraId="2F8D6763">
            <w:pPr>
              <w:keepNext w:val="0"/>
              <w:keepLines w:val="0"/>
              <w:pageBreakBefore w:val="0"/>
              <w:widowControl/>
              <w:kinsoku/>
              <w:overflowPunct/>
              <w:topLinePunct w:val="0"/>
              <w:autoSpaceDE/>
              <w:autoSpaceDN/>
              <w:bidi w:val="0"/>
              <w:spacing w:before="0" w:beforeAutospacing="0" w:after="0" w:afterAutospacing="0" w:line="400" w:lineRule="atLeas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③获奖时间不符合要求的。</w:t>
            </w:r>
          </w:p>
          <w:p w14:paraId="6343EEFC">
            <w:pPr>
              <w:keepNext w:val="0"/>
              <w:keepLines w:val="0"/>
              <w:pageBreakBefore w:val="0"/>
              <w:widowControl w:val="0"/>
              <w:kinsoku/>
              <w:wordWrap w:val="0"/>
              <w:overflowPunct/>
              <w:topLinePunct w:val="0"/>
              <w:autoSpaceDE/>
              <w:autoSpaceDN/>
              <w:bidi w:val="0"/>
              <w:adjustRightInd w:val="0"/>
              <w:snapToGrid w:val="0"/>
              <w:spacing w:after="0" w:afterLines="0" w:afterAutospacing="0" w:line="400" w:lineRule="atLeas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t>说明：以上所称“要求”均指本表评分标准及备注的要求，下同。</w:t>
            </w:r>
          </w:p>
        </w:tc>
      </w:tr>
      <w:tr w14:paraId="5A6F739E">
        <w:tblPrEx>
          <w:tblCellMar>
            <w:top w:w="0" w:type="dxa"/>
            <w:left w:w="108" w:type="dxa"/>
            <w:bottom w:w="0" w:type="dxa"/>
            <w:right w:w="108" w:type="dxa"/>
          </w:tblCellMar>
        </w:tblPrEx>
        <w:trPr>
          <w:trHeight w:val="4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FC87664">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项目经理</w:t>
            </w:r>
          </w:p>
          <w:p w14:paraId="68095CB6">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综合素质（10分）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F6203BE">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项目经理工程类技术职称情况：</w:t>
            </w:r>
          </w:p>
          <w:p w14:paraId="1A89331D">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1．具备中级工程师及以上职称的，得 10 分。</w:t>
            </w:r>
          </w:p>
          <w:p w14:paraId="6A69B9B1">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2．具备助理工程师职称的，得 5 分。</w:t>
            </w:r>
          </w:p>
          <w:p w14:paraId="61956DA9">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en-US" w:eastAsia="zh-CN" w:bidi="ar-SA"/>
              </w:rPr>
              <w:t>3</w:t>
            </w:r>
            <w:bookmarkStart w:id="170" w:name="_GoBack"/>
            <w:bookmarkEnd w:id="170"/>
            <w:r>
              <w:rPr>
                <w:rFonts w:hint="eastAsia" w:ascii="宋体" w:hAnsi="宋体" w:eastAsia="宋体" w:cs="宋体"/>
                <w:snapToGrid w:val="0"/>
                <w:kern w:val="0"/>
                <w:sz w:val="24"/>
                <w:szCs w:val="24"/>
                <w:lang w:val="en-US" w:eastAsia="zh-CN" w:bidi="ar-SA"/>
              </w:rPr>
              <w:t>．不具备以上职称的，或未提供职称证彩色扫描件的，不予计分。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DDAD480">
            <w:pPr>
              <w:wordWrap w:val="0"/>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1．需附有效的有关证明彩色扫描件（或打印件）。</w:t>
            </w:r>
          </w:p>
          <w:p w14:paraId="4B3D7681">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kern w:val="0"/>
                <w:sz w:val="24"/>
                <w:szCs w:val="24"/>
                <w:lang w:val="en-US" w:eastAsia="zh-CN" w:bidi="ar-SA"/>
              </w:rPr>
              <w:t>2．不符合评分标准和备注规定的，不计分。</w:t>
            </w:r>
          </w:p>
        </w:tc>
      </w:tr>
      <w:tr w14:paraId="7C8DE162">
        <w:tblPrEx>
          <w:tblCellMar>
            <w:top w:w="0" w:type="dxa"/>
            <w:left w:w="108" w:type="dxa"/>
            <w:bottom w:w="0" w:type="dxa"/>
            <w:right w:w="108" w:type="dxa"/>
          </w:tblCellMar>
        </w:tblPrEx>
        <w:trPr>
          <w:trHeight w:val="58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93CA3FE">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企业业绩</w:t>
            </w:r>
          </w:p>
          <w:p w14:paraId="6FD7B4E9">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（10分）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FFC05A4">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企业近年来（2023年1月1日至今）业绩情况：</w:t>
            </w:r>
          </w:p>
          <w:p w14:paraId="7879E4CC">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w:t>
            </w:r>
            <w:r>
              <w:rPr>
                <w:rFonts w:hint="eastAsia" w:ascii="宋体" w:hAnsi="宋体" w:eastAsia="宋体" w:cs="宋体"/>
                <w:snapToGrid w:val="0"/>
                <w:kern w:val="0"/>
                <w:sz w:val="24"/>
                <w:szCs w:val="24"/>
                <w:u w:val="single"/>
                <w:lang w:val="en-US" w:eastAsia="zh-CN" w:bidi="ar-SA"/>
              </w:rPr>
              <w:t xml:space="preserve"> 完成 </w:t>
            </w:r>
            <w:r>
              <w:rPr>
                <w:rFonts w:hint="eastAsia" w:ascii="宋体" w:hAnsi="宋体" w:eastAsia="宋体" w:cs="宋体"/>
                <w:snapToGrid w:val="0"/>
                <w:kern w:val="0"/>
                <w:sz w:val="24"/>
                <w:szCs w:val="24"/>
                <w:lang w:val="en-US" w:eastAsia="zh-CN" w:bidi="ar-SA"/>
              </w:rPr>
              <w:t>过类似工程的，每个得</w:t>
            </w:r>
            <w:r>
              <w:rPr>
                <w:rFonts w:hint="eastAsia" w:ascii="宋体" w:hAnsi="宋体" w:eastAsia="宋体" w:cs="宋体"/>
                <w:snapToGrid w:val="0"/>
                <w:kern w:val="0"/>
                <w:sz w:val="24"/>
                <w:szCs w:val="24"/>
                <w:u w:val="single"/>
                <w:lang w:val="en-US" w:eastAsia="zh-CN" w:bidi="ar-SA"/>
              </w:rPr>
              <w:t xml:space="preserve"> 5</w:t>
            </w:r>
            <w:r>
              <w:rPr>
                <w:rFonts w:hint="eastAsia" w:ascii="宋体" w:hAnsi="宋体" w:eastAsia="宋体" w:cs="宋体"/>
                <w:snapToGrid w:val="0"/>
                <w:kern w:val="0"/>
                <w:sz w:val="24"/>
                <w:szCs w:val="24"/>
                <w:lang w:val="en-US" w:eastAsia="zh-CN" w:bidi="ar-SA"/>
              </w:rPr>
              <w:t>分。</w:t>
            </w:r>
          </w:p>
          <w:p w14:paraId="7B6627D8">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2．未</w:t>
            </w:r>
            <w:r>
              <w:rPr>
                <w:rFonts w:hint="eastAsia" w:ascii="宋体" w:hAnsi="宋体" w:eastAsia="宋体" w:cs="宋体"/>
                <w:snapToGrid w:val="0"/>
                <w:kern w:val="0"/>
                <w:sz w:val="24"/>
                <w:szCs w:val="24"/>
                <w:u w:val="single"/>
                <w:lang w:val="en-US" w:eastAsia="zh-CN" w:bidi="ar-SA"/>
              </w:rPr>
              <w:t xml:space="preserve"> 完成 </w:t>
            </w:r>
            <w:r>
              <w:rPr>
                <w:rFonts w:hint="eastAsia" w:ascii="宋体" w:hAnsi="宋体" w:eastAsia="宋体" w:cs="宋体"/>
                <w:snapToGrid w:val="0"/>
                <w:kern w:val="0"/>
                <w:sz w:val="24"/>
                <w:szCs w:val="24"/>
                <w:lang w:val="en-US" w:eastAsia="zh-CN" w:bidi="ar-SA"/>
              </w:rPr>
              <w:t>过类似工程的，不予计分。</w:t>
            </w:r>
          </w:p>
          <w:p w14:paraId="077BA4EC">
            <w:pPr>
              <w:widowControl w:val="0"/>
              <w:wordWrap w:val="0"/>
              <w:adjustRightInd w:val="0"/>
              <w:snapToGrid w:val="0"/>
              <w:spacing w:after="0" w:afterLines="0" w:afterAutospacing="0" w:line="400" w:lineRule="exact"/>
              <w:jc w:val="both"/>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lang w:val="en-US" w:eastAsia="zh-CN" w:bidi="ar-SA"/>
              </w:rPr>
              <w:t xml:space="preserve">3．本项最高得10分。 </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19A6F08">
            <w:pPr>
              <w:keepNext w:val="0"/>
              <w:keepLines w:val="0"/>
              <w:pageBreakBefore w:val="0"/>
              <w:widowControl w:val="0"/>
              <w:kinsoku/>
              <w:wordWrap w:val="0"/>
              <w:overflowPunct/>
              <w:topLinePunct w:val="0"/>
              <w:autoSpaceDE/>
              <w:autoSpaceDN/>
              <w:bidi w:val="0"/>
              <w:adjustRightInd w:val="0"/>
              <w:snapToGrid w:val="0"/>
              <w:spacing w:after="0" w:afterLines="0" w:afterAutospacing="0" w:line="400" w:lineRule="atLeast"/>
              <w:jc w:val="lef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1．类似工程指：单项工</w:t>
            </w:r>
            <w:r>
              <w:rPr>
                <w:rFonts w:hint="eastAsia" w:ascii="宋体" w:hAnsi="宋体" w:eastAsia="宋体" w:cs="宋体"/>
                <w:snapToGrid w:val="0"/>
                <w:kern w:val="0"/>
                <w:sz w:val="24"/>
                <w:szCs w:val="24"/>
                <w:highlight w:val="none"/>
                <w:lang w:val="en-US" w:eastAsia="zh-CN" w:bidi="ar-SA"/>
              </w:rPr>
              <w:t>程造价</w:t>
            </w:r>
            <w:r>
              <w:rPr>
                <w:rFonts w:hint="eastAsia" w:ascii="宋体" w:hAnsi="宋体" w:eastAsia="宋体" w:cs="宋体"/>
                <w:b/>
                <w:bCs/>
                <w:snapToGrid w:val="0"/>
                <w:kern w:val="0"/>
                <w:sz w:val="24"/>
                <w:szCs w:val="24"/>
                <w:highlight w:val="none"/>
                <w:lang w:val="en-US" w:eastAsia="zh-CN" w:bidi="ar-SA"/>
              </w:rPr>
              <w:t>≥500</w:t>
            </w:r>
            <w:r>
              <w:rPr>
                <w:rFonts w:hint="eastAsia" w:ascii="宋体" w:hAnsi="宋体" w:eastAsia="宋体" w:cs="宋体"/>
                <w:b/>
                <w:bCs/>
                <w:snapToGrid w:val="0"/>
                <w:kern w:val="0"/>
                <w:sz w:val="24"/>
                <w:szCs w:val="24"/>
                <w:lang w:val="en-US" w:eastAsia="zh-CN" w:bidi="ar-SA"/>
              </w:rPr>
              <w:t>万元</w:t>
            </w:r>
            <w:r>
              <w:rPr>
                <w:rFonts w:hint="eastAsia" w:ascii="宋体" w:hAnsi="宋体" w:eastAsia="宋体" w:cs="宋体"/>
                <w:snapToGrid w:val="0"/>
                <w:kern w:val="0"/>
                <w:sz w:val="24"/>
                <w:szCs w:val="24"/>
                <w:lang w:val="en-US" w:eastAsia="zh-CN" w:bidi="ar-SA"/>
              </w:rPr>
              <w:t>的市政工程施工总承包或设计、施工总承包或勘察、设计、施工总承包的工程。</w:t>
            </w:r>
          </w:p>
          <w:p w14:paraId="1AAFF106">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2．需附有关业绩（仅限于以施工总承包单位身份参建的项目）合同协议书和竣工验收报告的彩色扫描件。</w:t>
            </w:r>
          </w:p>
          <w:p w14:paraId="2B6CC1FD">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i/>
                <w:iCs/>
                <w:snapToGrid w:val="0"/>
                <w:kern w:val="0"/>
                <w:sz w:val="24"/>
                <w:szCs w:val="24"/>
              </w:rPr>
            </w:pPr>
            <w:r>
              <w:rPr>
                <w:rFonts w:hint="eastAsia" w:ascii="宋体" w:hAnsi="宋体" w:eastAsia="宋体" w:cs="宋体"/>
                <w:snapToGrid w:val="0"/>
                <w:kern w:val="0"/>
                <w:sz w:val="24"/>
                <w:szCs w:val="24"/>
              </w:rPr>
              <w:t>3．业绩时间以竣工验收报告日期为准。</w:t>
            </w:r>
          </w:p>
          <w:p w14:paraId="41C345AC">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4．任一业绩有以下情形之一的，该业绩视为无效，不予计分：</w:t>
            </w:r>
          </w:p>
          <w:p w14:paraId="4154485F">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①业绩不属于类似工程的；</w:t>
            </w:r>
          </w:p>
          <w:p w14:paraId="2CDA6E81">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②不是以指定身份参建的；</w:t>
            </w:r>
          </w:p>
          <w:p w14:paraId="6AD47580">
            <w:pPr>
              <w:keepNext w:val="0"/>
              <w:keepLines w:val="0"/>
              <w:pageBreakBefore w:val="0"/>
              <w:widowControl w:val="0"/>
              <w:kinsoku/>
              <w:wordWrap w:val="0"/>
              <w:overflowPunct/>
              <w:topLinePunct w:val="0"/>
              <w:autoSpaceDE/>
              <w:autoSpaceDN/>
              <w:bidi w:val="0"/>
              <w:adjustRightInd w:val="0"/>
              <w:snapToGrid w:val="0"/>
              <w:spacing w:line="400" w:lineRule="atLeast"/>
              <w:textAlignment w:val="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③业绩时间不符合要求的；</w:t>
            </w:r>
          </w:p>
          <w:p w14:paraId="6CB0A33A">
            <w:pPr>
              <w:keepNext w:val="0"/>
              <w:keepLines w:val="0"/>
              <w:pageBreakBefore w:val="0"/>
              <w:widowControl w:val="0"/>
              <w:kinsoku/>
              <w:wordWrap w:val="0"/>
              <w:overflowPunct/>
              <w:topLinePunct w:val="0"/>
              <w:autoSpaceDE/>
              <w:autoSpaceDN/>
              <w:bidi w:val="0"/>
              <w:adjustRightInd w:val="0"/>
              <w:snapToGrid w:val="0"/>
              <w:spacing w:after="0" w:afterLines="0" w:afterAutospacing="0" w:line="400" w:lineRule="atLeas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snapToGrid w:val="0"/>
                <w:kern w:val="0"/>
                <w:sz w:val="24"/>
                <w:szCs w:val="24"/>
                <w:lang w:val="en-US" w:eastAsia="zh-CN" w:bidi="ar-SA"/>
              </w:rPr>
              <w:t>④业绩未竣工验收的。</w:t>
            </w:r>
          </w:p>
        </w:tc>
      </w:tr>
      <w:tr w14:paraId="6A07A3A6">
        <w:tblPrEx>
          <w:tblCellMar>
            <w:top w:w="0" w:type="dxa"/>
            <w:left w:w="108" w:type="dxa"/>
            <w:bottom w:w="0" w:type="dxa"/>
            <w:right w:w="108" w:type="dxa"/>
          </w:tblCellMar>
        </w:tblPrEx>
        <w:trPr>
          <w:trHeight w:val="58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0313AF1">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企业银行</w:t>
            </w:r>
          </w:p>
          <w:p w14:paraId="15DE3DE4">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资信评级</w:t>
            </w:r>
          </w:p>
          <w:p w14:paraId="55AF7998">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（10分）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EEE46A3">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1．银行资信评级AAA得10分；</w:t>
            </w:r>
          </w:p>
          <w:p w14:paraId="50B1BE84">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2．银行资信评级AA（含AA＋、AA－）,得5分；</w:t>
            </w:r>
          </w:p>
          <w:p w14:paraId="1DEA0FC0">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3．银行资信评级A（含A＋、A－）,得1分；</w:t>
            </w:r>
          </w:p>
          <w:p w14:paraId="34CB72C5">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4．未获得过以上年限评级的，或评级证书无效的，不予计分。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2CB9479E">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1．需附在有效期内的资信评级证书（证明）彩色扫描件。</w:t>
            </w:r>
          </w:p>
          <w:p w14:paraId="3297EAAB">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2．评级证书（证明）须由</w:t>
            </w:r>
            <w:r>
              <w:rPr>
                <w:rFonts w:hint="eastAsia" w:ascii="宋体" w:hAnsi="宋体" w:eastAsia="宋体" w:cs="宋体"/>
                <w:snapToGrid w:val="0"/>
                <w:kern w:val="0"/>
                <w:sz w:val="24"/>
                <w:szCs w:val="24"/>
                <w:u w:val="single"/>
              </w:rPr>
              <w:t>企业基本账户开户银行/市级或以上金融机构</w:t>
            </w:r>
            <w:r>
              <w:rPr>
                <w:rFonts w:hint="eastAsia" w:ascii="宋体" w:hAnsi="宋体" w:eastAsia="宋体" w:cs="宋体"/>
                <w:snapToGrid w:val="0"/>
                <w:kern w:val="0"/>
                <w:sz w:val="24"/>
                <w:szCs w:val="24"/>
              </w:rPr>
              <w:t>出具。</w:t>
            </w:r>
          </w:p>
          <w:p w14:paraId="016E17D9">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3．评级证书（证明）有以下情形之一的，视为无效：</w:t>
            </w:r>
          </w:p>
          <w:p w14:paraId="193E07F2">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①评级证书（证明）不在有效期内的；</w:t>
            </w:r>
          </w:p>
          <w:p w14:paraId="76E1946D">
            <w:pPr>
              <w:spacing w:line="360" w:lineRule="auto"/>
              <w:rPr>
                <w:rFonts w:hint="eastAsia" w:ascii="宋体" w:hAnsi="宋体" w:eastAsia="宋体" w:cs="宋体"/>
                <w:spacing w:val="8"/>
                <w:sz w:val="24"/>
                <w:szCs w:val="24"/>
              </w:rPr>
            </w:pPr>
            <w:r>
              <w:rPr>
                <w:rFonts w:hint="eastAsia" w:ascii="宋体" w:hAnsi="宋体" w:eastAsia="宋体" w:cs="宋体"/>
                <w:snapToGrid w:val="0"/>
                <w:kern w:val="0"/>
                <w:sz w:val="24"/>
                <w:szCs w:val="24"/>
              </w:rPr>
              <w:t>②出具机构不符合要求的。</w:t>
            </w:r>
          </w:p>
        </w:tc>
      </w:tr>
      <w:tr w14:paraId="522E6B05">
        <w:tblPrEx>
          <w:tblCellMar>
            <w:top w:w="0" w:type="dxa"/>
            <w:left w:w="108" w:type="dxa"/>
            <w:bottom w:w="0" w:type="dxa"/>
            <w:right w:w="108" w:type="dxa"/>
          </w:tblCellMar>
        </w:tblPrEx>
        <w:trPr>
          <w:trHeight w:val="8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9AED858">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企业管理</w:t>
            </w:r>
          </w:p>
          <w:p w14:paraId="1478D675">
            <w:pPr>
              <w:widowControl w:val="0"/>
              <w:wordWrap w:val="0"/>
              <w:adjustRightInd w:val="0"/>
              <w:snapToGrid w:val="0"/>
              <w:spacing w:after="0" w:afterLines="0" w:afterAutospacing="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lang w:val="en-US" w:eastAsia="zh-CN" w:bidi="ar-SA"/>
              </w:rPr>
              <w:t>体系认证</w:t>
            </w:r>
          </w:p>
          <w:p w14:paraId="35F0CE46">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（9分）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2E89951">
            <w:pPr>
              <w:keepNext w:val="0"/>
              <w:keepLines w:val="0"/>
              <w:pageBreakBefore w:val="0"/>
              <w:kinsoku/>
              <w:wordWrap w:val="0"/>
              <w:overflowPunct/>
              <w:topLinePunct w:val="0"/>
              <w:autoSpaceDE/>
              <w:autoSpaceDN/>
              <w:bidi w:val="0"/>
              <w:adjustRightInd w:val="0"/>
              <w:snapToGrid w:val="0"/>
              <w:spacing w:line="360" w:lineRule="exac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1．质量管理体系认证证书、职业健康安全管理体系认证证书、环境管理体系认证证书中，每获得1项认证得3分，最高得9分。</w:t>
            </w:r>
          </w:p>
          <w:p w14:paraId="56CF5D5C">
            <w:pPr>
              <w:widowControl w:val="0"/>
              <w:wordWrap w:val="0"/>
              <w:adjustRightInd w:val="0"/>
              <w:snapToGrid w:val="0"/>
              <w:spacing w:after="0" w:afterLines="0" w:afterAutospacing="0" w:line="400" w:lineRule="exact"/>
              <w:jc w:val="both"/>
              <w:rPr>
                <w:rFonts w:hint="eastAsia" w:ascii="宋体" w:hAnsi="宋体" w:eastAsia="宋体" w:cs="宋体"/>
                <w:kern w:val="2"/>
                <w:sz w:val="24"/>
                <w:szCs w:val="24"/>
                <w:lang w:val="en-US" w:eastAsia="zh-CN" w:bidi="ar-SA"/>
              </w:rPr>
            </w:pPr>
            <w:r>
              <w:rPr>
                <w:rFonts w:hint="eastAsia" w:ascii="宋体" w:hAnsi="宋体" w:eastAsia="宋体" w:cs="宋体"/>
                <w:snapToGrid w:val="0"/>
                <w:kern w:val="0"/>
                <w:sz w:val="24"/>
                <w:szCs w:val="24"/>
                <w:lang w:val="en-US" w:eastAsia="zh-CN" w:bidi="ar-SA"/>
              </w:rPr>
              <w:t>2．未获得以上认证的，不予计分。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580D1F1">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1．需附在有效期内的体系认证证书彩色扫描件（或打印件）。</w:t>
            </w:r>
          </w:p>
          <w:p w14:paraId="71C5A212">
            <w:pPr>
              <w:spacing w:line="360" w:lineRule="auto"/>
              <w:jc w:val="left"/>
              <w:rPr>
                <w:rFonts w:hint="eastAsia" w:ascii="宋体" w:hAnsi="宋体" w:eastAsia="宋体" w:cs="宋体"/>
                <w:kern w:val="0"/>
                <w:sz w:val="24"/>
                <w:szCs w:val="24"/>
              </w:rPr>
            </w:pPr>
            <w:r>
              <w:rPr>
                <w:rFonts w:hint="eastAsia" w:ascii="宋体" w:hAnsi="宋体" w:eastAsia="宋体" w:cs="宋体"/>
                <w:snapToGrid w:val="0"/>
                <w:kern w:val="0"/>
                <w:sz w:val="24"/>
                <w:szCs w:val="24"/>
              </w:rPr>
              <w:t>2．证书不在有效期内的，不计分。</w:t>
            </w:r>
          </w:p>
        </w:tc>
      </w:tr>
      <w:tr w14:paraId="7BC7EE70">
        <w:tblPrEx>
          <w:tblCellMar>
            <w:top w:w="0" w:type="dxa"/>
            <w:left w:w="108" w:type="dxa"/>
            <w:bottom w:w="0" w:type="dxa"/>
            <w:right w:w="108" w:type="dxa"/>
          </w:tblCellMar>
        </w:tblPrEx>
        <w:trPr>
          <w:trHeight w:val="814"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B5CC4EF">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w:t>
            </w:r>
          </w:p>
          <w:p w14:paraId="5FB2C7A2">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财务状况</w:t>
            </w:r>
          </w:p>
          <w:p w14:paraId="1EF62377">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（11分）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5C7DD1AF">
            <w:pPr>
              <w:widowControl w:val="0"/>
              <w:numPr>
                <w:ilvl w:val="0"/>
                <w:numId w:val="2"/>
              </w:numPr>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lang w:val="en-US" w:eastAsia="zh-CN" w:bidi="ar-SA"/>
              </w:rPr>
              <w:t>提供不</w:t>
            </w:r>
            <w:r>
              <w:rPr>
                <w:rFonts w:hint="eastAsia" w:ascii="宋体" w:hAnsi="宋体" w:eastAsia="宋体" w:cs="宋体"/>
                <w:snapToGrid w:val="0"/>
                <w:kern w:val="0"/>
                <w:sz w:val="24"/>
                <w:szCs w:val="24"/>
                <w:highlight w:val="none"/>
                <w:lang w:val="en-US" w:eastAsia="zh-CN" w:bidi="ar-SA"/>
              </w:rPr>
              <w:t>少于</w:t>
            </w:r>
            <w:r>
              <w:rPr>
                <w:rFonts w:hint="eastAsia" w:ascii="宋体" w:hAnsi="宋体" w:eastAsia="宋体" w:cs="宋体"/>
                <w:snapToGrid w:val="0"/>
                <w:kern w:val="0"/>
                <w:sz w:val="24"/>
                <w:szCs w:val="24"/>
                <w:highlight w:val="none"/>
                <w:u w:val="single"/>
                <w:lang w:val="en-US" w:eastAsia="zh-CN" w:bidi="ar-SA"/>
              </w:rPr>
              <w:t>120</w:t>
            </w:r>
            <w:r>
              <w:rPr>
                <w:rFonts w:hint="eastAsia" w:ascii="宋体" w:hAnsi="宋体" w:eastAsia="宋体" w:cs="宋体"/>
                <w:snapToGrid w:val="0"/>
                <w:kern w:val="0"/>
                <w:sz w:val="24"/>
                <w:szCs w:val="24"/>
                <w:highlight w:val="none"/>
                <w:lang w:val="en-US" w:eastAsia="zh-CN" w:bidi="ar-SA"/>
              </w:rPr>
              <w:t>万元银行授信证明的，得5分。</w:t>
            </w:r>
          </w:p>
          <w:p w14:paraId="662DFE94">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kern w:val="0"/>
                <w:sz w:val="24"/>
                <w:szCs w:val="24"/>
                <w:highlight w:val="none"/>
                <w:u w:val="single"/>
                <w:lang w:val="en-US" w:eastAsia="zh-CN" w:bidi="ar-SA"/>
              </w:rPr>
              <w:t>120</w:t>
            </w:r>
            <w:r>
              <w:rPr>
                <w:rFonts w:hint="eastAsia" w:ascii="宋体" w:hAnsi="宋体" w:eastAsia="宋体" w:cs="宋体"/>
                <w:snapToGrid w:val="0"/>
                <w:kern w:val="0"/>
                <w:sz w:val="24"/>
                <w:szCs w:val="24"/>
                <w:highlight w:val="none"/>
                <w:lang w:val="en-US" w:eastAsia="zh-CN" w:bidi="ar-SA"/>
              </w:rPr>
              <w:t>万元存款余</w:t>
            </w:r>
            <w:r>
              <w:rPr>
                <w:rFonts w:hint="eastAsia" w:ascii="宋体" w:hAnsi="宋体" w:eastAsia="宋体" w:cs="宋体"/>
                <w:snapToGrid w:val="0"/>
                <w:kern w:val="0"/>
                <w:sz w:val="24"/>
                <w:szCs w:val="24"/>
                <w:lang w:val="en-US" w:eastAsia="zh-CN" w:bidi="ar-SA"/>
              </w:rPr>
              <w:t>额资金流水证明的，得6分。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52E6330">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1．需附在有效期内的有关证明电子扫描件。</w:t>
            </w:r>
          </w:p>
          <w:p w14:paraId="4C5D6580">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2．银行授信证明有以下情形之一的，视为无效，不予计分：</w:t>
            </w:r>
          </w:p>
          <w:p w14:paraId="1D55C963">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①授信证明不在有效期内的；</w:t>
            </w:r>
          </w:p>
          <w:p w14:paraId="212547CD">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②授信额度不符合要求的；</w:t>
            </w:r>
          </w:p>
          <w:p w14:paraId="1C4D6A17">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3．存款余额资金流水证明有以下情形之一的，</w:t>
            </w:r>
          </w:p>
          <w:p w14:paraId="522C7DE0">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视为无效，不予计分：</w:t>
            </w:r>
          </w:p>
          <w:p w14:paraId="04E4EED6">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①存款账户不是基本账户的；</w:t>
            </w:r>
          </w:p>
          <w:p w14:paraId="5413E6E4">
            <w:pPr>
              <w:wordWrap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②存款时间不符合要求的；</w:t>
            </w:r>
          </w:p>
          <w:p w14:paraId="2CD571CC">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③存款额度不符合要求的。</w:t>
            </w:r>
          </w:p>
        </w:tc>
      </w:tr>
      <w:tr w14:paraId="410893B9">
        <w:tblPrEx>
          <w:tblCellMar>
            <w:top w:w="0" w:type="dxa"/>
            <w:left w:w="108" w:type="dxa"/>
            <w:bottom w:w="0" w:type="dxa"/>
            <w:right w:w="108" w:type="dxa"/>
          </w:tblCellMar>
        </w:tblPrEx>
        <w:trPr>
          <w:trHeight w:val="814" w:hRule="atLeast"/>
          <w:jc w:val="center"/>
        </w:trPr>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14:paraId="3410B604">
            <w:pPr>
              <w:widowControl w:val="0"/>
              <w:spacing w:line="5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招标人自选项</w:t>
            </w:r>
          </w:p>
          <w:p w14:paraId="5C7E3882">
            <w:pPr>
              <w:widowControl w:val="0"/>
              <w:wordWrap w:val="0"/>
              <w:adjustRightInd w:val="0"/>
              <w:snapToGrid w:val="0"/>
              <w:spacing w:after="0" w:afterLines="0" w:afterAutospacing="0" w:line="360" w:lineRule="auto"/>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（20分）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2BA2BE13">
            <w:pPr>
              <w:widowControl w:val="0"/>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1.获得过中国建筑业协会颁发的“创建鲁班奖工程优秀企业”得</w:t>
            </w:r>
          </w:p>
          <w:p w14:paraId="57827353">
            <w:pPr>
              <w:widowControl w:val="0"/>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5分；</w:t>
            </w:r>
          </w:p>
          <w:p w14:paraId="22879110">
            <w:pPr>
              <w:widowControl w:val="0"/>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2．其他情形的，不予计分。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AADEADF">
            <w:pPr>
              <w:widowControl w:val="0"/>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1．需提供证书彩色扫描件（或打印件）。</w:t>
            </w:r>
          </w:p>
          <w:p w14:paraId="07CAC465">
            <w:pPr>
              <w:widowControl w:val="0"/>
              <w:wordWrap w:val="0"/>
              <w:adjustRightInd w:val="0"/>
              <w:snapToGrid w:val="0"/>
              <w:spacing w:line="400" w:lineRule="exact"/>
              <w:jc w:val="left"/>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2．奖项类别、颁发机构、不符合评分标准和备注规定的，不计分。</w:t>
            </w:r>
          </w:p>
        </w:tc>
      </w:tr>
      <w:tr w14:paraId="09E208AD">
        <w:tblPrEx>
          <w:tblCellMar>
            <w:top w:w="0" w:type="dxa"/>
            <w:left w:w="108" w:type="dxa"/>
            <w:bottom w:w="0" w:type="dxa"/>
            <w:right w:w="108" w:type="dxa"/>
          </w:tblCellMar>
        </w:tblPrEx>
        <w:trPr>
          <w:trHeight w:val="2687"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72A3BD02">
            <w:pPr>
              <w:spacing w:line="360" w:lineRule="auto"/>
              <w:rPr>
                <w:rFonts w:hint="eastAsia" w:ascii="宋体" w:hAnsi="宋体" w:eastAsia="宋体" w:cs="宋体"/>
                <w:snapToGrid w:val="0"/>
                <w:kern w:val="0"/>
                <w:sz w:val="24"/>
                <w:szCs w:val="24"/>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2F81EED">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1.企业近3年度（2023年度至今）获得过“中国建筑业协会”颁发的企业信用等级 AAA级证书的得5分；</w:t>
            </w:r>
          </w:p>
          <w:p w14:paraId="17FBBCEB">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2．其他情形的，不予计分。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291A461">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1．需附有关证书彩色扫描件（或打印件）。</w:t>
            </w:r>
          </w:p>
          <w:p w14:paraId="2EB54FE3">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Times New Roman" w:eastAsia="宋体" w:cs="Times New Roman"/>
                <w:sz w:val="24"/>
                <w:szCs w:val="20"/>
              </w:rPr>
            </w:pPr>
            <w:r>
              <w:rPr>
                <w:rFonts w:hint="eastAsia" w:ascii="宋体" w:hAnsi="宋体" w:eastAsia="宋体" w:cs="宋体"/>
                <w:snapToGrid w:val="0"/>
                <w:kern w:val="0"/>
                <w:sz w:val="24"/>
                <w:szCs w:val="24"/>
                <w:lang w:val="en-US" w:eastAsia="zh-CN" w:bidi="ar-SA"/>
              </w:rPr>
              <w:t>2．奖项类别、颁发机构、不符合评分标准和备注规定的，不计分。</w:t>
            </w:r>
          </w:p>
        </w:tc>
      </w:tr>
      <w:tr w14:paraId="4516F66D">
        <w:tblPrEx>
          <w:tblCellMar>
            <w:top w:w="0" w:type="dxa"/>
            <w:left w:w="108" w:type="dxa"/>
            <w:bottom w:w="0" w:type="dxa"/>
            <w:right w:w="108" w:type="dxa"/>
          </w:tblCellMar>
        </w:tblPrEx>
        <w:trPr>
          <w:trHeight w:val="1975"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3B0B58C0">
            <w:pPr>
              <w:spacing w:line="360" w:lineRule="auto"/>
              <w:rPr>
                <w:rFonts w:hint="eastAsia" w:ascii="宋体" w:hAnsi="宋体" w:eastAsia="宋体" w:cs="宋体"/>
                <w:snapToGrid w:val="0"/>
                <w:kern w:val="0"/>
                <w:sz w:val="24"/>
                <w:szCs w:val="24"/>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5B73F34E">
            <w:pPr>
              <w:keepNext w:val="0"/>
              <w:keepLines w:val="0"/>
              <w:widowControl/>
              <w:suppressLineNumbers w:val="0"/>
              <w:spacing w:line="360" w:lineRule="auto"/>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企业连续 3 年或 3 年以上（含 3 年）获得纳税信用 A 级纳税 人的，得 5 分；(其中必须有 2024 年度)</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7FBC2DF">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 xml:space="preserve">1．必须提供企业纳税信用 A 级纳税人证明材料（或证书）及国家税务总局网上查询截图，否则不得分。 </w:t>
            </w:r>
          </w:p>
          <w:p w14:paraId="0F47B638">
            <w:pPr>
              <w:keepNext w:val="0"/>
              <w:keepLines w:val="0"/>
              <w:pageBreakBefore w:val="0"/>
              <w:widowControl w:val="0"/>
              <w:kinsoku/>
              <w:wordWrap w:val="0"/>
              <w:overflowPunct/>
              <w:topLinePunct w:val="0"/>
              <w:autoSpaceDE/>
              <w:autoSpaceDN/>
              <w:bidi w:val="0"/>
              <w:adjustRightInd w:val="0"/>
              <w:snapToGrid w:val="0"/>
              <w:spacing w:afterAutospacing="0" w:line="360" w:lineRule="exact"/>
              <w:jc w:val="both"/>
              <w:textAlignment w:val="auto"/>
              <w:rPr>
                <w:rFonts w:hint="eastAsia" w:ascii="宋体" w:hAnsi="Times New Roman" w:eastAsia="宋体" w:cs="Times New Roman"/>
                <w:sz w:val="24"/>
                <w:szCs w:val="20"/>
              </w:rPr>
            </w:pPr>
            <w:r>
              <w:rPr>
                <w:rFonts w:hint="eastAsia" w:ascii="宋体" w:hAnsi="宋体" w:eastAsia="宋体" w:cs="宋体"/>
                <w:snapToGrid w:val="0"/>
                <w:kern w:val="0"/>
                <w:sz w:val="24"/>
                <w:szCs w:val="24"/>
                <w:lang w:val="en-US" w:eastAsia="zh-CN" w:bidi="ar-SA"/>
              </w:rPr>
              <w:t>2．只计算投标人自身（不计算投标人的分公司、子公司及分支机构）</w:t>
            </w:r>
          </w:p>
        </w:tc>
      </w:tr>
      <w:tr w14:paraId="49C3F4DD">
        <w:tblPrEx>
          <w:tblCellMar>
            <w:top w:w="0" w:type="dxa"/>
            <w:left w:w="108" w:type="dxa"/>
            <w:bottom w:w="0" w:type="dxa"/>
            <w:right w:w="108" w:type="dxa"/>
          </w:tblCellMar>
        </w:tblPrEx>
        <w:trPr>
          <w:trHeight w:val="1975" w:hRule="atLeast"/>
          <w:jc w:val="center"/>
        </w:trPr>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14:paraId="0459BC6C">
            <w:pPr>
              <w:spacing w:line="360" w:lineRule="auto"/>
              <w:rPr>
                <w:rFonts w:hint="eastAsia" w:ascii="宋体" w:hAnsi="宋体" w:eastAsia="宋体" w:cs="宋体"/>
                <w:snapToGrid w:val="0"/>
                <w:kern w:val="0"/>
                <w:sz w:val="24"/>
                <w:szCs w:val="24"/>
              </w:rPr>
            </w:pPr>
          </w:p>
        </w:tc>
        <w:tc>
          <w:tcPr>
            <w:tcW w:w="3757" w:type="dxa"/>
            <w:tcBorders>
              <w:top w:val="single" w:color="auto" w:sz="4" w:space="0"/>
              <w:left w:val="single" w:color="auto" w:sz="4" w:space="0"/>
              <w:bottom w:val="single" w:color="auto" w:sz="4" w:space="0"/>
              <w:right w:val="single" w:color="auto" w:sz="4" w:space="0"/>
            </w:tcBorders>
            <w:noWrap w:val="0"/>
            <w:vAlign w:val="center"/>
          </w:tcPr>
          <w:p w14:paraId="5CA24C5F">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近3年来（2023年1月1日至今）企业连续两年以上（含两年）获得过地市级或以上建筑协会颁发“优秀典型施工企业”的，得5分。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58162E8">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1.需提供证书彩色扫描件（或打印件）和相关部门网站截图。</w:t>
            </w:r>
          </w:p>
          <w:p w14:paraId="35769F06">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2.奖项类别、颁发机构、不符合评分标准和备注规定的，不计分。</w:t>
            </w:r>
          </w:p>
        </w:tc>
      </w:tr>
      <w:tr w14:paraId="7251C51E">
        <w:tblPrEx>
          <w:tblCellMar>
            <w:top w:w="0" w:type="dxa"/>
            <w:left w:w="108" w:type="dxa"/>
            <w:bottom w:w="0" w:type="dxa"/>
            <w:right w:w="108" w:type="dxa"/>
          </w:tblCellMar>
        </w:tblPrEx>
        <w:trPr>
          <w:trHeight w:val="624" w:hRule="exact"/>
          <w:jc w:val="center"/>
        </w:trPr>
        <w:tc>
          <w:tcPr>
            <w:tcW w:w="957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66FBBB53">
            <w:pPr>
              <w:widowControl w:val="0"/>
              <w:wordWrap w:val="0"/>
              <w:adjustRightInd w:val="0"/>
              <w:snapToGrid w:val="0"/>
              <w:spacing w:after="0" w:afterLines="0" w:afterAutospacing="0" w:line="44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技术部分（施工组织设计），满分：</w:t>
            </w:r>
            <w:r>
              <w:rPr>
                <w:rFonts w:hint="eastAsia" w:ascii="宋体" w:hAnsi="宋体" w:eastAsia="宋体" w:cs="宋体"/>
                <w:snapToGrid w:val="0"/>
                <w:kern w:val="0"/>
                <w:sz w:val="24"/>
                <w:szCs w:val="24"/>
                <w:u w:val="single"/>
                <w:lang w:val="en-US" w:eastAsia="zh-CN" w:bidi="ar-SA"/>
              </w:rPr>
              <w:t xml:space="preserve">  20  </w:t>
            </w:r>
            <w:r>
              <w:rPr>
                <w:rFonts w:hint="eastAsia" w:ascii="宋体" w:hAnsi="宋体" w:eastAsia="宋体" w:cs="宋体"/>
                <w:snapToGrid w:val="0"/>
                <w:kern w:val="0"/>
                <w:sz w:val="24"/>
                <w:szCs w:val="24"/>
                <w:lang w:val="en-US" w:eastAsia="zh-CN" w:bidi="ar-SA"/>
              </w:rPr>
              <w:t>分。</w:t>
            </w:r>
          </w:p>
        </w:tc>
      </w:tr>
      <w:tr w14:paraId="6171E201">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894A3DF">
            <w:pPr>
              <w:widowControl w:val="0"/>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评分因素</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2BA75084">
            <w:pPr>
              <w:widowControl w:val="0"/>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评分标准</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2CD2B45">
            <w:pPr>
              <w:widowControl w:val="0"/>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备注</w:t>
            </w:r>
          </w:p>
        </w:tc>
      </w:tr>
      <w:tr w14:paraId="176FCB2F">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A93C126">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 xml:space="preserve"> 总体概述</w:t>
            </w:r>
          </w:p>
          <w:p w14:paraId="07964580">
            <w:pPr>
              <w:widowControl w:val="0"/>
              <w:wordWrap w:val="0"/>
              <w:adjustRightInd w:val="0"/>
              <w:snapToGrid w:val="0"/>
              <w:spacing w:after="0" w:afterLines="0" w:afterAutospacing="0"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 3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0500DE4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644CEC2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207681C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5582C284">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6B6F4CE7">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【优】对项目总体有深刻认识，表述清晰、完整、严谨、合理，措施先进、具体、有效、成熟，采用了新技术、新工艺、新材料、新设备；施工段划分呼应总体表述，划分清晰、合理，符合规范要求。</w:t>
            </w:r>
          </w:p>
          <w:p w14:paraId="2C0F3204">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【良】对项目总体有一定认识，表述清晰、完整，措施具体有效；施工段划分呼应总体表述，划分清晰，符合规范要求。</w:t>
            </w:r>
          </w:p>
          <w:p w14:paraId="65F8DB17">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【中】对项目总体有认识，有一定的措施但部分不具体；施工段划分较合理，符合规范要求。</w:t>
            </w:r>
          </w:p>
          <w:p w14:paraId="008009BF">
            <w:pPr>
              <w:widowControl w:val="0"/>
              <w:wordWrap w:val="0"/>
              <w:adjustRightInd w:val="0"/>
              <w:snapToGrid w:val="0"/>
              <w:spacing w:after="0" w:afterLines="0" w:afterAutospacing="0"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【差】对项目认识不足，表述不清晰，措施不具体；施工段划分不合理。</w:t>
            </w:r>
          </w:p>
        </w:tc>
      </w:tr>
      <w:tr w14:paraId="29801D0A">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FFABADB">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施工总进</w:t>
            </w:r>
          </w:p>
          <w:p w14:paraId="704E295C">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度计划及</w:t>
            </w:r>
          </w:p>
          <w:p w14:paraId="1143FE70">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保证措施</w:t>
            </w:r>
          </w:p>
          <w:p w14:paraId="1A656329">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3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51BBEB9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45DE5EF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377B6A8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64ACA73F">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BB2E490">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27D93DEB">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12575B2D">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3990BCD3">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【差】关键线路不准确，计划编制不合理。关键节点的控制不可行。人、材、机需求和进场计划与进度计划不相呼应，不能满足施工需要。没有违约责任承诺。</w:t>
            </w:r>
          </w:p>
        </w:tc>
      </w:tr>
      <w:tr w14:paraId="17ED2571">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DDAB23C">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质量</w:t>
            </w:r>
          </w:p>
          <w:p w14:paraId="1AD6CD20">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保证措施</w:t>
            </w:r>
          </w:p>
          <w:p w14:paraId="63AAB6E0">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4</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AD2204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1C53B61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03BBFC7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3FC94A8E">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4196394E">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【优】应用新技术、新工艺、新材料、新设备，针对项目实际提出先进、可行、具体的保证措施。超过招标文件的质量要求。</w:t>
            </w:r>
          </w:p>
          <w:p w14:paraId="35A5DAB0">
            <w:pPr>
              <w:spacing w:line="360" w:lineRule="auto"/>
              <w:rPr>
                <w:rFonts w:ascii="宋体" w:hAnsi="Times New Roman" w:eastAsia="宋体" w:cs="Times New Roman"/>
                <w:sz w:val="24"/>
                <w:szCs w:val="20"/>
              </w:rPr>
            </w:pPr>
          </w:p>
          <w:p w14:paraId="1088C203">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【良】针对项目实际提出先进、可行、具体的保证措施。满足招标文件的质量要求</w:t>
            </w:r>
          </w:p>
          <w:p w14:paraId="3A7D558C">
            <w:pPr>
              <w:spacing w:line="360" w:lineRule="auto"/>
              <w:rPr>
                <w:rFonts w:ascii="宋体" w:hAnsi="Times New Roman" w:eastAsia="宋体" w:cs="Times New Roman"/>
                <w:sz w:val="24"/>
                <w:szCs w:val="20"/>
              </w:rPr>
            </w:pPr>
          </w:p>
          <w:p w14:paraId="77279E99">
            <w:pPr>
              <w:widowControl w:val="0"/>
              <w:wordWrap w:val="0"/>
              <w:adjustRightInd w:val="0"/>
              <w:snapToGrid w:val="0"/>
              <w:spacing w:after="0" w:afterLines="0" w:afterAutospacing="0"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【中】具体措施可行。满足招标文件的质量要求。</w:t>
            </w:r>
          </w:p>
          <w:p w14:paraId="6A059BA9">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【差】措施不可行，没有质量违约责任承诺。</w:t>
            </w:r>
          </w:p>
        </w:tc>
      </w:tr>
      <w:tr w14:paraId="60008730">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3EE85D0">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施工</w:t>
            </w:r>
          </w:p>
          <w:p w14:paraId="042A6982">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技术措施</w:t>
            </w:r>
          </w:p>
          <w:p w14:paraId="1AA90F84">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 2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486E24D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2B1254B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5000D6D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646E1E1E">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7DBDF905">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7DCF0BEA">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19B4F06C">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49BD0469">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【差】对项目关键技术有表述，对重点、难点有建议，解决方案不可行。采用的新技术针对性不强或验证材料不可靠，对节约投资、工期没有具体收益。无违约责任承诺。</w:t>
            </w:r>
          </w:p>
        </w:tc>
      </w:tr>
      <w:tr w14:paraId="09DDE715">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2D3E011">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绿色施工、</w:t>
            </w:r>
          </w:p>
          <w:p w14:paraId="4F2DBB45">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安全防护、</w:t>
            </w:r>
          </w:p>
          <w:p w14:paraId="5EBE50D5">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文明施工</w:t>
            </w:r>
          </w:p>
          <w:p w14:paraId="08795B1E">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措施计划</w:t>
            </w:r>
          </w:p>
          <w:p w14:paraId="6B484913">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 3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37CEE87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1B4C856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66426C0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017A0BA4">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30D24648">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【优】针对项目实际情况，有先进、具体、完整、可行的措施，采用规范准确、清晰。</w:t>
            </w:r>
          </w:p>
          <w:p w14:paraId="05BBBFAF">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【良】针对项目实际情况，有合理的措施且具体、完整，采用规范准确。</w:t>
            </w:r>
          </w:p>
          <w:p w14:paraId="3E0E92DF">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【中】有基本合理的措施，采用规范准确。</w:t>
            </w:r>
          </w:p>
          <w:p w14:paraId="4D78A5AB">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【差】措施不力，采用规范不正确。</w:t>
            </w:r>
          </w:p>
        </w:tc>
      </w:tr>
      <w:tr w14:paraId="269C3273">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F7B5AE6">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施工平面</w:t>
            </w:r>
          </w:p>
          <w:p w14:paraId="40DFD948">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布置和临时设施布置</w:t>
            </w:r>
          </w:p>
          <w:p w14:paraId="53B531AB">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 2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756FABA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6BA7DD7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0D9AE38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6F8D1421">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2A2BD4A">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【优】总体布置有针对性、合理，较好满足施工需要，符合绿色施工、安全防护、文明施工要求。</w:t>
            </w:r>
          </w:p>
          <w:p w14:paraId="095D3488">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【良】总体布置合理，能满足施工需要，基本符合绿色施工、安全防护、文明施工要求。</w:t>
            </w:r>
          </w:p>
          <w:p w14:paraId="7FCAEFBB">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【中】总体布置基本合理，基本满足施工需要。</w:t>
            </w:r>
          </w:p>
          <w:p w14:paraId="33697D9A">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【差】总体布置不合理，不符合绿色施工、安全防护、文明施工要求。</w:t>
            </w:r>
          </w:p>
        </w:tc>
      </w:tr>
      <w:tr w14:paraId="7F4234A6">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2C4867ED">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项目</w:t>
            </w:r>
          </w:p>
          <w:p w14:paraId="402B22CD">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管理机构</w:t>
            </w:r>
          </w:p>
          <w:p w14:paraId="1D83A22A">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w:t>
            </w:r>
            <w:r>
              <w:rPr>
                <w:rFonts w:hint="eastAsia" w:ascii="宋体" w:hAnsi="宋体" w:eastAsia="宋体" w:cs="宋体"/>
                <w:snapToGrid w:val="0"/>
                <w:kern w:val="0"/>
                <w:sz w:val="24"/>
                <w:szCs w:val="24"/>
                <w:u w:val="single"/>
                <w:lang w:val="en-US" w:eastAsia="zh-CN" w:bidi="ar-SA"/>
              </w:rPr>
              <w:t xml:space="preserve"> 3 </w:t>
            </w:r>
            <w:r>
              <w:rPr>
                <w:rFonts w:hint="eastAsia" w:ascii="宋体" w:hAnsi="宋体" w:eastAsia="宋体" w:cs="宋体"/>
                <w:snapToGrid w:val="0"/>
                <w:kern w:val="0"/>
                <w:sz w:val="24"/>
                <w:szCs w:val="24"/>
                <w:lang w:val="en-US" w:eastAsia="zh-CN" w:bidi="ar-SA"/>
              </w:rPr>
              <w:t>分）</w:t>
            </w:r>
          </w:p>
        </w:tc>
        <w:tc>
          <w:tcPr>
            <w:tcW w:w="3757" w:type="dxa"/>
            <w:tcBorders>
              <w:top w:val="single" w:color="auto" w:sz="4" w:space="0"/>
              <w:left w:val="single" w:color="auto" w:sz="4" w:space="0"/>
              <w:bottom w:val="single" w:color="auto" w:sz="4" w:space="0"/>
              <w:right w:val="single" w:color="auto" w:sz="4" w:space="0"/>
            </w:tcBorders>
            <w:noWrap w:val="0"/>
            <w:vAlign w:val="center"/>
          </w:tcPr>
          <w:p w14:paraId="6C41E55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【优】得该项评分因素分值的90%～100%（含90%）。</w:t>
            </w:r>
          </w:p>
          <w:p w14:paraId="2F47217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【良】得该项评分因素分值的80%～90%（含80%）。</w:t>
            </w:r>
          </w:p>
          <w:p w14:paraId="6834E27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exact"/>
              <w:ind w:left="0" w:right="0"/>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【中】得该项评分因素分值的70%～80%（含70%）。</w:t>
            </w:r>
          </w:p>
          <w:p w14:paraId="4D27A402">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【差】得该项评分因素分值的60～70%（含60%）。</w:t>
            </w:r>
          </w:p>
        </w:tc>
        <w:tc>
          <w:tcPr>
            <w:tcW w:w="4413" w:type="dxa"/>
            <w:tcBorders>
              <w:top w:val="single" w:color="auto" w:sz="4" w:space="0"/>
              <w:left w:val="single" w:color="auto" w:sz="4" w:space="0"/>
              <w:bottom w:val="single" w:color="auto" w:sz="4" w:space="0"/>
              <w:right w:val="single" w:color="auto" w:sz="4" w:space="0"/>
            </w:tcBorders>
            <w:noWrap w:val="0"/>
            <w:vAlign w:val="center"/>
          </w:tcPr>
          <w:p w14:paraId="10951D23">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【优】组织机构形式合理，有完善的指挥系统，生产及质量、绿色施工、安全、文明施工、创优达标监控系统、联络协调系统。</w:t>
            </w:r>
          </w:p>
          <w:p w14:paraId="23E1C79C">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【良】组织机构形式合理，指挥系统，生产及质量、绿色施工、安全、文明施工、创优达标监控系统、联络协调系统齐全。</w:t>
            </w:r>
          </w:p>
          <w:p w14:paraId="4A2597FF">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【中】组织机构形式基本合理，有指挥系统，生产及质量、绿色施工、安全、文明施工、创优达标监控系统、联络协调系统。</w:t>
            </w:r>
          </w:p>
          <w:p w14:paraId="374E16B2">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【差】组织机构形式合理，指挥系统，生产及质量、绿色施工、安全、文明施工、创优达标监控系统、联络协调系统不齐全。</w:t>
            </w:r>
          </w:p>
        </w:tc>
      </w:tr>
      <w:tr w14:paraId="22F3E12E">
        <w:tblPrEx>
          <w:tblCellMar>
            <w:top w:w="0" w:type="dxa"/>
            <w:left w:w="108" w:type="dxa"/>
            <w:bottom w:w="0" w:type="dxa"/>
            <w:right w:w="108" w:type="dxa"/>
          </w:tblCellMar>
        </w:tblPrEx>
        <w:trPr>
          <w:trHeight w:val="746" w:hRule="atLeast"/>
          <w:jc w:val="center"/>
        </w:trPr>
        <w:tc>
          <w:tcPr>
            <w:tcW w:w="9574" w:type="dxa"/>
            <w:gridSpan w:val="3"/>
            <w:tcBorders>
              <w:top w:val="single" w:color="auto" w:sz="4" w:space="0"/>
              <w:left w:val="single" w:color="auto" w:sz="4" w:space="0"/>
              <w:bottom w:val="single" w:color="auto" w:sz="4" w:space="0"/>
              <w:right w:val="single" w:color="auto" w:sz="4" w:space="0"/>
            </w:tcBorders>
            <w:noWrap w:val="0"/>
            <w:vAlign w:val="center"/>
          </w:tcPr>
          <w:p w14:paraId="67C33026">
            <w:pPr>
              <w:widowControl w:val="0"/>
              <w:wordWrap w:val="0"/>
              <w:adjustRightInd w:val="0"/>
              <w:snapToGrid w:val="0"/>
              <w:spacing w:line="400" w:lineRule="exact"/>
              <w:jc w:val="both"/>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投标报价部分，满分：100分。</w:t>
            </w:r>
          </w:p>
        </w:tc>
      </w:tr>
      <w:tr w14:paraId="6A2749D0">
        <w:tblPrEx>
          <w:tblCellMar>
            <w:top w:w="0" w:type="dxa"/>
            <w:left w:w="108" w:type="dxa"/>
            <w:bottom w:w="0" w:type="dxa"/>
            <w:right w:w="108" w:type="dxa"/>
          </w:tblCellMar>
        </w:tblPrEx>
        <w:trPr>
          <w:trHeight w:val="74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47EC225C">
            <w:pPr>
              <w:widowControl w:val="0"/>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评分事项</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6BED04D2">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评分方法</w:t>
            </w:r>
          </w:p>
        </w:tc>
      </w:tr>
      <w:tr w14:paraId="16FB76B8">
        <w:tblPrEx>
          <w:tblCellMar>
            <w:top w:w="0" w:type="dxa"/>
            <w:left w:w="108" w:type="dxa"/>
            <w:bottom w:w="0" w:type="dxa"/>
            <w:right w:w="108" w:type="dxa"/>
          </w:tblCellMar>
        </w:tblPrEx>
        <w:trPr>
          <w:trHeight w:val="1408"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E38FD67">
            <w:pPr>
              <w:widowControl w:val="0"/>
              <w:wordWrap w:val="0"/>
              <w:adjustRightInd w:val="0"/>
              <w:snapToGrid w:val="0"/>
              <w:spacing w:after="0" w:afterLines="0" w:afterAutospacing="0" w:line="44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评标基准价D</w:t>
            </w:r>
          </w:p>
        </w:tc>
        <w:tc>
          <w:tcPr>
            <w:tcW w:w="8170" w:type="dxa"/>
            <w:gridSpan w:val="2"/>
            <w:tcBorders>
              <w:top w:val="single" w:color="auto" w:sz="4" w:space="0"/>
              <w:left w:val="single" w:color="auto" w:sz="4" w:space="0"/>
              <w:bottom w:val="single" w:color="auto" w:sz="4" w:space="0"/>
              <w:right w:val="single" w:color="auto" w:sz="4" w:space="0"/>
            </w:tcBorders>
            <w:noWrap w:val="0"/>
            <w:vAlign w:val="center"/>
          </w:tcPr>
          <w:p w14:paraId="5A0C64E3">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（1）确定最高投标限价下浮系数n：用1～21号球分别代表一个下浮系数，由评委代表从这21个号码中随机抽取 3 次，每次抽取1个号码，抽出的号球不参与下次抽取。所抽取的Y个号码对应下浮系数的算术平均值作为最高投标限价下浮系数n。具体号码对应的下浮系数可参考下表。</w:t>
            </w:r>
          </w:p>
          <w:tbl>
            <w:tblPr>
              <w:tblStyle w:val="21"/>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798780FB">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FA6DB21">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7634D60E">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2DAB366">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CAEFC3D">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6D644AB">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AFDFF37">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372E036">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BB6352A">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7</w:t>
                  </w:r>
                </w:p>
              </w:tc>
            </w:tr>
            <w:tr w14:paraId="69703B83">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3B9C20E">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AE7AD8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6D6359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BC2C3E1">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153ECC7">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7143BD5">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5DC1256">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A920714">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1.6</w:t>
                  </w:r>
                </w:p>
              </w:tc>
            </w:tr>
            <w:tr w14:paraId="1BC45AF0">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01F6AB7">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1DE52D63">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7607DDA">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3E1226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63DFABBB">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DEE360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BC37293">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C5B9ED9">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14</w:t>
                  </w:r>
                </w:p>
              </w:tc>
            </w:tr>
            <w:tr w14:paraId="1F3FF25B">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F82AE9E">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84F286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8A64CFA">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4B74226">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14A852E">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C94F9C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67B592B">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8544AEF">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2.3</w:t>
                  </w:r>
                </w:p>
              </w:tc>
            </w:tr>
            <w:tr w14:paraId="4F2B4BA5">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B914F8E">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4B83141">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01814EC">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041988D">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CA95499">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B888684">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A4924B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5846F2C">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21</w:t>
                  </w:r>
                </w:p>
              </w:tc>
            </w:tr>
            <w:tr w14:paraId="216C600B">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08317EB">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167807C">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1BAD600">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944A69F">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7CEC70D">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F2A74C1">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6AC7757">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803EC4A">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3.0</w:t>
                  </w:r>
                </w:p>
              </w:tc>
            </w:tr>
          </w:tbl>
          <w:p w14:paraId="16C123FB">
            <w:pPr>
              <w:widowControl w:val="0"/>
              <w:wordWrap w:val="0"/>
              <w:adjustRightInd w:val="0"/>
              <w:snapToGrid w:val="0"/>
              <w:spacing w:line="400" w:lineRule="exact"/>
              <w:jc w:val="left"/>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（2）评标基准价D＝最高投标限价×（1－n）</w:t>
            </w:r>
          </w:p>
        </w:tc>
      </w:tr>
      <w:tr w14:paraId="58FFA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4" w:hRule="exact"/>
          <w:jc w:val="center"/>
        </w:trPr>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7CFAAD">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投标报价</w:t>
            </w:r>
          </w:p>
          <w:p w14:paraId="08AFA980">
            <w:pPr>
              <w:widowControl w:val="0"/>
              <w:wordWrap w:val="0"/>
              <w:adjustRightInd w:val="0"/>
              <w:snapToGrid w:val="0"/>
              <w:spacing w:line="400" w:lineRule="exact"/>
              <w:jc w:val="center"/>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得分N</w:t>
            </w:r>
          </w:p>
        </w:tc>
        <w:tc>
          <w:tcPr>
            <w:tcW w:w="81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7AF98C">
            <w:pPr>
              <w:wordWrap w:val="0"/>
              <w:adjustRightInd w:val="0"/>
              <w:snapToGrid w:val="0"/>
              <w:spacing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采用内插法计算某投标人的投标报价得分N，即当投标人的投标总价等于评标基准价时得100分，每高于评标基准价一个百分点扣1分, 每低于评标基准价一个百分点扣0.5分，扣完为止。公式如下：</w:t>
            </w:r>
          </w:p>
          <w:p w14:paraId="67C6CC3D">
            <w:pPr>
              <w:wordWrap w:val="0"/>
              <w:adjustRightInd w:val="0"/>
              <w:snapToGrid w:val="0"/>
              <w:spacing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N＝100－（| Di－D | ÷D）×100×E</w:t>
            </w:r>
          </w:p>
          <w:p w14:paraId="349E7BEC">
            <w:pPr>
              <w:wordWrap w:val="0"/>
              <w:adjustRightInd w:val="0"/>
              <w:snapToGrid w:val="0"/>
              <w:spacing w:line="4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式中：D为评标基准价；Di为某投标人的投标总价；E为扣分因子，当Di＞D时，E＝1；当Di＜D时，E＝0.5。</w:t>
            </w:r>
          </w:p>
        </w:tc>
      </w:tr>
    </w:tbl>
    <w:p w14:paraId="024A1E21">
      <w:pPr>
        <w:bidi w:val="0"/>
        <w:rPr>
          <w:rFonts w:hint="eastAsia"/>
          <w:lang w:val="en-US" w:eastAsia="zh-CN"/>
        </w:rPr>
      </w:pPr>
    </w:p>
    <w:p w14:paraId="29E7190B">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7052BEAA">
      <w:pPr>
        <w:pStyle w:val="4"/>
        <w:bidi w:val="0"/>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四、定标细则</w:t>
      </w:r>
      <w:bookmarkEnd w:id="42"/>
    </w:p>
    <w:p w14:paraId="7F1714AB">
      <w:pPr>
        <w:keepNext w:val="0"/>
        <w:keepLines w:val="0"/>
        <w:pageBreakBefore w:val="0"/>
        <w:kinsoku/>
        <w:wordWrap/>
        <w:overflowPunct/>
        <w:topLinePunct w:val="0"/>
        <w:autoSpaceDE/>
        <w:autoSpaceDN/>
        <w:bidi w:val="0"/>
        <w:adjustRightInd/>
        <w:snapToGrid/>
        <w:spacing w:line="400" w:lineRule="exact"/>
        <w:ind w:firstLine="422" w:firstLineChars="150"/>
        <w:jc w:val="center"/>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票决数量法</w:t>
      </w:r>
    </w:p>
    <w:p w14:paraId="7DD9AF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6C5B6BF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一、票决数量法程序</w:t>
      </w:r>
    </w:p>
    <w:p w14:paraId="4D823C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05D6BD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w:t>
      </w:r>
      <w:r>
        <w:rPr>
          <w:rFonts w:hint="eastAsia" w:ascii="宋体" w:hAnsi="宋体" w:eastAsia="宋体" w:cs="宋体"/>
          <w:b/>
          <w:bCs/>
          <w:color w:val="auto"/>
          <w:sz w:val="24"/>
          <w:szCs w:val="24"/>
          <w:highlight w:val="none"/>
          <w:u w:val="none"/>
          <w:shd w:val="clear" w:color="auto" w:fill="FFFFFF"/>
        </w:rPr>
        <w:t>项目情况介绍</w:t>
      </w:r>
    </w:p>
    <w:p w14:paraId="1E19CF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7CF0D25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2.</w:t>
      </w:r>
      <w:r>
        <w:rPr>
          <w:rFonts w:hint="eastAsia" w:ascii="宋体" w:hAnsi="宋体" w:eastAsia="宋体" w:cs="宋体"/>
          <w:b/>
          <w:bCs/>
          <w:color w:val="auto"/>
          <w:sz w:val="24"/>
          <w:szCs w:val="24"/>
          <w:highlight w:val="none"/>
          <w:u w:val="none"/>
          <w:shd w:val="clear" w:color="auto" w:fill="FFFFFF"/>
        </w:rPr>
        <w:t>审阅定标资料</w:t>
      </w:r>
    </w:p>
    <w:p w14:paraId="292F11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44F8B727">
      <w:pPr>
        <w:pStyle w:val="1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3.</w:t>
      </w:r>
      <w:r>
        <w:rPr>
          <w:rFonts w:hint="eastAsia" w:ascii="宋体" w:hAnsi="宋体" w:eastAsia="宋体" w:cs="宋体"/>
          <w:b/>
          <w:bCs/>
          <w:color w:val="auto"/>
          <w:sz w:val="24"/>
          <w:szCs w:val="24"/>
          <w:highlight w:val="none"/>
          <w:u w:val="none"/>
          <w:shd w:val="clear" w:color="auto" w:fill="FFFFFF"/>
        </w:rPr>
        <w:t>疑问澄清</w:t>
      </w:r>
    </w:p>
    <w:p w14:paraId="3EEBD9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667D5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4.投票，收票，点票和汇总</w:t>
      </w:r>
    </w:p>
    <w:p w14:paraId="3EA572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A62C3E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5.公布结果和出具定标报告</w:t>
      </w:r>
    </w:p>
    <w:p w14:paraId="1FDEE3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74ABFD3">
      <w:pPr>
        <w:pStyle w:val="1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6.</w:t>
      </w:r>
      <w:r>
        <w:rPr>
          <w:rFonts w:hint="eastAsia" w:ascii="宋体" w:hAnsi="宋体" w:eastAsia="宋体" w:cs="宋体"/>
          <w:b/>
          <w:bCs/>
          <w:color w:val="auto"/>
          <w:sz w:val="24"/>
          <w:szCs w:val="24"/>
          <w:highlight w:val="none"/>
          <w:u w:val="none"/>
          <w:shd w:val="clear" w:color="auto" w:fill="FFFFFF"/>
        </w:rPr>
        <w:t>全程监督</w:t>
      </w:r>
    </w:p>
    <w:p w14:paraId="2A46EE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061AC0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二、定标因素</w:t>
      </w:r>
    </w:p>
    <w:p w14:paraId="37CD0AF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52446C3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（一）拟派团队管理能力与水平（履约能力）</w:t>
      </w:r>
    </w:p>
    <w:p w14:paraId="3864012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5AF833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（二）企业信誉</w:t>
      </w:r>
    </w:p>
    <w:p w14:paraId="10AD37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4E88E0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（三）企业社会贡献（助力“百千万工程”、社会公益项目）</w:t>
      </w:r>
    </w:p>
    <w:p w14:paraId="5B0C51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385921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（四）评标报告</w:t>
      </w:r>
    </w:p>
    <w:p w14:paraId="0A8EFCF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61E9A6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（五）农民工工资保障情况</w:t>
      </w:r>
    </w:p>
    <w:p w14:paraId="234D62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A2E2B72">
      <w:pPr>
        <w:rPr>
          <w:rFonts w:hint="eastAsia" w:ascii="宋体" w:hAnsi="宋体" w:eastAsia="宋体" w:cs="宋体"/>
          <w:color w:val="auto"/>
        </w:rPr>
      </w:pPr>
    </w:p>
    <w:p w14:paraId="4C17EF25">
      <w:pPr>
        <w:rPr>
          <w:rFonts w:hint="eastAsia" w:ascii="宋体" w:hAnsi="宋体" w:eastAsia="宋体" w:cs="宋体"/>
          <w:color w:val="auto"/>
        </w:rPr>
      </w:pPr>
    </w:p>
    <w:p w14:paraId="23DC9E05">
      <w:pPr>
        <w:rPr>
          <w:rFonts w:hint="eastAsia" w:ascii="宋体" w:hAnsi="宋体" w:eastAsia="宋体" w:cs="宋体"/>
          <w:color w:val="auto"/>
        </w:rPr>
      </w:pPr>
    </w:p>
    <w:p w14:paraId="24615DB7">
      <w:pPr>
        <w:rPr>
          <w:rFonts w:hint="eastAsia" w:ascii="宋体" w:hAnsi="宋体" w:eastAsia="宋体" w:cs="宋体"/>
          <w:color w:val="auto"/>
        </w:rPr>
      </w:pPr>
    </w:p>
    <w:p w14:paraId="2C22392E">
      <w:pPr>
        <w:rPr>
          <w:rFonts w:hint="eastAsia" w:ascii="宋体" w:hAnsi="宋体" w:eastAsia="宋体" w:cs="宋体"/>
          <w:color w:val="auto"/>
        </w:rPr>
      </w:pPr>
      <w:bookmarkStart w:id="43" w:name="_Toc8582"/>
      <w:r>
        <w:rPr>
          <w:rFonts w:hint="eastAsia" w:ascii="宋体" w:hAnsi="宋体" w:eastAsia="宋体" w:cs="宋体"/>
          <w:color w:val="auto"/>
        </w:rPr>
        <w:br w:type="page"/>
      </w:r>
    </w:p>
    <w:p w14:paraId="68DBB0BE">
      <w:pPr>
        <w:pStyle w:val="3"/>
        <w:bidi w:val="0"/>
        <w:jc w:val="center"/>
        <w:rPr>
          <w:rFonts w:hint="eastAsia" w:ascii="宋体" w:hAnsi="宋体" w:eastAsia="宋体" w:cs="宋体"/>
          <w:color w:val="auto"/>
        </w:rPr>
      </w:pPr>
      <w:r>
        <w:rPr>
          <w:rFonts w:hint="eastAsia" w:ascii="宋体" w:hAnsi="宋体" w:eastAsia="宋体" w:cs="宋体"/>
          <w:color w:val="auto"/>
        </w:rPr>
        <w:t>第四章</w:t>
      </w:r>
      <w:r>
        <w:rPr>
          <w:rFonts w:hint="eastAsia" w:ascii="宋体" w:hAnsi="宋体" w:eastAsia="宋体" w:cs="宋体"/>
          <w:color w:val="auto"/>
          <w:lang w:val="en-US" w:eastAsia="zh-CN"/>
        </w:rPr>
        <w:t xml:space="preserve">   </w:t>
      </w:r>
      <w:r>
        <w:rPr>
          <w:rFonts w:hint="eastAsia" w:ascii="宋体" w:hAnsi="宋体" w:eastAsia="宋体" w:cs="宋体"/>
          <w:color w:val="auto"/>
        </w:rPr>
        <w:t>投标文件格式</w:t>
      </w:r>
      <w:bookmarkEnd w:id="43"/>
    </w:p>
    <w:p w14:paraId="0641AD1A">
      <w:pPr>
        <w:pStyle w:val="4"/>
        <w:bidi w:val="0"/>
        <w:ind w:left="0" w:leftChars="0" w:firstLine="0" w:firstLineChars="0"/>
        <w:jc w:val="left"/>
        <w:rPr>
          <w:rFonts w:hint="eastAsia" w:ascii="宋体" w:hAnsi="宋体" w:eastAsia="宋体" w:cs="宋体"/>
          <w:color w:val="auto"/>
          <w:lang w:val="en-US"/>
        </w:rPr>
      </w:pPr>
      <w:bookmarkStart w:id="44" w:name="_Toc851"/>
      <w:bookmarkStart w:id="45" w:name="_Toc32717"/>
      <w:bookmarkStart w:id="46" w:name="_Toc21542"/>
      <w:r>
        <w:rPr>
          <w:rFonts w:hint="eastAsia" w:ascii="宋体" w:hAnsi="宋体" w:eastAsia="宋体" w:cs="宋体"/>
          <w:color w:val="auto"/>
          <w:lang w:eastAsia="zh-CN"/>
        </w:rPr>
        <w:t>格式一</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封面</w:t>
      </w:r>
      <w:bookmarkEnd w:id="44"/>
      <w:bookmarkEnd w:id="45"/>
      <w:bookmarkEnd w:id="46"/>
    </w:p>
    <w:p w14:paraId="49897C4E">
      <w:pPr>
        <w:rPr>
          <w:rFonts w:hint="eastAsia" w:ascii="宋体" w:hAnsi="宋体" w:eastAsia="宋体" w:cs="宋体"/>
          <w:color w:val="auto"/>
          <w:lang w:val="en-US" w:eastAsia="zh-CN"/>
        </w:rPr>
      </w:pPr>
    </w:p>
    <w:p w14:paraId="5A0E4E02">
      <w:pPr>
        <w:rPr>
          <w:rFonts w:hint="eastAsia" w:ascii="宋体" w:hAnsi="宋体" w:eastAsia="宋体" w:cs="宋体"/>
          <w:color w:val="auto"/>
          <w:lang w:val="en-US" w:eastAsia="zh-CN"/>
        </w:rPr>
      </w:pPr>
    </w:p>
    <w:p w14:paraId="1263E196">
      <w:pPr>
        <w:rPr>
          <w:rFonts w:hint="eastAsia" w:ascii="宋体" w:hAnsi="宋体" w:eastAsia="宋体" w:cs="宋体"/>
          <w:color w:val="auto"/>
          <w:lang w:val="en-US" w:eastAsia="zh-CN"/>
        </w:rPr>
      </w:pPr>
    </w:p>
    <w:p w14:paraId="644B35D6">
      <w:pPr>
        <w:rPr>
          <w:rFonts w:hint="eastAsia" w:ascii="宋体" w:hAnsi="宋体" w:eastAsia="宋体" w:cs="宋体"/>
          <w:color w:val="auto"/>
          <w:lang w:val="en-US" w:eastAsia="zh-CN"/>
        </w:rPr>
      </w:pPr>
    </w:p>
    <w:p w14:paraId="15FFA7C8">
      <w:pPr>
        <w:rPr>
          <w:rFonts w:hint="eastAsia" w:ascii="宋体" w:hAnsi="宋体" w:eastAsia="宋体" w:cs="宋体"/>
          <w:color w:val="auto"/>
          <w:lang w:val="en-US" w:eastAsia="zh-CN"/>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652F4C9D">
      <w:pPr>
        <w:keepNext w:val="0"/>
        <w:keepLines w:val="0"/>
        <w:widowControl w:val="0"/>
        <w:suppressLineNumbers w:val="0"/>
        <w:spacing w:before="0" w:beforeAutospacing="0" w:after="0" w:afterAutospacing="0" w:line="360" w:lineRule="auto"/>
        <w:ind w:left="0" w:right="482"/>
        <w:jc w:val="center"/>
        <w:rPr>
          <w:rFonts w:hint="eastAsia" w:ascii="宋体" w:hAnsi="宋体" w:eastAsia="宋体" w:cs="宋体"/>
          <w:b/>
          <w:bCs w:val="0"/>
          <w:color w:val="auto"/>
          <w:sz w:val="48"/>
          <w:szCs w:val="48"/>
          <w:highlight w:val="none"/>
          <w:lang w:val="en-US"/>
        </w:rPr>
      </w:pPr>
    </w:p>
    <w:p w14:paraId="23AC18C0">
      <w:pPr>
        <w:keepNext w:val="0"/>
        <w:keepLines w:val="0"/>
        <w:widowControl w:val="0"/>
        <w:suppressLineNumbers w:val="0"/>
        <w:spacing w:before="0" w:beforeAutospacing="0" w:after="0" w:afterAutospacing="0" w:line="360" w:lineRule="auto"/>
        <w:ind w:left="0" w:right="482"/>
        <w:jc w:val="center"/>
        <w:rPr>
          <w:rFonts w:hint="eastAsia" w:ascii="宋体" w:hAnsi="宋体" w:eastAsia="宋体" w:cs="宋体"/>
          <w:b/>
          <w:bCs w:val="0"/>
          <w:color w:val="auto"/>
          <w:sz w:val="48"/>
          <w:szCs w:val="48"/>
          <w:highlight w:val="none"/>
          <w:lang w:val="en-US"/>
        </w:rPr>
      </w:pPr>
    </w:p>
    <w:p w14:paraId="0EBD5D8F">
      <w:pPr>
        <w:rPr>
          <w:rFonts w:hint="eastAsia" w:ascii="宋体" w:hAnsi="宋体" w:eastAsia="宋体" w:cs="宋体"/>
          <w:color w:val="auto"/>
          <w:lang w:val="en-US"/>
        </w:rPr>
      </w:pPr>
    </w:p>
    <w:p w14:paraId="1B31B166">
      <w:pPr>
        <w:rPr>
          <w:rFonts w:hint="eastAsia" w:ascii="宋体" w:hAnsi="宋体" w:eastAsia="宋体" w:cs="宋体"/>
          <w:color w:val="auto"/>
          <w:lang w:val="en-US"/>
        </w:rPr>
      </w:pPr>
    </w:p>
    <w:p w14:paraId="0E4D7458">
      <w:pPr>
        <w:rPr>
          <w:rFonts w:hint="eastAsia" w:ascii="宋体" w:hAnsi="宋体" w:eastAsia="宋体" w:cs="宋体"/>
          <w:color w:val="auto"/>
          <w:lang w:val="en-US"/>
        </w:rPr>
      </w:pPr>
    </w:p>
    <w:p w14:paraId="7615CE61">
      <w:pPr>
        <w:rPr>
          <w:rFonts w:hint="eastAsia" w:ascii="宋体" w:hAnsi="宋体" w:eastAsia="宋体" w:cs="宋体"/>
          <w:color w:val="auto"/>
          <w:lang w:val="en-US"/>
        </w:rPr>
      </w:pPr>
    </w:p>
    <w:p w14:paraId="289E8065">
      <w:pPr>
        <w:rPr>
          <w:rFonts w:hint="eastAsia" w:ascii="宋体" w:hAnsi="宋体" w:eastAsia="宋体" w:cs="宋体"/>
          <w:color w:val="auto"/>
          <w:lang w:val="en-US"/>
        </w:rPr>
      </w:pPr>
    </w:p>
    <w:p w14:paraId="74BBC0A9">
      <w:pPr>
        <w:rPr>
          <w:rFonts w:hint="eastAsia" w:ascii="宋体" w:hAnsi="宋体" w:eastAsia="宋体" w:cs="宋体"/>
          <w:color w:val="auto"/>
          <w:lang w:val="en-US"/>
        </w:rPr>
      </w:pPr>
    </w:p>
    <w:p w14:paraId="1EF6F2EA">
      <w:pPr>
        <w:pStyle w:val="39"/>
        <w:keepNext w:val="0"/>
        <w:keepLines w:val="0"/>
        <w:widowControl w:val="0"/>
        <w:suppressLineNumbers w:val="0"/>
        <w:wordWrap w:val="0"/>
        <w:ind w:left="0" w:firstLine="0"/>
        <w:jc w:val="center"/>
        <w:rPr>
          <w:rFonts w:hint="eastAsia" w:ascii="宋体" w:hAnsi="宋体" w:eastAsia="宋体" w:cs="宋体"/>
          <w:b/>
          <w:bCs w:val="0"/>
          <w:color w:val="auto"/>
          <w:sz w:val="72"/>
          <w:szCs w:val="72"/>
          <w:highlight w:val="none"/>
          <w:lang w:val="en-US"/>
        </w:rPr>
      </w:pPr>
      <w:r>
        <w:rPr>
          <w:rFonts w:hint="eastAsia" w:ascii="宋体" w:hAnsi="宋体" w:eastAsia="宋体" w:cs="宋体"/>
          <w:b/>
          <w:bCs w:val="0"/>
          <w:color w:val="auto"/>
          <w:sz w:val="72"/>
          <w:szCs w:val="72"/>
          <w:highlight w:val="none"/>
          <w:lang w:eastAsia="zh-CN"/>
        </w:rPr>
        <w:t>投</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文</w:t>
      </w:r>
      <w:r>
        <w:rPr>
          <w:rFonts w:hint="eastAsia" w:ascii="宋体" w:hAnsi="宋体" w:eastAsia="宋体" w:cs="宋体"/>
          <w:b/>
          <w:bCs w:val="0"/>
          <w:color w:val="auto"/>
          <w:sz w:val="72"/>
          <w:szCs w:val="72"/>
          <w:highlight w:val="none"/>
          <w:lang w:val="en-US"/>
        </w:rPr>
        <w:t xml:space="preserve">  </w:t>
      </w:r>
      <w:r>
        <w:rPr>
          <w:rFonts w:hint="eastAsia" w:ascii="宋体" w:hAnsi="宋体" w:eastAsia="宋体" w:cs="宋体"/>
          <w:b/>
          <w:bCs w:val="0"/>
          <w:color w:val="auto"/>
          <w:sz w:val="72"/>
          <w:szCs w:val="72"/>
          <w:highlight w:val="none"/>
          <w:lang w:eastAsia="zh-CN"/>
        </w:rPr>
        <w:t>件</w:t>
      </w:r>
    </w:p>
    <w:p w14:paraId="7DAB493D">
      <w:pPr>
        <w:rPr>
          <w:rFonts w:hint="eastAsia" w:ascii="宋体" w:hAnsi="宋体" w:eastAsia="宋体" w:cs="宋体"/>
          <w:color w:val="auto"/>
          <w:lang w:val="en-US"/>
        </w:rPr>
      </w:pPr>
    </w:p>
    <w:p w14:paraId="6DC7139F">
      <w:pPr>
        <w:rPr>
          <w:rFonts w:hint="eastAsia" w:ascii="宋体" w:hAnsi="宋体" w:eastAsia="宋体" w:cs="宋体"/>
          <w:color w:val="auto"/>
          <w:lang w:val="en-US"/>
        </w:rPr>
      </w:pPr>
    </w:p>
    <w:p w14:paraId="3804CB4D">
      <w:pPr>
        <w:rPr>
          <w:rFonts w:hint="eastAsia" w:ascii="宋体" w:hAnsi="宋体" w:eastAsia="宋体" w:cs="宋体"/>
          <w:color w:val="auto"/>
          <w:lang w:val="en-US"/>
        </w:rPr>
      </w:pPr>
    </w:p>
    <w:p w14:paraId="2182C9C7">
      <w:pPr>
        <w:rPr>
          <w:rFonts w:hint="eastAsia" w:ascii="宋体" w:hAnsi="宋体" w:eastAsia="宋体" w:cs="宋体"/>
          <w:color w:val="auto"/>
          <w:lang w:val="en-US"/>
        </w:rPr>
      </w:pPr>
    </w:p>
    <w:p w14:paraId="69244C4F">
      <w:pPr>
        <w:rPr>
          <w:rFonts w:hint="eastAsia" w:ascii="宋体" w:hAnsi="宋体" w:eastAsia="宋体" w:cs="宋体"/>
          <w:color w:val="auto"/>
          <w:lang w:val="en-US"/>
        </w:rPr>
      </w:pPr>
    </w:p>
    <w:p w14:paraId="14557528">
      <w:pPr>
        <w:rPr>
          <w:rFonts w:hint="eastAsia" w:ascii="宋体" w:hAnsi="宋体" w:eastAsia="宋体" w:cs="宋体"/>
          <w:color w:val="auto"/>
          <w:lang w:val="en-US"/>
        </w:rPr>
      </w:pPr>
    </w:p>
    <w:p w14:paraId="4B756F30">
      <w:pPr>
        <w:pStyle w:val="39"/>
        <w:keepNext w:val="0"/>
        <w:keepLines w:val="0"/>
        <w:widowControl w:val="0"/>
        <w:suppressLineNumbers w:val="0"/>
        <w:wordWrap w:val="0"/>
        <w:ind w:left="0" w:firstLine="0"/>
        <w:jc w:val="center"/>
        <w:rPr>
          <w:rFonts w:hint="eastAsia" w:ascii="宋体" w:hAnsi="宋体" w:eastAsia="宋体" w:cs="宋体"/>
          <w:b w:val="0"/>
          <w:bCs/>
          <w:color w:val="auto"/>
          <w:sz w:val="44"/>
          <w:szCs w:val="44"/>
          <w:highlight w:val="none"/>
          <w:lang w:val="en-US"/>
        </w:rPr>
      </w:pPr>
      <w:r>
        <w:rPr>
          <w:rFonts w:hint="eastAsia" w:ascii="宋体" w:hAnsi="宋体" w:eastAsia="宋体" w:cs="宋体"/>
          <w:b w:val="0"/>
          <w:bCs/>
          <w:color w:val="auto"/>
          <w:sz w:val="44"/>
          <w:szCs w:val="44"/>
          <w:highlight w:val="none"/>
          <w:lang w:eastAsia="zh-CN"/>
        </w:rPr>
        <w:t>（</w:t>
      </w:r>
      <w:r>
        <w:rPr>
          <w:rFonts w:hint="eastAsia" w:ascii="宋体" w:hAnsi="宋体" w:eastAsia="宋体" w:cs="宋体"/>
          <w:b w:val="0"/>
          <w:bCs/>
          <w:color w:val="auto"/>
          <w:sz w:val="44"/>
          <w:szCs w:val="44"/>
          <w:highlight w:val="none"/>
          <w:lang w:val="en-US" w:eastAsia="zh-CN"/>
        </w:rPr>
        <w:t>商务标书/经济标书/施工组织设计</w:t>
      </w:r>
      <w:r>
        <w:rPr>
          <w:rFonts w:hint="eastAsia" w:hAnsi="宋体" w:cs="宋体"/>
          <w:b w:val="0"/>
          <w:bCs/>
          <w:color w:val="auto"/>
          <w:sz w:val="44"/>
          <w:szCs w:val="44"/>
          <w:highlight w:val="none"/>
          <w:lang w:val="en-US" w:eastAsia="zh-CN"/>
        </w:rPr>
        <w:t>/</w:t>
      </w:r>
      <w:r>
        <w:rPr>
          <w:rFonts w:hint="eastAsia" w:ascii="宋体" w:hAnsi="宋体" w:eastAsia="宋体" w:cs="宋体"/>
          <w:b w:val="0"/>
          <w:bCs/>
          <w:color w:val="auto"/>
          <w:sz w:val="44"/>
          <w:szCs w:val="44"/>
          <w:highlight w:val="none"/>
          <w:lang w:val="en-US" w:eastAsia="zh-CN"/>
        </w:rPr>
        <w:t>定标文件</w:t>
      </w:r>
      <w:r>
        <w:rPr>
          <w:rFonts w:hint="eastAsia" w:ascii="宋体" w:hAnsi="宋体" w:eastAsia="宋体" w:cs="宋体"/>
          <w:b w:val="0"/>
          <w:bCs/>
          <w:color w:val="auto"/>
          <w:sz w:val="44"/>
          <w:szCs w:val="44"/>
          <w:highlight w:val="none"/>
          <w:lang w:eastAsia="zh-CN"/>
        </w:rPr>
        <w:t>）</w:t>
      </w:r>
    </w:p>
    <w:p w14:paraId="6265A279">
      <w:pPr>
        <w:rPr>
          <w:rFonts w:hint="eastAsia" w:ascii="宋体" w:hAnsi="宋体" w:eastAsia="宋体" w:cs="宋体"/>
          <w:color w:val="auto"/>
          <w:lang w:val="en-US"/>
        </w:rPr>
      </w:pPr>
    </w:p>
    <w:p w14:paraId="29828FA6">
      <w:pPr>
        <w:rPr>
          <w:rFonts w:hint="eastAsia" w:ascii="宋体" w:hAnsi="宋体" w:eastAsia="宋体" w:cs="宋体"/>
          <w:color w:val="auto"/>
          <w:lang w:val="en-US"/>
        </w:rPr>
      </w:pPr>
    </w:p>
    <w:p w14:paraId="07CA7B94">
      <w:pPr>
        <w:rPr>
          <w:rFonts w:hint="eastAsia" w:ascii="宋体" w:hAnsi="宋体" w:eastAsia="宋体" w:cs="宋体"/>
          <w:color w:val="auto"/>
          <w:lang w:val="en-US"/>
        </w:rPr>
      </w:pPr>
    </w:p>
    <w:p w14:paraId="233B75EF">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37293E27">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496E2BB">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852A1E7">
      <w:pPr>
        <w:pStyle w:val="4"/>
        <w:bidi w:val="0"/>
        <w:ind w:left="0" w:leftChars="0" w:firstLine="0" w:firstLineChars="0"/>
        <w:jc w:val="left"/>
        <w:rPr>
          <w:rFonts w:hint="eastAsia" w:ascii="宋体" w:hAnsi="宋体" w:eastAsia="宋体" w:cs="宋体"/>
          <w:color w:val="auto"/>
          <w:lang w:val="en-US" w:eastAsia="zh-CN"/>
        </w:rPr>
      </w:pPr>
      <w:bookmarkStart w:id="47" w:name="_Toc28280"/>
      <w:bookmarkEnd w:id="47"/>
      <w:bookmarkStart w:id="48" w:name="_Toc106418843"/>
      <w:bookmarkEnd w:id="48"/>
      <w:bookmarkStart w:id="49" w:name="_Toc9797"/>
      <w:bookmarkStart w:id="50" w:name="_Toc18245"/>
      <w:bookmarkStart w:id="51" w:name="_Toc11959"/>
      <w:r>
        <w:rPr>
          <w:rFonts w:hint="eastAsia" w:ascii="宋体" w:hAnsi="宋体" w:eastAsia="宋体" w:cs="宋体"/>
          <w:color w:val="auto"/>
          <w:lang w:eastAsia="zh-CN"/>
        </w:rPr>
        <w:t>格式</w:t>
      </w:r>
      <w:bookmarkStart w:id="52" w:name="_Hlt97526007"/>
      <w:bookmarkEnd w:id="52"/>
      <w:r>
        <w:rPr>
          <w:rFonts w:hint="eastAsia" w:ascii="宋体" w:hAnsi="宋体" w:eastAsia="宋体" w:cs="宋体"/>
          <w:color w:val="auto"/>
          <w:lang w:eastAsia="zh-CN"/>
        </w:rPr>
        <w:t>二</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投标函</w:t>
      </w:r>
      <w:bookmarkEnd w:id="49"/>
      <w:bookmarkEnd w:id="50"/>
      <w:bookmarkEnd w:id="51"/>
    </w:p>
    <w:p w14:paraId="598ABCA4">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color w:val="auto"/>
          <w:lang w:val="en-US"/>
        </w:rPr>
      </w:pPr>
      <w:r>
        <w:rPr>
          <w:rFonts w:hint="eastAsia" w:ascii="宋体" w:hAnsi="宋体" w:eastAsia="宋体" w:cs="宋体"/>
          <w:b/>
          <w:bCs w:val="0"/>
          <w:color w:val="auto"/>
          <w:kern w:val="0"/>
          <w:sz w:val="36"/>
          <w:szCs w:val="36"/>
          <w:highlight w:val="none"/>
          <w:lang w:eastAsia="zh-CN"/>
        </w:rPr>
        <w:t>投</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标</w:t>
      </w:r>
      <w:r>
        <w:rPr>
          <w:rFonts w:hint="eastAsia" w:ascii="宋体" w:hAnsi="宋体" w:eastAsia="宋体" w:cs="宋体"/>
          <w:b/>
          <w:bCs w:val="0"/>
          <w:color w:val="auto"/>
          <w:kern w:val="0"/>
          <w:sz w:val="36"/>
          <w:szCs w:val="36"/>
          <w:highlight w:val="none"/>
          <w:lang w:val="en-US"/>
        </w:rPr>
        <w:t xml:space="preserve">  </w:t>
      </w:r>
      <w:r>
        <w:rPr>
          <w:rFonts w:hint="eastAsia" w:ascii="宋体" w:hAnsi="宋体" w:eastAsia="宋体" w:cs="宋体"/>
          <w:b/>
          <w:bCs w:val="0"/>
          <w:color w:val="auto"/>
          <w:kern w:val="0"/>
          <w:sz w:val="36"/>
          <w:szCs w:val="36"/>
          <w:highlight w:val="none"/>
          <w:lang w:eastAsia="zh-CN"/>
        </w:rPr>
        <w:t>函</w:t>
      </w:r>
    </w:p>
    <w:p w14:paraId="1F93B18B">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4B0A7B2B">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1. 我方考察现场并充分研究（项目名称）（以下简称“本项目”）施工招标文件所有内容后，结合自身资质、能力和特点，愿意接受招标文件的全部内容和条件，兹以人民币（大写）：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）的投标总价竞投本项目施工。</w:t>
      </w:r>
    </w:p>
    <w:p w14:paraId="32BCFA6B">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在我方的上述投标总价中，包括：安全生产措施费¥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，暂列金额¥</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专业工程</w:t>
      </w:r>
      <w:r>
        <w:rPr>
          <w:rFonts w:hint="eastAsia" w:ascii="宋体" w:hAnsi="宋体" w:eastAsia="宋体" w:cs="宋体"/>
          <w:color w:val="auto"/>
          <w:kern w:val="0"/>
          <w:sz w:val="24"/>
          <w:szCs w:val="24"/>
          <w:highlight w:val="none"/>
          <w:lang w:val="en-US" w:eastAsia="zh-CN" w:bidi="ar"/>
        </w:rPr>
        <w:t>暂估价¥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40F5B0A7">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2. 如果我方中标，我方保证按照合同约定的开工日期开始本项目的施工，</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个日历天内竣工，并确保工程质量达到</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标准和维修其中的任何缺陷。</w:t>
      </w:r>
    </w:p>
    <w:p w14:paraId="165314F3">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3. 本投标函在你方接收我方递交的投标文件之日起、到招标文件规定的投标有效期期满前对我方具有约束力。我方随时准备接受你方发出的中标通知书。</w:t>
      </w:r>
    </w:p>
    <w:p w14:paraId="3AB5B4D8">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4．我方在此声明，我方不存在本项目招标文件第二章投标人须知第4.5条“禁止投标条款”所列出的任何一种情形，并愿意承担因我方就此弄虚作假所引起的一切法律后果。</w:t>
      </w:r>
    </w:p>
    <w:p w14:paraId="56669D73">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5．我方在此承诺，所递交投标文件的全部内容均为真实、有效、准确的，并愿意承担因我方就此弄虚作假所引起的一切法律后果，同时理解和同意有可能被要求提供更多的资料。</w:t>
      </w:r>
    </w:p>
    <w:p w14:paraId="4C99D53A">
      <w:pPr>
        <w:keepNext w:val="0"/>
        <w:keepLines w:val="0"/>
        <w:widowControl w:val="0"/>
        <w:suppressLineNumbers w:val="0"/>
        <w:wordWrap w:val="0"/>
        <w:spacing w:before="0" w:beforeAutospacing="0" w:after="0" w:afterAutospacing="0" w:line="440" w:lineRule="exact"/>
        <w:ind w:left="0" w:right="0" w:firstLine="570"/>
        <w:jc w:val="both"/>
        <w:rPr>
          <w:rFonts w:hint="eastAsia" w:ascii="宋体" w:hAnsi="宋体" w:eastAsia="宋体" w:cs="宋体"/>
          <w:color w:val="auto"/>
          <w:kern w:val="0"/>
          <w:highlight w:val="none"/>
          <w:lang w:val="en-US"/>
        </w:rPr>
      </w:pPr>
      <w:bookmarkStart w:id="53" w:name="_Hlt68771070"/>
      <w:bookmarkEnd w:id="53"/>
      <w:r>
        <w:rPr>
          <w:rFonts w:hint="eastAsia" w:ascii="宋体" w:hAnsi="宋体" w:eastAsia="宋体" w:cs="宋体"/>
          <w:color w:val="auto"/>
          <w:kern w:val="0"/>
          <w:sz w:val="24"/>
          <w:szCs w:val="24"/>
          <w:highlight w:val="none"/>
          <w:lang w:val="en-US" w:eastAsia="zh-CN" w:bidi="ar"/>
        </w:rPr>
        <w:t>6. 我方理解你方不一定要接纳收到的最低投标总价或任何投标总价的投标人中标，也不要求你方解释我方是否中标的原因。</w:t>
      </w:r>
    </w:p>
    <w:p w14:paraId="272F1AE1">
      <w:pPr>
        <w:rPr>
          <w:rFonts w:hint="eastAsia" w:ascii="宋体" w:hAnsi="宋体" w:eastAsia="宋体" w:cs="宋体"/>
          <w:color w:val="auto"/>
          <w:lang w:val="en-US"/>
        </w:rPr>
      </w:pPr>
    </w:p>
    <w:p w14:paraId="02709EA9">
      <w:pPr>
        <w:rPr>
          <w:rFonts w:hint="eastAsia" w:ascii="宋体" w:hAnsi="宋体" w:eastAsia="宋体" w:cs="宋体"/>
          <w:color w:val="auto"/>
          <w:lang w:val="en-US"/>
        </w:rPr>
      </w:pPr>
    </w:p>
    <w:p w14:paraId="56589601">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投标人：   （盖单位章）</w:t>
      </w:r>
    </w:p>
    <w:p w14:paraId="1A3C7508">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38323162">
      <w:pPr>
        <w:keepNext w:val="0"/>
        <w:keepLines w:val="0"/>
        <w:widowControl w:val="0"/>
        <w:suppressLineNumbers w:val="0"/>
        <w:wordWrap w:val="0"/>
        <w:spacing w:before="0" w:beforeAutospacing="0" w:after="0" w:afterAutospacing="0" w:line="44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   （签字或盖章）</w:t>
      </w:r>
    </w:p>
    <w:p w14:paraId="1C6CEE0A">
      <w:pPr>
        <w:keepNext w:val="0"/>
        <w:keepLines w:val="0"/>
        <w:widowControl w:val="0"/>
        <w:suppressLineNumbers w:val="0"/>
        <w:wordWrap w:val="0"/>
        <w:spacing w:before="0" w:beforeAutospacing="0" w:after="0" w:afterAutospacing="0" w:line="44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w:t>
      </w:r>
    </w:p>
    <w:p w14:paraId="25B58D60">
      <w:pPr>
        <w:keepNext w:val="0"/>
        <w:keepLines w:val="0"/>
        <w:widowControl w:val="0"/>
        <w:suppressLineNumbers w:val="0"/>
        <w:wordWrap w:val="0"/>
        <w:spacing w:before="0" w:beforeAutospacing="0" w:after="0" w:afterAutospacing="0" w:line="440" w:lineRule="exact"/>
        <w:ind w:left="0" w:right="0" w:firstLine="6960" w:firstLineChars="29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年  月  日</w:t>
      </w:r>
    </w:p>
    <w:p w14:paraId="4668B1AD">
      <w:pPr>
        <w:rPr>
          <w:rFonts w:hint="eastAsia" w:ascii="宋体" w:hAnsi="宋体" w:eastAsia="宋体" w:cs="宋体"/>
          <w:color w:val="auto"/>
          <w:lang w:val="en-US" w:eastAsia="zh-CN"/>
        </w:rPr>
      </w:pPr>
    </w:p>
    <w:p w14:paraId="0DE8C929">
      <w:pPr>
        <w:rPr>
          <w:rFonts w:hint="eastAsia" w:ascii="宋体" w:hAnsi="宋体" w:eastAsia="宋体" w:cs="宋体"/>
          <w:color w:val="auto"/>
          <w:lang w:val="en-US" w:eastAsia="zh-CN"/>
        </w:rPr>
      </w:pPr>
    </w:p>
    <w:p w14:paraId="0A5CF597">
      <w:pPr>
        <w:rPr>
          <w:rFonts w:hint="eastAsia" w:ascii="宋体" w:hAnsi="宋体" w:eastAsia="宋体" w:cs="宋体"/>
          <w:color w:val="auto"/>
          <w:lang w:val="en-US" w:eastAsia="zh-CN"/>
        </w:rPr>
      </w:pPr>
    </w:p>
    <w:p w14:paraId="16886D9D">
      <w:pPr>
        <w:rPr>
          <w:rFonts w:hint="eastAsia" w:ascii="宋体" w:hAnsi="宋体" w:eastAsia="宋体" w:cs="宋体"/>
          <w:color w:val="auto"/>
          <w:lang w:val="en-US" w:eastAsia="zh-CN"/>
        </w:rPr>
      </w:pPr>
    </w:p>
    <w:p w14:paraId="521B8FB2">
      <w:pPr>
        <w:rPr>
          <w:rFonts w:hint="eastAsia" w:ascii="宋体" w:hAnsi="宋体" w:eastAsia="宋体" w:cs="宋体"/>
          <w:color w:val="auto"/>
          <w:lang w:val="en-US" w:eastAsia="zh-CN"/>
        </w:rPr>
      </w:pPr>
    </w:p>
    <w:p w14:paraId="63FC54C2">
      <w:pPr>
        <w:rPr>
          <w:rFonts w:hint="eastAsia" w:ascii="宋体" w:hAnsi="宋体" w:eastAsia="宋体" w:cs="宋体"/>
          <w:color w:val="auto"/>
          <w:lang w:val="en-US" w:eastAsia="zh-CN"/>
        </w:rPr>
      </w:pPr>
    </w:p>
    <w:p w14:paraId="533C44B8">
      <w:pPr>
        <w:rPr>
          <w:rFonts w:hint="eastAsia" w:ascii="宋体" w:hAnsi="宋体" w:eastAsia="宋体" w:cs="宋体"/>
          <w:color w:val="auto"/>
          <w:lang w:val="en-US" w:eastAsia="zh-CN"/>
        </w:rPr>
      </w:pPr>
    </w:p>
    <w:p w14:paraId="1C31FCDF">
      <w:pPr>
        <w:rPr>
          <w:rFonts w:hint="eastAsia" w:ascii="宋体" w:hAnsi="宋体" w:eastAsia="宋体" w:cs="宋体"/>
          <w:color w:val="auto"/>
          <w:lang w:val="en-US" w:eastAsia="zh-CN"/>
        </w:rPr>
      </w:pPr>
    </w:p>
    <w:p w14:paraId="1567AC5A">
      <w:pPr>
        <w:pStyle w:val="4"/>
        <w:bidi w:val="0"/>
        <w:ind w:left="0" w:leftChars="0" w:firstLine="0" w:firstLineChars="0"/>
        <w:jc w:val="left"/>
        <w:rPr>
          <w:rFonts w:hint="eastAsia" w:ascii="宋体" w:hAnsi="宋体" w:eastAsia="宋体" w:cs="宋体"/>
          <w:color w:val="auto"/>
          <w:lang w:val="en-US" w:eastAsia="zh-CN"/>
        </w:rPr>
      </w:pPr>
      <w:bookmarkStart w:id="54" w:name="_Toc12610"/>
      <w:bookmarkStart w:id="55" w:name="_Toc21043"/>
      <w:bookmarkStart w:id="56" w:name="_Toc2597"/>
      <w:r>
        <w:rPr>
          <w:rFonts w:hint="eastAsia" w:ascii="宋体" w:hAnsi="宋体" w:eastAsia="宋体" w:cs="宋体"/>
          <w:color w:val="auto"/>
          <w:lang w:eastAsia="zh-CN"/>
        </w:rPr>
        <w:t>格式三</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各项承诺一览表</w:t>
      </w:r>
      <w:bookmarkEnd w:id="54"/>
      <w:bookmarkEnd w:id="55"/>
      <w:bookmarkEnd w:id="56"/>
    </w:p>
    <w:p w14:paraId="58E48C83">
      <w:pPr>
        <w:pStyle w:val="38"/>
        <w:keepNext w:val="0"/>
        <w:keepLines w:val="0"/>
        <w:widowControl w:val="0"/>
        <w:suppressLineNumbers w:val="0"/>
        <w:wordWrap w:val="0"/>
        <w:spacing w:before="260" w:beforeAutospacing="0" w:after="260" w:afterAutospacing="0" w:line="440" w:lineRule="exact"/>
        <w:ind w:left="0" w:right="0" w:firstLine="0"/>
        <w:outlineLvl w:val="9"/>
        <w:rPr>
          <w:rFonts w:hint="eastAsia" w:ascii="宋体" w:hAnsi="宋体" w:eastAsia="宋体" w:cs="宋体"/>
          <w:b/>
          <w:bCs w:val="0"/>
          <w:color w:val="auto"/>
          <w:highlight w:val="none"/>
          <w:lang w:val="en-US"/>
        </w:rPr>
      </w:pPr>
      <w:r>
        <w:rPr>
          <w:rFonts w:hint="eastAsia" w:ascii="宋体" w:hAnsi="宋体" w:eastAsia="宋体" w:cs="宋体"/>
          <w:b/>
          <w:bCs w:val="0"/>
          <w:color w:val="auto"/>
          <w:sz w:val="30"/>
          <w:szCs w:val="30"/>
          <w:highlight w:val="none"/>
          <w:lang w:eastAsia="zh-CN"/>
        </w:rPr>
        <w:t>各项承诺一览表</w:t>
      </w:r>
    </w:p>
    <w:tbl>
      <w:tblPr>
        <w:tblStyle w:val="21"/>
        <w:tblW w:w="9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1467"/>
        <w:gridCol w:w="2679"/>
        <w:gridCol w:w="4369"/>
      </w:tblGrid>
      <w:tr w14:paraId="675A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F790D24">
            <w:pPr>
              <w:pStyle w:val="40"/>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序号</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32185E2">
            <w:pPr>
              <w:pStyle w:val="40"/>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承诺事项</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05CABA53">
            <w:pPr>
              <w:pStyle w:val="40"/>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承诺内容</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06F80DF1">
            <w:pPr>
              <w:pStyle w:val="40"/>
              <w:widowControl/>
              <w:wordWrap w:val="0"/>
              <w:spacing w:line="380" w:lineRule="exact"/>
              <w:jc w:val="center"/>
              <w:outlineLvl w:val="9"/>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违约承诺</w:t>
            </w:r>
          </w:p>
        </w:tc>
      </w:tr>
      <w:tr w14:paraId="23126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8DE8ABA">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11365F0C">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自愿接受招标</w:t>
            </w:r>
          </w:p>
          <w:p w14:paraId="7EC24D6F">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文件条款的承诺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5F8E596">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我方自愿接受招标文件的所有条款，所递交的投标文件已经充分响应招标文件的实质性要求。</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5D4EED04">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如果我方的投标文件未响应、违反、偏离招标文件的实质性要求，我方接受招标人或其授权的招标代理机构或其组建的评标委员会依据招标文件作出的相应处理，包括否决投标。</w:t>
            </w:r>
          </w:p>
        </w:tc>
      </w:tr>
      <w:tr w14:paraId="73374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4FC123">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19E1FB5">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无禁止投标</w:t>
            </w:r>
          </w:p>
          <w:p w14:paraId="612DEC27">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情形的承诺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329B5D8B">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我方不存在招标文件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4FEA1515">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如果我方有招标文件</w:t>
            </w:r>
            <w:r>
              <w:rPr>
                <w:rFonts w:hint="eastAsia" w:ascii="宋体" w:hAnsi="宋体" w:eastAsia="宋体" w:cs="宋体"/>
                <w:color w:val="auto"/>
                <w:kern w:val="0"/>
                <w:sz w:val="24"/>
                <w:szCs w:val="24"/>
                <w:highlight w:val="none"/>
                <w:lang w:val="en-US" w:eastAsia="zh-CN"/>
              </w:rPr>
              <w:t>第二章投标人须知第4.5条</w:t>
            </w:r>
            <w:r>
              <w:rPr>
                <w:rFonts w:hint="eastAsia" w:ascii="宋体" w:hAnsi="宋体" w:eastAsia="宋体" w:cs="宋体"/>
                <w:color w:val="auto"/>
                <w:kern w:val="0"/>
                <w:sz w:val="24"/>
                <w:szCs w:val="24"/>
                <w:highlight w:val="none"/>
              </w:rPr>
              <w:t>“禁止投标条款”规定的任何一种情形，我方接受招标人或其授权的招标代理机构或其组建的评标委员会依据招标文件作出的相应处理以及有关监督部门作出的行政处罚，并承担由此引起的一切法律后果。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8A4C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1ABD92">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28A1C5A">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自觉抵制围标</w:t>
            </w:r>
          </w:p>
          <w:p w14:paraId="537D3B35">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串标和弄虚</w:t>
            </w:r>
          </w:p>
          <w:p w14:paraId="1489D47C">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作假行为的承诺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0675049D">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我方合法正当、诚实守信地参与投标，不组织、不参加围标串标违法行为，不通过弄虚作假行为骗取中标。</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3EDA75A5">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4BAA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C10A00E">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4</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47F2AC45">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p w14:paraId="326AC633">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任职承诺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573134C">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我方拟派项目经理现阶段没有担任任何在施（包括已中标未开工、已开工未竣工）建设工程项目的项目经理。</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47C5E8B0">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4EECC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12C05F6">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5</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D7125EB">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32C81A48">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真实性承诺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80E99D2">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我方所递交投标文件的全部内容均为真实、有效、准确的。</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070B643E">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如果我方递交的投标文件任何内容不真实或无效或不准确，我方接受招标人或其授权的招标代理机构或其组建的评标委员会依据招标文件作出的相应处理，包括否决投标。</w:t>
            </w:r>
          </w:p>
        </w:tc>
      </w:tr>
      <w:tr w14:paraId="2D83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C271B4">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6</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68215FF8">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投标文件</w:t>
            </w:r>
          </w:p>
          <w:p w14:paraId="0347EF9D">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信息公开承诺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2CF5B6DD">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我方提供完整的文件。如果我方成为本项目中标候选人，我方同意并授权招标人在评标结果公示期内公开我方商务标书的全部内容。</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2BDBC8F8">
            <w:pPr>
              <w:pStyle w:val="41"/>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tc>
      </w:tr>
      <w:tr w14:paraId="5051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2ED1963">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7</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76544555">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对不正常报价</w:t>
            </w:r>
          </w:p>
          <w:p w14:paraId="1A641035">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的确认承诺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1E8E1E06">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如果我方中标，我方接受招标人在合同订立期间依据招标文件有关条款约定对我方已标价工程量清单中不正常报价的修正或认定，并按要求签署《不正常报价清单》加以确认。</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47F65CD4">
            <w:pPr>
              <w:pStyle w:val="41"/>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r>
              <w:rPr>
                <w:rFonts w:hint="eastAsia" w:ascii="宋体" w:hAnsi="宋体" w:eastAsia="宋体" w:cs="宋体"/>
                <w:b/>
                <w:bCs/>
                <w:color w:val="auto"/>
                <w:kern w:val="0"/>
                <w:sz w:val="24"/>
                <w:szCs w:val="24"/>
                <w:highlight w:val="none"/>
                <w:lang w:val="en-US"/>
              </w:rPr>
              <w:t>/</w:t>
            </w:r>
          </w:p>
          <w:p w14:paraId="3F2F6174">
            <w:pPr>
              <w:pStyle w:val="41"/>
              <w:widowControl/>
              <w:wordWrap w:val="0"/>
              <w:spacing w:line="380" w:lineRule="exact"/>
              <w:ind w:left="0" w:firstLine="0" w:firstLineChars="0"/>
              <w:jc w:val="center"/>
              <w:outlineLvl w:val="9"/>
              <w:rPr>
                <w:rFonts w:hint="eastAsia" w:ascii="宋体" w:hAnsi="宋体" w:eastAsia="宋体" w:cs="宋体"/>
                <w:b/>
                <w:bCs/>
                <w:color w:val="auto"/>
                <w:kern w:val="0"/>
                <w:sz w:val="24"/>
                <w:szCs w:val="24"/>
                <w:highlight w:val="none"/>
                <w:lang w:val="en-US"/>
              </w:rPr>
            </w:pPr>
          </w:p>
        </w:tc>
      </w:tr>
      <w:tr w14:paraId="2348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5BAF092">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8</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0F03FF6">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按时提交履约</w:t>
            </w:r>
          </w:p>
          <w:p w14:paraId="62FE09D2">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保证的承诺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65BC2820">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如果我方中标，我方保证在招标文件规定的时限内全额提交履约保证。</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465EB168">
            <w:pPr>
              <w:pStyle w:val="41"/>
              <w:widowControl/>
              <w:wordWrap w:val="0"/>
              <w:spacing w:line="380" w:lineRule="exact"/>
              <w:ind w:left="0" w:firstLine="0" w:firstLineChars="0"/>
              <w:jc w:val="left"/>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如果我方未在招标文件规定的时限内全额提交履约保证，我方接受招标人依据招标文件作出的相应处理以及有关监督部门作出的行政处罚，并承担由此引起的一切法律后果。</w:t>
            </w:r>
          </w:p>
        </w:tc>
      </w:tr>
      <w:tr w14:paraId="35178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jc w:val="center"/>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F936FE5">
            <w:pPr>
              <w:pStyle w:val="40"/>
              <w:widowControl/>
              <w:wordWrap w:val="0"/>
              <w:spacing w:line="380" w:lineRule="exact"/>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9</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0C355214">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按时签订合同</w:t>
            </w:r>
          </w:p>
          <w:p w14:paraId="796AD0D7">
            <w:pPr>
              <w:pStyle w:val="41"/>
              <w:widowControl/>
              <w:wordWrap w:val="0"/>
              <w:spacing w:line="380" w:lineRule="exact"/>
              <w:ind w:left="0" w:firstLine="0" w:firstLineChars="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的承诺</w:t>
            </w:r>
          </w:p>
        </w:tc>
        <w:tc>
          <w:tcPr>
            <w:tcW w:w="2679" w:type="dxa"/>
            <w:tcBorders>
              <w:top w:val="single" w:color="000000" w:sz="4" w:space="0"/>
              <w:left w:val="single" w:color="000000" w:sz="4" w:space="0"/>
              <w:bottom w:val="single" w:color="000000" w:sz="4" w:space="0"/>
              <w:right w:val="single" w:color="000000" w:sz="4" w:space="0"/>
            </w:tcBorders>
            <w:noWrap w:val="0"/>
            <w:vAlign w:val="center"/>
          </w:tcPr>
          <w:p w14:paraId="563B7AE8">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如果我方中标，我方保证在招标文件规定的时限内与招标人签订合同，不提出违背或超出招标文件、中标文件的要求。</w:t>
            </w:r>
          </w:p>
        </w:tc>
        <w:tc>
          <w:tcPr>
            <w:tcW w:w="4369" w:type="dxa"/>
            <w:tcBorders>
              <w:top w:val="single" w:color="000000" w:sz="4" w:space="0"/>
              <w:left w:val="single" w:color="000000" w:sz="4" w:space="0"/>
              <w:bottom w:val="single" w:color="000000" w:sz="4" w:space="0"/>
              <w:right w:val="single" w:color="000000" w:sz="4" w:space="0"/>
            </w:tcBorders>
            <w:noWrap w:val="0"/>
            <w:vAlign w:val="center"/>
          </w:tcPr>
          <w:p w14:paraId="56BA4E4B">
            <w:pPr>
              <w:pStyle w:val="41"/>
              <w:widowControl/>
              <w:wordWrap w:val="0"/>
              <w:spacing w:line="380" w:lineRule="exact"/>
              <w:ind w:left="0" w:firstLine="420"/>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6868FBB6">
      <w:pPr>
        <w:rPr>
          <w:rFonts w:hint="eastAsia" w:ascii="宋体" w:hAnsi="宋体" w:eastAsia="宋体" w:cs="宋体"/>
          <w:color w:val="auto"/>
          <w:lang w:val="en-US"/>
        </w:rPr>
      </w:pPr>
    </w:p>
    <w:p w14:paraId="19AF3205">
      <w:pPr>
        <w:pStyle w:val="18"/>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投标人：（盖单位章）</w:t>
      </w:r>
    </w:p>
    <w:p w14:paraId="2C7C71B5">
      <w:pPr>
        <w:rPr>
          <w:rFonts w:hint="eastAsia" w:ascii="宋体" w:hAnsi="宋体" w:eastAsia="宋体" w:cs="宋体"/>
          <w:color w:val="auto"/>
          <w:lang w:val="en-US"/>
        </w:rPr>
      </w:pPr>
    </w:p>
    <w:p w14:paraId="1107DB15">
      <w:pPr>
        <w:pStyle w:val="18"/>
        <w:keepNext w:val="0"/>
        <w:keepLines w:val="0"/>
        <w:widowControl w:val="0"/>
        <w:suppressLineNumbers w:val="0"/>
        <w:wordWrap w:val="0"/>
        <w:spacing w:before="0" w:beforeAutospacing="0" w:after="0" w:afterAutospacing="0" w:line="420" w:lineRule="exact"/>
        <w:ind w:left="0" w:right="0" w:firstLine="480" w:firstLineChars="20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法定代表人或其委托代理人：（签字或盖章）</w:t>
      </w:r>
    </w:p>
    <w:p w14:paraId="08A6678D">
      <w:pPr>
        <w:rPr>
          <w:rFonts w:hint="eastAsia" w:ascii="宋体" w:hAnsi="宋体" w:eastAsia="宋体" w:cs="宋体"/>
          <w:color w:val="auto"/>
          <w:lang w:val="en-US"/>
        </w:rPr>
      </w:pPr>
    </w:p>
    <w:p w14:paraId="5BA22516">
      <w:pPr>
        <w:pStyle w:val="18"/>
        <w:keepNext w:val="0"/>
        <w:keepLines w:val="0"/>
        <w:widowControl w:val="0"/>
        <w:suppressLineNumbers w:val="0"/>
        <w:wordWrap w:val="0"/>
        <w:spacing w:before="0" w:beforeAutospacing="0" w:after="0" w:afterAutospacing="0" w:line="420" w:lineRule="exact"/>
        <w:ind w:left="0" w:right="0" w:firstLine="480" w:firstLineChars="20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2BE725F7">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sz w:val="24"/>
          <w:szCs w:val="24"/>
          <w:highlight w:val="none"/>
          <w:lang w:val="en-US" w:eastAsia="zh-CN" w:bidi="ar"/>
        </w:rPr>
      </w:pPr>
    </w:p>
    <w:p w14:paraId="526C496E">
      <w:pPr>
        <w:keepNext w:val="0"/>
        <w:keepLines w:val="0"/>
        <w:widowControl w:val="0"/>
        <w:suppressLineNumbers w:val="0"/>
        <w:wordWrap w:val="0"/>
        <w:spacing w:before="0" w:beforeAutospacing="0" w:after="0" w:afterAutospacing="0" w:line="420" w:lineRule="exact"/>
        <w:ind w:left="0" w:right="0"/>
        <w:jc w:val="left"/>
        <w:outlineLvl w:val="9"/>
        <w:rPr>
          <w:rFonts w:hint="eastAsia" w:ascii="宋体" w:hAnsi="宋体" w:eastAsia="宋体" w:cs="宋体"/>
          <w:b/>
          <w:bCs w:val="0"/>
          <w:color w:val="auto"/>
          <w:kern w:val="0"/>
          <w:sz w:val="24"/>
          <w:szCs w:val="24"/>
          <w:highlight w:val="none"/>
          <w:lang w:val="en-US" w:eastAsia="zh-CN" w:bidi="ar"/>
        </w:rPr>
      </w:pPr>
    </w:p>
    <w:p w14:paraId="168F8302">
      <w:pPr>
        <w:pStyle w:val="4"/>
        <w:bidi w:val="0"/>
        <w:ind w:left="0" w:leftChars="0" w:firstLine="0" w:firstLineChars="0"/>
        <w:rPr>
          <w:rFonts w:hint="eastAsia" w:ascii="宋体" w:hAnsi="宋体" w:eastAsia="宋体" w:cs="宋体"/>
          <w:b/>
          <w:bCs w:val="0"/>
          <w:color w:val="auto"/>
          <w:kern w:val="0"/>
          <w:highlight w:val="none"/>
          <w:lang w:val="en-US"/>
        </w:rPr>
      </w:pPr>
      <w:bookmarkStart w:id="57" w:name="_Toc18202"/>
      <w:bookmarkStart w:id="58" w:name="_Toc15220"/>
      <w:bookmarkStart w:id="59" w:name="_Toc1712"/>
      <w:r>
        <w:rPr>
          <w:rFonts w:hint="eastAsia" w:ascii="宋体" w:hAnsi="宋体" w:eastAsia="宋体" w:cs="宋体"/>
          <w:color w:val="auto"/>
          <w:lang w:val="en-US" w:eastAsia="zh-CN"/>
        </w:rPr>
        <w:t>格式四   法定代表人身份证明</w:t>
      </w:r>
      <w:bookmarkEnd w:id="57"/>
      <w:bookmarkEnd w:id="58"/>
      <w:bookmarkEnd w:id="59"/>
    </w:p>
    <w:p w14:paraId="769A1A9A">
      <w:pPr>
        <w:keepNext w:val="0"/>
        <w:keepLines w:val="0"/>
        <w:widowControl w:val="0"/>
        <w:suppressLineNumbers w:val="0"/>
        <w:wordWrap w:val="0"/>
        <w:spacing w:before="260" w:beforeAutospacing="0" w:after="26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法定代表人身份证明</w:t>
      </w:r>
    </w:p>
    <w:p w14:paraId="51786EB0">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4"/>
          <w:szCs w:val="24"/>
          <w:highlight w:val="none"/>
          <w:lang w:val="en-US" w:eastAsia="zh-CN" w:bidi="ar"/>
        </w:rPr>
        <w:t>投标人名称：</w:t>
      </w:r>
    </w:p>
    <w:p w14:paraId="5DF5ADF6">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u w:val="single"/>
          <w:lang w:val="en-US"/>
        </w:rPr>
      </w:pPr>
      <w:r>
        <w:rPr>
          <w:rFonts w:hint="eastAsia" w:ascii="宋体" w:hAnsi="宋体" w:eastAsia="宋体" w:cs="宋体"/>
          <w:color w:val="auto"/>
          <w:kern w:val="0"/>
          <w:sz w:val="24"/>
          <w:szCs w:val="24"/>
          <w:highlight w:val="none"/>
          <w:lang w:val="en-US" w:eastAsia="zh-CN" w:bidi="ar"/>
        </w:rPr>
        <w:t>姓名：    性别：    年龄：      职务：</w:t>
      </w:r>
    </w:p>
    <w:p w14:paraId="4D5E5999">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系</w:t>
      </w:r>
      <w:r>
        <w:rPr>
          <w:rFonts w:hint="eastAsia" w:ascii="宋体" w:hAnsi="宋体" w:eastAsia="宋体" w:cs="宋体"/>
          <w:color w:val="auto"/>
          <w:kern w:val="0"/>
          <w:sz w:val="24"/>
          <w:szCs w:val="24"/>
          <w:highlight w:val="none"/>
          <w:u w:val="single"/>
          <w:lang w:val="en-US" w:eastAsia="zh-CN" w:bidi="ar"/>
        </w:rPr>
        <w:t>（投标人名称）</w:t>
      </w:r>
      <w:r>
        <w:rPr>
          <w:rFonts w:hint="eastAsia" w:ascii="宋体" w:hAnsi="宋体" w:eastAsia="宋体" w:cs="宋体"/>
          <w:color w:val="auto"/>
          <w:kern w:val="0"/>
          <w:sz w:val="24"/>
          <w:szCs w:val="24"/>
          <w:highlight w:val="none"/>
          <w:lang w:val="en-US" w:eastAsia="zh-CN" w:bidi="ar"/>
        </w:rPr>
        <w:t>的法定代表人。</w:t>
      </w:r>
    </w:p>
    <w:p w14:paraId="715FF1B8">
      <w:pPr>
        <w:keepNext w:val="0"/>
        <w:keepLines w:val="0"/>
        <w:widowControl w:val="0"/>
        <w:suppressLineNumbers w:val="0"/>
        <w:wordWrap w:val="0"/>
        <w:spacing w:before="0" w:beforeAutospacing="0" w:after="0" w:afterAutospacing="0" w:line="440" w:lineRule="exact"/>
        <w:ind w:left="0" w:right="0"/>
        <w:jc w:val="both"/>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特此证明。</w:t>
      </w:r>
    </w:p>
    <w:p w14:paraId="6ED656C0">
      <w:pPr>
        <w:rPr>
          <w:rFonts w:hint="eastAsia" w:ascii="宋体" w:hAnsi="宋体" w:eastAsia="宋体" w:cs="宋体"/>
          <w:color w:val="auto"/>
          <w:lang w:val="en-US"/>
        </w:rPr>
      </w:pPr>
    </w:p>
    <w:p w14:paraId="5228161D">
      <w:pPr>
        <w:rPr>
          <w:rFonts w:hint="eastAsia" w:ascii="宋体" w:hAnsi="宋体" w:eastAsia="宋体" w:cs="宋体"/>
          <w:color w:val="auto"/>
          <w:lang w:val="en-US"/>
        </w:rPr>
      </w:pPr>
    </w:p>
    <w:p w14:paraId="79B0FDCC">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142F3D98">
      <w:pPr>
        <w:rPr>
          <w:rFonts w:hint="eastAsia" w:ascii="宋体" w:hAnsi="宋体" w:eastAsia="宋体" w:cs="宋体"/>
          <w:color w:val="auto"/>
          <w:lang w:val="en-US"/>
        </w:rPr>
      </w:pPr>
    </w:p>
    <w:p w14:paraId="024B84C0">
      <w:pPr>
        <w:keepNext w:val="0"/>
        <w:keepLines w:val="0"/>
        <w:widowControl w:val="0"/>
        <w:suppressLineNumbers w:val="0"/>
        <w:wordWrap w:val="0"/>
        <w:spacing w:before="0" w:beforeAutospacing="0" w:after="0" w:afterAutospacing="0" w:line="440" w:lineRule="exact"/>
        <w:ind w:left="0" w:right="0"/>
        <w:jc w:val="right"/>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法定代表人：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71070F8F">
      <w:pPr>
        <w:rPr>
          <w:rFonts w:hint="eastAsia" w:ascii="宋体" w:hAnsi="宋体" w:eastAsia="宋体" w:cs="宋体"/>
          <w:color w:val="auto"/>
          <w:lang w:val="en-US"/>
        </w:rPr>
      </w:pPr>
    </w:p>
    <w:p w14:paraId="28F30EF2">
      <w:pPr>
        <w:keepNext w:val="0"/>
        <w:keepLines w:val="0"/>
        <w:widowControl w:val="0"/>
        <w:suppressLineNumbers w:val="0"/>
        <w:wordWrap w:val="0"/>
        <w:spacing w:before="0" w:beforeAutospacing="0" w:after="0" w:afterAutospacing="0" w:line="440" w:lineRule="exact"/>
        <w:ind w:left="0" w:right="0"/>
        <w:jc w:val="center"/>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年  月   日</w:t>
      </w:r>
    </w:p>
    <w:p w14:paraId="2B9A8099">
      <w:pPr>
        <w:rPr>
          <w:rFonts w:hint="eastAsia" w:ascii="宋体" w:hAnsi="宋体" w:eastAsia="宋体" w:cs="宋体"/>
          <w:color w:val="auto"/>
          <w:lang w:val="en-US"/>
        </w:rPr>
      </w:pPr>
    </w:p>
    <w:p w14:paraId="12330FDF">
      <w:pPr>
        <w:rPr>
          <w:rFonts w:hint="eastAsia" w:ascii="宋体" w:hAnsi="宋体" w:eastAsia="宋体" w:cs="宋体"/>
          <w:color w:val="auto"/>
          <w:lang w:val="en-US"/>
        </w:rPr>
      </w:pPr>
    </w:p>
    <w:p w14:paraId="06A4C3FE">
      <w:pPr>
        <w:jc w:val="center"/>
        <w:rPr>
          <w:rFonts w:hint="eastAsia" w:ascii="宋体" w:hAnsi="宋体" w:eastAsia="宋体" w:cs="宋体"/>
          <w:color w:val="auto"/>
          <w:lang w:val="en-US"/>
        </w:rPr>
      </w:pP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INCLUDEPICTURE "C:\\Users\\user\\Downloads\\../AppData/Local/Temp/ksohtml12540/wps33.png" \* MERGEFORMATINET </w:instrText>
      </w:r>
      <w:r>
        <w:rPr>
          <w:rFonts w:hint="eastAsia" w:ascii="宋体" w:hAnsi="宋体" w:eastAsia="宋体" w:cs="宋体"/>
          <w:color w:val="auto"/>
          <w:kern w:val="2"/>
          <w:sz w:val="24"/>
          <w:szCs w:val="24"/>
          <w:highlight w:val="none"/>
          <w:lang w:val="en-US" w:eastAsia="zh-CN" w:bidi="ar"/>
        </w:rPr>
        <w:fldChar w:fldCharType="separate"/>
      </w:r>
      <w:r>
        <w:rPr>
          <w:rFonts w:hint="eastAsia" w:ascii="宋体" w:hAnsi="宋体" w:eastAsia="宋体" w:cs="宋体"/>
          <w:color w:val="auto"/>
          <w:kern w:val="2"/>
          <w:sz w:val="24"/>
          <w:szCs w:val="24"/>
          <w:highlight w:val="none"/>
          <w:lang w:val="en-US" w:eastAsia="zh-CN" w:bidi="ar"/>
        </w:rPr>
        <w:drawing>
          <wp:inline distT="0" distB="0" distL="114300" distR="114300">
            <wp:extent cx="2838450" cy="1600200"/>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838450" cy="1600200"/>
                    </a:xfrm>
                    <a:prstGeom prst="rect">
                      <a:avLst/>
                    </a:prstGeom>
                    <a:noFill/>
                    <a:ln>
                      <a:noFill/>
                    </a:ln>
                  </pic:spPr>
                </pic:pic>
              </a:graphicData>
            </a:graphic>
          </wp:inline>
        </w:drawing>
      </w:r>
      <w:r>
        <w:rPr>
          <w:rFonts w:hint="eastAsia" w:ascii="宋体" w:hAnsi="宋体" w:eastAsia="宋体" w:cs="宋体"/>
          <w:color w:val="auto"/>
          <w:kern w:val="2"/>
          <w:sz w:val="24"/>
          <w:szCs w:val="24"/>
          <w:highlight w:val="none"/>
          <w:lang w:val="en-US" w:eastAsia="zh-CN" w:bidi="ar"/>
        </w:rPr>
        <w:fldChar w:fldCharType="end"/>
      </w:r>
    </w:p>
    <w:p w14:paraId="2D293CB1">
      <w:pPr>
        <w:rPr>
          <w:rFonts w:hint="eastAsia" w:ascii="宋体" w:hAnsi="宋体" w:eastAsia="宋体" w:cs="宋体"/>
          <w:color w:val="auto"/>
          <w:lang w:val="en-US" w:eastAsia="zh-CN"/>
        </w:rPr>
      </w:pPr>
    </w:p>
    <w:p w14:paraId="39F8496A">
      <w:pPr>
        <w:rPr>
          <w:rFonts w:hint="eastAsia" w:ascii="宋体" w:hAnsi="宋体" w:eastAsia="宋体" w:cs="宋体"/>
          <w:color w:val="auto"/>
          <w:lang w:val="en-US" w:eastAsia="zh-CN"/>
        </w:rPr>
      </w:pPr>
    </w:p>
    <w:p w14:paraId="2DB03154">
      <w:pPr>
        <w:rPr>
          <w:rFonts w:hint="eastAsia" w:ascii="宋体" w:hAnsi="宋体" w:eastAsia="宋体" w:cs="宋体"/>
          <w:color w:val="auto"/>
          <w:lang w:val="en-US"/>
        </w:rPr>
      </w:pPr>
    </w:p>
    <w:p w14:paraId="5ABC60B0">
      <w:pPr>
        <w:rPr>
          <w:rFonts w:hint="eastAsia" w:ascii="宋体" w:hAnsi="宋体" w:eastAsia="宋体" w:cs="宋体"/>
          <w:color w:val="auto"/>
          <w:lang w:val="en-US" w:eastAsia="zh-CN"/>
        </w:rPr>
      </w:pPr>
    </w:p>
    <w:p w14:paraId="60C50876">
      <w:pPr>
        <w:rPr>
          <w:rFonts w:hint="eastAsia" w:ascii="宋体" w:hAnsi="宋体" w:eastAsia="宋体" w:cs="宋体"/>
          <w:color w:val="auto"/>
          <w:lang w:val="en-US" w:eastAsia="zh-CN"/>
        </w:rPr>
      </w:pPr>
    </w:p>
    <w:p w14:paraId="1DB9E7C8">
      <w:pPr>
        <w:rPr>
          <w:rFonts w:hint="eastAsia" w:ascii="宋体" w:hAnsi="宋体" w:eastAsia="宋体" w:cs="宋体"/>
          <w:color w:val="auto"/>
          <w:lang w:val="en-US" w:eastAsia="zh-CN"/>
        </w:rPr>
      </w:pPr>
    </w:p>
    <w:p w14:paraId="1289D848">
      <w:pPr>
        <w:rPr>
          <w:rFonts w:hint="eastAsia" w:ascii="宋体" w:hAnsi="宋体" w:eastAsia="宋体" w:cs="宋体"/>
          <w:color w:val="auto"/>
          <w:lang w:val="en-US" w:eastAsia="zh-CN"/>
        </w:rPr>
      </w:pPr>
    </w:p>
    <w:p w14:paraId="0C0FC8CA">
      <w:pPr>
        <w:rPr>
          <w:rFonts w:hint="eastAsia" w:ascii="宋体" w:hAnsi="宋体" w:eastAsia="宋体" w:cs="宋体"/>
          <w:color w:val="auto"/>
          <w:lang w:val="en-US" w:eastAsia="zh-CN"/>
        </w:rPr>
      </w:pPr>
    </w:p>
    <w:p w14:paraId="746316D5">
      <w:pPr>
        <w:rPr>
          <w:rFonts w:hint="eastAsia" w:ascii="宋体" w:hAnsi="宋体" w:eastAsia="宋体" w:cs="宋体"/>
          <w:color w:val="auto"/>
          <w:lang w:val="en-US" w:eastAsia="zh-CN"/>
        </w:rPr>
      </w:pPr>
    </w:p>
    <w:p w14:paraId="0E160005">
      <w:pPr>
        <w:pStyle w:val="4"/>
        <w:bidi w:val="0"/>
        <w:ind w:left="0" w:leftChars="0" w:firstLine="0" w:firstLineChars="0"/>
        <w:rPr>
          <w:rFonts w:hint="eastAsia" w:ascii="宋体" w:hAnsi="宋体" w:eastAsia="宋体" w:cs="宋体"/>
          <w:color w:val="auto"/>
          <w:highlight w:val="none"/>
        </w:rPr>
      </w:pPr>
      <w:bookmarkStart w:id="60" w:name="_Toc29668"/>
      <w:bookmarkStart w:id="61" w:name="_Toc30341"/>
      <w:bookmarkStart w:id="62" w:name="_Toc19245"/>
      <w:r>
        <w:rPr>
          <w:rFonts w:hint="eastAsia" w:ascii="宋体" w:hAnsi="宋体" w:eastAsia="宋体" w:cs="宋体"/>
          <w:color w:val="auto"/>
          <w:lang w:val="en-US" w:eastAsia="zh-CN"/>
        </w:rPr>
        <w:t>格式五</w:t>
      </w:r>
      <w:bookmarkEnd w:id="60"/>
      <w:r>
        <w:rPr>
          <w:rFonts w:hint="eastAsia" w:ascii="宋体" w:hAnsi="宋体" w:eastAsia="宋体" w:cs="宋体"/>
          <w:color w:val="auto"/>
          <w:lang w:val="en-US" w:eastAsia="zh-CN"/>
        </w:rPr>
        <w:t xml:space="preserve">   授权委托书</w:t>
      </w:r>
      <w:bookmarkEnd w:id="61"/>
      <w:bookmarkEnd w:id="62"/>
    </w:p>
    <w:p w14:paraId="145A31DC">
      <w:pPr>
        <w:wordWrap w:val="0"/>
        <w:adjustRightInd w:val="0"/>
        <w:snapToGrid w:val="0"/>
        <w:spacing w:before="260" w:after="260" w:line="440" w:lineRule="exact"/>
        <w:jc w:val="center"/>
        <w:rPr>
          <w:rFonts w:hint="eastAsia" w:ascii="宋体" w:hAnsi="宋体" w:eastAsia="宋体" w:cs="宋体"/>
          <w:color w:val="auto"/>
        </w:rPr>
      </w:pPr>
      <w:r>
        <w:rPr>
          <w:rFonts w:hint="eastAsia" w:ascii="宋体" w:hAnsi="宋体" w:eastAsia="宋体" w:cs="宋体"/>
          <w:b/>
          <w:snapToGrid w:val="0"/>
          <w:color w:val="auto"/>
          <w:kern w:val="0"/>
          <w:sz w:val="30"/>
          <w:highlight w:val="none"/>
        </w:rPr>
        <w:t>授权委托书</w:t>
      </w:r>
    </w:p>
    <w:p w14:paraId="3FCBFF2A">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Cs w:val="21"/>
          <w:highlight w:val="none"/>
        </w:rPr>
        <w:t xml:space="preserve">   </w:t>
      </w:r>
      <w:r>
        <w:rPr>
          <w:rFonts w:hint="eastAsia" w:ascii="宋体" w:hAnsi="宋体" w:eastAsia="宋体" w:cs="宋体"/>
          <w:snapToGrid w:val="0"/>
          <w:color w:val="auto"/>
          <w:kern w:val="0"/>
          <w:sz w:val="24"/>
          <w:szCs w:val="24"/>
          <w:highlight w:val="none"/>
        </w:rPr>
        <w:t xml:space="preserve"> 本人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（投标人名称）的法定代表人，现委托</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（项目名称）投标文件、签订合同和处理有关事宜，其法律后果由我方承担。</w:t>
      </w:r>
    </w:p>
    <w:p w14:paraId="05B6032E">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委托期限：</w:t>
      </w:r>
      <w:r>
        <w:rPr>
          <w:rFonts w:hint="eastAsia" w:ascii="宋体" w:hAnsi="宋体" w:eastAsia="宋体" w:cs="宋体"/>
          <w:color w:val="auto"/>
          <w:sz w:val="24"/>
          <w:szCs w:val="24"/>
          <w:highlight w:val="none"/>
        </w:rPr>
        <w:t>至投标有效期的期满之日止。</w:t>
      </w:r>
    </w:p>
    <w:p w14:paraId="2A339288">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代理人无转委托权。</w:t>
      </w:r>
    </w:p>
    <w:p w14:paraId="23211306">
      <w:pPr>
        <w:rPr>
          <w:rFonts w:hint="eastAsia" w:ascii="宋体" w:hAnsi="宋体" w:eastAsia="宋体" w:cs="宋体"/>
          <w:color w:val="auto"/>
        </w:rPr>
      </w:pPr>
    </w:p>
    <w:p w14:paraId="65696270">
      <w:pPr>
        <w:rPr>
          <w:rFonts w:hint="eastAsia" w:ascii="宋体" w:hAnsi="宋体" w:eastAsia="宋体" w:cs="宋体"/>
          <w:color w:val="auto"/>
        </w:rPr>
      </w:pPr>
    </w:p>
    <w:p w14:paraId="2D4A86A1">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投  标  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8F31895">
      <w:pPr>
        <w:rPr>
          <w:rFonts w:hint="eastAsia" w:ascii="宋体" w:hAnsi="宋体" w:eastAsia="宋体" w:cs="宋体"/>
          <w:color w:val="auto"/>
        </w:rPr>
      </w:pPr>
    </w:p>
    <w:p w14:paraId="6D33F063">
      <w:pPr>
        <w:rPr>
          <w:rFonts w:hint="eastAsia" w:ascii="宋体" w:hAnsi="宋体" w:eastAsia="宋体" w:cs="宋体"/>
          <w:color w:val="auto"/>
        </w:rPr>
      </w:pPr>
    </w:p>
    <w:p w14:paraId="7A14D37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64E96ACC">
      <w:pPr>
        <w:rPr>
          <w:rFonts w:hint="eastAsia" w:ascii="宋体" w:hAnsi="宋体" w:eastAsia="宋体" w:cs="宋体"/>
          <w:color w:val="auto"/>
        </w:rPr>
      </w:pPr>
    </w:p>
    <w:p w14:paraId="1E4441B8">
      <w:pPr>
        <w:rPr>
          <w:rFonts w:hint="eastAsia" w:ascii="宋体" w:hAnsi="宋体" w:eastAsia="宋体" w:cs="宋体"/>
          <w:color w:val="auto"/>
        </w:rPr>
      </w:pPr>
    </w:p>
    <w:p w14:paraId="4F69C810">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94B3249">
      <w:pPr>
        <w:rPr>
          <w:rFonts w:hint="eastAsia" w:ascii="宋体" w:hAnsi="宋体" w:eastAsia="宋体" w:cs="宋体"/>
          <w:color w:val="auto"/>
        </w:rPr>
      </w:pPr>
    </w:p>
    <w:p w14:paraId="619A66DE">
      <w:pPr>
        <w:rPr>
          <w:rFonts w:hint="eastAsia" w:ascii="宋体" w:hAnsi="宋体" w:eastAsia="宋体" w:cs="宋体"/>
          <w:color w:val="auto"/>
        </w:rPr>
      </w:pPr>
    </w:p>
    <w:p w14:paraId="4763C86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0E7FD4C">
      <w:pPr>
        <w:rPr>
          <w:rFonts w:hint="eastAsia" w:ascii="宋体" w:hAnsi="宋体" w:eastAsia="宋体" w:cs="宋体"/>
          <w:color w:val="auto"/>
        </w:rPr>
      </w:pPr>
    </w:p>
    <w:p w14:paraId="6AB6EA26">
      <w:pPr>
        <w:rPr>
          <w:rFonts w:hint="eastAsia" w:ascii="宋体" w:hAnsi="宋体" w:eastAsia="宋体" w:cs="宋体"/>
          <w:color w:val="auto"/>
        </w:rPr>
      </w:pPr>
    </w:p>
    <w:p w14:paraId="5DD53728">
      <w:pPr>
        <w:rPr>
          <w:rFonts w:hint="eastAsia" w:ascii="宋体" w:hAnsi="宋体" w:eastAsia="宋体" w:cs="宋体"/>
          <w:color w:val="auto"/>
        </w:rPr>
      </w:pPr>
      <w:r>
        <w:rPr>
          <w:rFonts w:hint="eastAsia" w:ascii="宋体" w:hAnsi="宋体" w:eastAsia="宋体" w:cs="宋体"/>
          <w:color w:val="auto"/>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312420</wp:posOffset>
                </wp:positionV>
                <wp:extent cx="319087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33A46F4">
                            <w:pPr>
                              <w:jc w:val="center"/>
                              <w:rPr>
                                <w:rFonts w:hint="eastAsia"/>
                                <w:szCs w:val="21"/>
                              </w:rPr>
                            </w:pPr>
                          </w:p>
                          <w:p w14:paraId="3A16FF7B">
                            <w:pPr>
                              <w:jc w:val="center"/>
                              <w:rPr>
                                <w:rFonts w:hint="eastAsia"/>
                                <w:szCs w:val="21"/>
                              </w:rPr>
                            </w:pPr>
                          </w:p>
                          <w:p w14:paraId="3453ADEF">
                            <w:pPr>
                              <w:jc w:val="center"/>
                              <w:rPr>
                                <w:rFonts w:hint="eastAsia"/>
                                <w:szCs w:val="21"/>
                              </w:rPr>
                            </w:pPr>
                          </w:p>
                          <w:p w14:paraId="21422217">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4.6pt;height:124.75pt;width:251.25pt;z-index:251660288;mso-width-relative:page;mso-height-relative:page;" fillcolor="#FFFFFF" filled="t" stroked="t" coordsize="21600,21600" o:gfxdata="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nzrq2AAAAAoBAAAPAAAAAAAAAAEAIAAAACIAAABkcnMvZG93bnJldi54bWxQSwECFAAU&#10;AAAACACHTuJAElPo7ioCAABQBAAADgAAAAAAAAABACAAAAAnAQAAZHJzL2Uyb0RvYy54bWxQSwUG&#10;AAAAAAYABgBZAQAAwwUAAAAA&#10;">
                <v:fill on="t" focussize="0,0"/>
                <v:stroke color="#000000" joinstyle="miter"/>
                <v:imagedata o:title=""/>
                <o:lock v:ext="edit" aspectratio="f"/>
                <v:textbox>
                  <w:txbxContent>
                    <w:p w14:paraId="433A46F4">
                      <w:pPr>
                        <w:jc w:val="center"/>
                        <w:rPr>
                          <w:rFonts w:hint="eastAsia"/>
                          <w:szCs w:val="21"/>
                        </w:rPr>
                      </w:pPr>
                    </w:p>
                    <w:p w14:paraId="3A16FF7B">
                      <w:pPr>
                        <w:jc w:val="center"/>
                        <w:rPr>
                          <w:rFonts w:hint="eastAsia"/>
                          <w:szCs w:val="21"/>
                        </w:rPr>
                      </w:pPr>
                    </w:p>
                    <w:p w14:paraId="3453ADEF">
                      <w:pPr>
                        <w:jc w:val="center"/>
                        <w:rPr>
                          <w:rFonts w:hint="eastAsia"/>
                          <w:szCs w:val="21"/>
                        </w:rPr>
                      </w:pPr>
                    </w:p>
                    <w:p w14:paraId="21422217">
                      <w:pPr>
                        <w:jc w:val="center"/>
                        <w:rPr>
                          <w:szCs w:val="21"/>
                        </w:rPr>
                      </w:pPr>
                      <w:r>
                        <w:rPr>
                          <w:rFonts w:hint="eastAsia"/>
                          <w:szCs w:val="21"/>
                        </w:rPr>
                        <w:t>委托代理人身份证</w:t>
                      </w:r>
                      <w:r>
                        <w:rPr>
                          <w:rFonts w:hint="eastAsia" w:ascii="Times New Roman"/>
                          <w:snapToGrid w:val="0"/>
                          <w:kern w:val="0"/>
                        </w:rPr>
                        <w:t>彩色扫描件</w:t>
                      </w:r>
                      <w:r>
                        <w:rPr>
                          <w:rFonts w:hint="eastAsia"/>
                          <w:szCs w:val="21"/>
                        </w:rPr>
                        <w:t>正、反面</w:t>
                      </w:r>
                    </w:p>
                  </w:txbxContent>
                </v:textbox>
              </v:shape>
            </w:pict>
          </mc:Fallback>
        </mc:AlternateContent>
      </w:r>
    </w:p>
    <w:p w14:paraId="04F05AAF">
      <w:pPr>
        <w:rPr>
          <w:rFonts w:hint="eastAsia" w:ascii="宋体" w:hAnsi="宋体" w:eastAsia="宋体" w:cs="宋体"/>
          <w:color w:val="auto"/>
        </w:rPr>
      </w:pPr>
    </w:p>
    <w:p w14:paraId="7EC7F422">
      <w:pPr>
        <w:rPr>
          <w:rFonts w:hint="eastAsia" w:ascii="宋体" w:hAnsi="宋体" w:eastAsia="宋体" w:cs="宋体"/>
          <w:color w:val="auto"/>
        </w:rPr>
      </w:pPr>
    </w:p>
    <w:p w14:paraId="540FC891">
      <w:pPr>
        <w:rPr>
          <w:rFonts w:hint="eastAsia" w:ascii="宋体" w:hAnsi="宋体" w:eastAsia="宋体" w:cs="宋体"/>
          <w:color w:val="auto"/>
        </w:rPr>
      </w:pPr>
    </w:p>
    <w:p w14:paraId="7EABE378">
      <w:pPr>
        <w:rPr>
          <w:rFonts w:hint="eastAsia" w:ascii="宋体" w:hAnsi="宋体" w:eastAsia="宋体" w:cs="宋体"/>
          <w:color w:val="auto"/>
        </w:rPr>
      </w:pPr>
    </w:p>
    <w:p w14:paraId="386E8059">
      <w:pPr>
        <w:rPr>
          <w:rFonts w:hint="eastAsia" w:ascii="宋体" w:hAnsi="宋体" w:eastAsia="宋体" w:cs="宋体"/>
          <w:color w:val="auto"/>
        </w:rPr>
      </w:pPr>
    </w:p>
    <w:p w14:paraId="21A7A190">
      <w:pPr>
        <w:rPr>
          <w:rFonts w:hint="eastAsia" w:ascii="宋体" w:hAnsi="宋体" w:eastAsia="宋体" w:cs="宋体"/>
          <w:color w:val="auto"/>
        </w:rPr>
      </w:pPr>
    </w:p>
    <w:p w14:paraId="70E6E964">
      <w:pPr>
        <w:rPr>
          <w:rFonts w:hint="eastAsia" w:ascii="宋体" w:hAnsi="宋体" w:eastAsia="宋体" w:cs="宋体"/>
          <w:color w:val="auto"/>
        </w:rPr>
      </w:pPr>
    </w:p>
    <w:p w14:paraId="2A951A4F">
      <w:pPr>
        <w:rPr>
          <w:rFonts w:hint="eastAsia" w:ascii="宋体" w:hAnsi="宋体" w:eastAsia="宋体" w:cs="宋体"/>
          <w:color w:val="auto"/>
        </w:rPr>
      </w:pPr>
    </w:p>
    <w:p w14:paraId="621BBDB5">
      <w:pPr>
        <w:rPr>
          <w:rFonts w:hint="eastAsia" w:ascii="宋体" w:hAnsi="宋体" w:eastAsia="宋体" w:cs="宋体"/>
          <w:color w:val="auto"/>
        </w:rPr>
      </w:pPr>
    </w:p>
    <w:p w14:paraId="451EA56E">
      <w:pPr>
        <w:rPr>
          <w:rFonts w:hint="eastAsia" w:ascii="宋体" w:hAnsi="宋体" w:eastAsia="宋体" w:cs="宋体"/>
          <w:color w:val="auto"/>
        </w:rPr>
      </w:pPr>
    </w:p>
    <w:p w14:paraId="0A6E0B67">
      <w:pPr>
        <w:rPr>
          <w:rFonts w:hint="eastAsia" w:ascii="宋体" w:hAnsi="宋体" w:eastAsia="宋体" w:cs="宋体"/>
          <w:color w:val="auto"/>
        </w:rPr>
      </w:pPr>
    </w:p>
    <w:p w14:paraId="165CDE1B">
      <w:pPr>
        <w:pStyle w:val="4"/>
        <w:bidi w:val="0"/>
        <w:ind w:left="0" w:leftChars="0" w:firstLine="0" w:firstLineChars="0"/>
        <w:rPr>
          <w:rFonts w:hint="eastAsia" w:ascii="宋体" w:hAnsi="宋体" w:eastAsia="宋体" w:cs="宋体"/>
          <w:color w:val="auto"/>
          <w:lang w:val="en-US" w:eastAsia="zh-CN"/>
        </w:rPr>
      </w:pPr>
      <w:bookmarkStart w:id="63" w:name="_Toc11456"/>
      <w:bookmarkStart w:id="64" w:name="_Toc19203"/>
      <w:bookmarkStart w:id="65" w:name="_Toc28692"/>
      <w:r>
        <w:rPr>
          <w:rFonts w:hint="eastAsia" w:ascii="宋体" w:hAnsi="宋体" w:eastAsia="宋体" w:cs="宋体"/>
          <w:color w:val="auto"/>
          <w:lang w:val="en-US" w:eastAsia="zh-CN"/>
        </w:rPr>
        <w:t>格式六   投标人基本情况表</w:t>
      </w:r>
      <w:bookmarkEnd w:id="63"/>
      <w:bookmarkEnd w:id="64"/>
      <w:bookmarkEnd w:id="65"/>
    </w:p>
    <w:p w14:paraId="1F97EA74">
      <w:pPr>
        <w:pStyle w:val="39"/>
        <w:keepNext w:val="0"/>
        <w:keepLines w:val="0"/>
        <w:widowControl w:val="0"/>
        <w:suppressLineNumbers w:val="0"/>
        <w:wordWrap w:val="0"/>
        <w:spacing w:before="260" w:beforeAutospacing="0" w:after="260" w:afterAutospacing="0" w:line="400" w:lineRule="exact"/>
        <w:ind w:left="0" w:right="0" w:firstLine="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sz w:val="30"/>
          <w:szCs w:val="30"/>
          <w:highlight w:val="none"/>
          <w:lang w:eastAsia="zh-CN"/>
        </w:rPr>
        <w:t>投标人基本情况表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4"/>
        <w:gridCol w:w="1097"/>
        <w:gridCol w:w="1489"/>
        <w:gridCol w:w="803"/>
        <w:gridCol w:w="414"/>
        <w:gridCol w:w="832"/>
        <w:gridCol w:w="260"/>
        <w:gridCol w:w="709"/>
        <w:gridCol w:w="1416"/>
      </w:tblGrid>
      <w:tr w14:paraId="7523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107758C">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投标人名称</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E6C4743">
            <w:pPr>
              <w:pStyle w:val="42"/>
              <w:widowControl/>
              <w:wordWrap w:val="0"/>
              <w:jc w:val="center"/>
              <w:rPr>
                <w:rFonts w:hint="eastAsia" w:ascii="宋体" w:hAnsi="宋体" w:eastAsia="宋体" w:cs="宋体"/>
                <w:color w:val="auto"/>
                <w:kern w:val="0"/>
                <w:sz w:val="24"/>
                <w:szCs w:val="24"/>
                <w:highlight w:val="none"/>
                <w:lang w:val="en-US"/>
              </w:rPr>
            </w:pPr>
          </w:p>
        </w:tc>
      </w:tr>
      <w:tr w14:paraId="381BA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FF9532E">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注册地址</w:t>
            </w:r>
          </w:p>
        </w:tc>
        <w:tc>
          <w:tcPr>
            <w:tcW w:w="3389" w:type="dxa"/>
            <w:gridSpan w:val="3"/>
            <w:tcBorders>
              <w:top w:val="single" w:color="000000" w:sz="4" w:space="0"/>
              <w:left w:val="single" w:color="000000" w:sz="4" w:space="0"/>
              <w:bottom w:val="single" w:color="000000" w:sz="4" w:space="0"/>
              <w:right w:val="single" w:color="000000" w:sz="4" w:space="0"/>
            </w:tcBorders>
            <w:noWrap w:val="0"/>
            <w:vAlign w:val="center"/>
          </w:tcPr>
          <w:p w14:paraId="52E11C35">
            <w:pPr>
              <w:pStyle w:val="42"/>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5DEE2275">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邮政编码</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494B6A8F">
            <w:pPr>
              <w:pStyle w:val="42"/>
              <w:widowControl/>
              <w:wordWrap w:val="0"/>
              <w:jc w:val="center"/>
              <w:rPr>
                <w:rFonts w:hint="eastAsia" w:ascii="宋体" w:hAnsi="宋体" w:eastAsia="宋体" w:cs="宋体"/>
                <w:color w:val="auto"/>
                <w:kern w:val="0"/>
                <w:sz w:val="24"/>
                <w:szCs w:val="24"/>
                <w:highlight w:val="none"/>
                <w:lang w:val="en-US"/>
              </w:rPr>
            </w:pPr>
          </w:p>
        </w:tc>
      </w:tr>
      <w:tr w14:paraId="5E46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vMerge w:val="restart"/>
            <w:tcBorders>
              <w:top w:val="nil"/>
              <w:left w:val="single" w:color="000000" w:sz="4" w:space="0"/>
              <w:bottom w:val="single" w:color="000000" w:sz="4" w:space="0"/>
              <w:right w:val="single" w:color="000000" w:sz="4" w:space="0"/>
            </w:tcBorders>
            <w:noWrap w:val="0"/>
            <w:vAlign w:val="center"/>
          </w:tcPr>
          <w:p w14:paraId="088D7A56">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CA9B86D">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联系人</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1DE852A2">
            <w:pPr>
              <w:pStyle w:val="42"/>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19B9BCC7">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话</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6C4CD091">
            <w:pPr>
              <w:pStyle w:val="42"/>
              <w:widowControl/>
              <w:wordWrap w:val="0"/>
              <w:jc w:val="center"/>
              <w:rPr>
                <w:rFonts w:hint="eastAsia" w:ascii="宋体" w:hAnsi="宋体" w:eastAsia="宋体" w:cs="宋体"/>
                <w:color w:val="auto"/>
                <w:kern w:val="0"/>
                <w:sz w:val="24"/>
                <w:szCs w:val="24"/>
                <w:highlight w:val="none"/>
                <w:lang w:val="en-US"/>
              </w:rPr>
            </w:pPr>
          </w:p>
        </w:tc>
      </w:tr>
      <w:tr w14:paraId="63E3C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vMerge w:val="continue"/>
            <w:tcBorders>
              <w:top w:val="nil"/>
              <w:left w:val="single" w:color="000000" w:sz="4" w:space="0"/>
              <w:bottom w:val="single" w:color="000000" w:sz="4" w:space="0"/>
              <w:right w:val="single" w:color="000000" w:sz="4" w:space="0"/>
            </w:tcBorders>
            <w:noWrap w:val="0"/>
            <w:vAlign w:val="center"/>
          </w:tcPr>
          <w:p w14:paraId="588EE3A1">
            <w:pPr>
              <w:rPr>
                <w:rFonts w:hint="eastAsia" w:ascii="宋体" w:hAnsi="宋体" w:eastAsia="宋体" w:cs="宋体"/>
                <w:color w:val="auto"/>
                <w:sz w:val="24"/>
                <w:szCs w:val="24"/>
                <w:highlight w:val="none"/>
              </w:rPr>
            </w:pP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52795EB0">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传</w:t>
            </w:r>
            <w:r>
              <w:rPr>
                <w:rFonts w:hint="eastAsia" w:ascii="宋体" w:hAnsi="宋体" w:eastAsia="宋体" w:cs="宋体"/>
                <w:color w:val="auto"/>
                <w:kern w:val="0"/>
                <w:sz w:val="24"/>
                <w:szCs w:val="24"/>
                <w:highlight w:val="none"/>
                <w:lang w:val="en-US"/>
              </w:rPr>
              <w:t xml:space="preserve">  </w:t>
            </w:r>
            <w:r>
              <w:rPr>
                <w:rFonts w:hint="eastAsia" w:ascii="宋体" w:hAnsi="宋体" w:eastAsia="宋体" w:cs="宋体"/>
                <w:color w:val="auto"/>
                <w:kern w:val="0"/>
                <w:sz w:val="24"/>
                <w:szCs w:val="24"/>
                <w:highlight w:val="none"/>
              </w:rPr>
              <w:t>真</w:t>
            </w:r>
          </w:p>
        </w:tc>
        <w:tc>
          <w:tcPr>
            <w:tcW w:w="2292" w:type="dxa"/>
            <w:gridSpan w:val="2"/>
            <w:tcBorders>
              <w:top w:val="single" w:color="000000" w:sz="4" w:space="0"/>
              <w:left w:val="single" w:color="000000" w:sz="4" w:space="0"/>
              <w:bottom w:val="single" w:color="000000" w:sz="4" w:space="0"/>
              <w:right w:val="single" w:color="000000" w:sz="4" w:space="0"/>
            </w:tcBorders>
            <w:noWrap w:val="0"/>
            <w:vAlign w:val="center"/>
          </w:tcPr>
          <w:p w14:paraId="2B3E0179">
            <w:pPr>
              <w:pStyle w:val="42"/>
              <w:widowControl/>
              <w:wordWrap w:val="0"/>
              <w:jc w:val="center"/>
              <w:rPr>
                <w:rFonts w:hint="eastAsia" w:ascii="宋体" w:hAnsi="宋体" w:eastAsia="宋体" w:cs="宋体"/>
                <w:color w:val="auto"/>
                <w:kern w:val="0"/>
                <w:sz w:val="24"/>
                <w:szCs w:val="24"/>
                <w:highlight w:val="none"/>
                <w:lang w:val="en-US"/>
              </w:rPr>
            </w:pPr>
          </w:p>
        </w:tc>
        <w:tc>
          <w:tcPr>
            <w:tcW w:w="1246" w:type="dxa"/>
            <w:gridSpan w:val="2"/>
            <w:tcBorders>
              <w:top w:val="single" w:color="000000" w:sz="4" w:space="0"/>
              <w:left w:val="single" w:color="000000" w:sz="4" w:space="0"/>
              <w:bottom w:val="single" w:color="000000" w:sz="4" w:space="0"/>
              <w:right w:val="single" w:color="000000" w:sz="4" w:space="0"/>
            </w:tcBorders>
            <w:noWrap w:val="0"/>
            <w:vAlign w:val="center"/>
          </w:tcPr>
          <w:p w14:paraId="21A47004">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电子邮箱</w:t>
            </w:r>
          </w:p>
        </w:tc>
        <w:tc>
          <w:tcPr>
            <w:tcW w:w="2385" w:type="dxa"/>
            <w:gridSpan w:val="3"/>
            <w:tcBorders>
              <w:top w:val="single" w:color="000000" w:sz="4" w:space="0"/>
              <w:left w:val="single" w:color="000000" w:sz="4" w:space="0"/>
              <w:bottom w:val="single" w:color="000000" w:sz="4" w:space="0"/>
              <w:right w:val="single" w:color="000000" w:sz="4" w:space="0"/>
            </w:tcBorders>
            <w:noWrap w:val="0"/>
            <w:vAlign w:val="center"/>
          </w:tcPr>
          <w:p w14:paraId="7C8FD014">
            <w:pPr>
              <w:pStyle w:val="42"/>
              <w:widowControl/>
              <w:wordWrap w:val="0"/>
              <w:jc w:val="center"/>
              <w:rPr>
                <w:rFonts w:hint="eastAsia" w:ascii="宋体" w:hAnsi="宋体" w:eastAsia="宋体" w:cs="宋体"/>
                <w:color w:val="auto"/>
                <w:kern w:val="0"/>
                <w:sz w:val="24"/>
                <w:szCs w:val="24"/>
                <w:highlight w:val="none"/>
                <w:lang w:val="en-US"/>
              </w:rPr>
            </w:pPr>
          </w:p>
        </w:tc>
      </w:tr>
      <w:tr w14:paraId="7042E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A7934B4">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单位性质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54871D0">
            <w:pPr>
              <w:pStyle w:val="42"/>
              <w:widowControl/>
              <w:wordWrap w:val="0"/>
              <w:jc w:val="center"/>
              <w:rPr>
                <w:rFonts w:hint="eastAsia" w:ascii="宋体" w:hAnsi="宋体" w:eastAsia="宋体" w:cs="宋体"/>
                <w:color w:val="auto"/>
                <w:kern w:val="0"/>
                <w:sz w:val="24"/>
                <w:szCs w:val="24"/>
                <w:highlight w:val="none"/>
                <w:lang w:val="en-US"/>
              </w:rPr>
            </w:pPr>
          </w:p>
        </w:tc>
      </w:tr>
      <w:tr w14:paraId="1E28D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5DB125EF">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法定代表人</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455D0EF4">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姓名</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3108028">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tcBorders>
              <w:top w:val="single" w:color="000000" w:sz="4" w:space="0"/>
              <w:left w:val="single" w:color="000000" w:sz="4" w:space="0"/>
              <w:bottom w:val="single" w:color="000000" w:sz="4" w:space="0"/>
              <w:right w:val="single" w:color="000000" w:sz="4" w:space="0"/>
            </w:tcBorders>
            <w:noWrap w:val="0"/>
            <w:vAlign w:val="center"/>
          </w:tcPr>
          <w:p w14:paraId="5540E9E9">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技术职称</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2DCF83A5">
            <w:pPr>
              <w:pStyle w:val="42"/>
              <w:widowControl/>
              <w:wordWrap w:val="0"/>
              <w:jc w:val="center"/>
              <w:rPr>
                <w:rFonts w:hint="eastAsia" w:ascii="宋体" w:hAnsi="宋体" w:eastAsia="宋体" w:cs="宋体"/>
                <w:color w:val="auto"/>
                <w:kern w:val="0"/>
                <w:sz w:val="24"/>
                <w:szCs w:val="24"/>
                <w:highlight w:val="none"/>
                <w:lang w:val="en-US"/>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B7EC1B">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电话</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0798A9E">
            <w:pPr>
              <w:pStyle w:val="42"/>
              <w:widowControl/>
              <w:wordWrap w:val="0"/>
              <w:jc w:val="center"/>
              <w:rPr>
                <w:rFonts w:hint="eastAsia" w:ascii="宋体" w:hAnsi="宋体" w:eastAsia="宋体" w:cs="宋体"/>
                <w:color w:val="auto"/>
                <w:kern w:val="0"/>
                <w:sz w:val="24"/>
                <w:szCs w:val="24"/>
                <w:highlight w:val="none"/>
                <w:lang w:val="en-US"/>
              </w:rPr>
            </w:pPr>
          </w:p>
        </w:tc>
      </w:tr>
      <w:tr w14:paraId="7B7E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532E714">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成立时间</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0EE6ED2A">
            <w:pPr>
              <w:pStyle w:val="42"/>
              <w:widowControl/>
              <w:wordWrap w:val="0"/>
              <w:jc w:val="center"/>
              <w:rPr>
                <w:rFonts w:hint="eastAsia" w:ascii="宋体" w:hAnsi="宋体" w:eastAsia="宋体" w:cs="宋体"/>
                <w:color w:val="auto"/>
                <w:kern w:val="0"/>
                <w:sz w:val="24"/>
                <w:szCs w:val="24"/>
                <w:highlight w:val="none"/>
                <w:lang w:val="en-US"/>
              </w:rPr>
            </w:pPr>
          </w:p>
        </w:tc>
        <w:tc>
          <w:tcPr>
            <w:tcW w:w="4434" w:type="dxa"/>
            <w:gridSpan w:val="6"/>
            <w:tcBorders>
              <w:top w:val="single" w:color="000000" w:sz="4" w:space="0"/>
              <w:left w:val="single" w:color="000000" w:sz="4" w:space="0"/>
              <w:bottom w:val="single" w:color="000000" w:sz="4" w:space="0"/>
              <w:right w:val="single" w:color="000000" w:sz="4" w:space="0"/>
            </w:tcBorders>
            <w:noWrap w:val="0"/>
            <w:vAlign w:val="center"/>
          </w:tcPr>
          <w:p w14:paraId="2024A291">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员工总人数（个）：</w:t>
            </w:r>
          </w:p>
        </w:tc>
      </w:tr>
      <w:tr w14:paraId="7B4D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2830E013">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企业资质</w:t>
            </w:r>
          </w:p>
          <w:p w14:paraId="42F1C5A0">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类型和等级</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65D5BAB8">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restart"/>
            <w:tcBorders>
              <w:top w:val="nil"/>
              <w:left w:val="single" w:color="000000" w:sz="4" w:space="0"/>
              <w:bottom w:val="single" w:color="000000" w:sz="4" w:space="0"/>
              <w:right w:val="single" w:color="000000" w:sz="4" w:space="0"/>
            </w:tcBorders>
            <w:noWrap w:val="0"/>
            <w:vAlign w:val="center"/>
          </w:tcPr>
          <w:p w14:paraId="022C4BA9">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其中</w:t>
            </w: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454B26CB">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项目经理</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48BA691">
            <w:pPr>
              <w:pStyle w:val="42"/>
              <w:widowControl/>
              <w:wordWrap w:val="0"/>
              <w:jc w:val="center"/>
              <w:rPr>
                <w:rFonts w:hint="eastAsia" w:ascii="宋体" w:hAnsi="宋体" w:eastAsia="宋体" w:cs="宋体"/>
                <w:color w:val="auto"/>
                <w:kern w:val="0"/>
                <w:sz w:val="24"/>
                <w:szCs w:val="24"/>
                <w:highlight w:val="none"/>
                <w:lang w:val="en-US"/>
              </w:rPr>
            </w:pPr>
          </w:p>
        </w:tc>
      </w:tr>
      <w:tr w14:paraId="4E0C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9768680">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营业执照号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7DC16090">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6FF3E57D">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8F17E72">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高级职称人员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D7BAE08">
            <w:pPr>
              <w:pStyle w:val="42"/>
              <w:widowControl/>
              <w:wordWrap w:val="0"/>
              <w:jc w:val="center"/>
              <w:rPr>
                <w:rFonts w:hint="eastAsia" w:ascii="宋体" w:hAnsi="宋体" w:eastAsia="宋体" w:cs="宋体"/>
                <w:color w:val="auto"/>
                <w:kern w:val="0"/>
                <w:sz w:val="24"/>
                <w:szCs w:val="24"/>
                <w:highlight w:val="none"/>
                <w:lang w:val="en-US"/>
              </w:rPr>
            </w:pPr>
          </w:p>
        </w:tc>
      </w:tr>
      <w:tr w14:paraId="6C4E7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1C0ABDD0">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注册资金</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2432E4F8">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44726B4C">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6548771C">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中级职称人员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285B228">
            <w:pPr>
              <w:pStyle w:val="42"/>
              <w:widowControl/>
              <w:wordWrap w:val="0"/>
              <w:jc w:val="center"/>
              <w:rPr>
                <w:rFonts w:hint="eastAsia" w:ascii="宋体" w:hAnsi="宋体" w:eastAsia="宋体" w:cs="宋体"/>
                <w:color w:val="auto"/>
                <w:kern w:val="0"/>
                <w:sz w:val="24"/>
                <w:szCs w:val="24"/>
                <w:highlight w:val="none"/>
                <w:lang w:val="en-US"/>
              </w:rPr>
            </w:pPr>
          </w:p>
        </w:tc>
      </w:tr>
      <w:tr w14:paraId="6FC5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7CEC645F">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04EE8BDE">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开户银行</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311150DE">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2BD3042B">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FAD1E4C">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初级职称人员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362D70B">
            <w:pPr>
              <w:pStyle w:val="42"/>
              <w:widowControl/>
              <w:wordWrap w:val="0"/>
              <w:jc w:val="center"/>
              <w:rPr>
                <w:rFonts w:hint="eastAsia" w:ascii="宋体" w:hAnsi="宋体" w:eastAsia="宋体" w:cs="宋体"/>
                <w:color w:val="auto"/>
                <w:kern w:val="0"/>
                <w:sz w:val="24"/>
                <w:szCs w:val="24"/>
                <w:highlight w:val="none"/>
                <w:lang w:val="en-US"/>
              </w:rPr>
            </w:pPr>
          </w:p>
        </w:tc>
      </w:tr>
      <w:tr w14:paraId="37A3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E37AD3F">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基本账户</w:t>
            </w:r>
          </w:p>
          <w:p w14:paraId="0E15C867">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银行账号</w:t>
            </w:r>
          </w:p>
        </w:tc>
        <w:tc>
          <w:tcPr>
            <w:tcW w:w="2586" w:type="dxa"/>
            <w:gridSpan w:val="2"/>
            <w:tcBorders>
              <w:top w:val="single" w:color="000000" w:sz="4" w:space="0"/>
              <w:left w:val="single" w:color="000000" w:sz="4" w:space="0"/>
              <w:bottom w:val="single" w:color="000000" w:sz="4" w:space="0"/>
              <w:right w:val="single" w:color="000000" w:sz="4" w:space="0"/>
            </w:tcBorders>
            <w:noWrap w:val="0"/>
            <w:vAlign w:val="center"/>
          </w:tcPr>
          <w:p w14:paraId="184D07FF">
            <w:pPr>
              <w:pStyle w:val="42"/>
              <w:widowControl/>
              <w:wordWrap w:val="0"/>
              <w:jc w:val="center"/>
              <w:rPr>
                <w:rFonts w:hint="eastAsia" w:ascii="宋体" w:hAnsi="宋体" w:eastAsia="宋体" w:cs="宋体"/>
                <w:color w:val="auto"/>
                <w:kern w:val="0"/>
                <w:sz w:val="24"/>
                <w:szCs w:val="24"/>
                <w:highlight w:val="none"/>
                <w:lang w:val="en-US"/>
              </w:rPr>
            </w:pPr>
          </w:p>
        </w:tc>
        <w:tc>
          <w:tcPr>
            <w:tcW w:w="1217" w:type="dxa"/>
            <w:gridSpan w:val="2"/>
            <w:vMerge w:val="continue"/>
            <w:tcBorders>
              <w:top w:val="nil"/>
              <w:left w:val="single" w:color="000000" w:sz="4" w:space="0"/>
              <w:bottom w:val="single" w:color="000000" w:sz="4" w:space="0"/>
              <w:right w:val="single" w:color="000000" w:sz="4" w:space="0"/>
            </w:tcBorders>
            <w:noWrap w:val="0"/>
            <w:vAlign w:val="center"/>
          </w:tcPr>
          <w:p w14:paraId="40DDC1A0">
            <w:pPr>
              <w:rPr>
                <w:rFonts w:hint="eastAsia" w:ascii="宋体" w:hAnsi="宋体" w:eastAsia="宋体" w:cs="宋体"/>
                <w:color w:val="auto"/>
                <w:sz w:val="24"/>
                <w:szCs w:val="24"/>
                <w:highlight w:val="none"/>
              </w:rPr>
            </w:pPr>
          </w:p>
        </w:tc>
        <w:tc>
          <w:tcPr>
            <w:tcW w:w="1801" w:type="dxa"/>
            <w:gridSpan w:val="3"/>
            <w:tcBorders>
              <w:top w:val="single" w:color="000000" w:sz="4" w:space="0"/>
              <w:left w:val="single" w:color="000000" w:sz="4" w:space="0"/>
              <w:bottom w:val="single" w:color="000000" w:sz="4" w:space="0"/>
              <w:right w:val="single" w:color="000000" w:sz="4" w:space="0"/>
            </w:tcBorders>
            <w:noWrap w:val="0"/>
            <w:vAlign w:val="center"/>
          </w:tcPr>
          <w:p w14:paraId="3F9FFC4A">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技术员</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6367298">
            <w:pPr>
              <w:pStyle w:val="42"/>
              <w:widowControl/>
              <w:wordWrap w:val="0"/>
              <w:jc w:val="center"/>
              <w:rPr>
                <w:rFonts w:hint="eastAsia" w:ascii="宋体" w:hAnsi="宋体" w:eastAsia="宋体" w:cs="宋体"/>
                <w:color w:val="auto"/>
                <w:kern w:val="0"/>
                <w:sz w:val="24"/>
                <w:szCs w:val="24"/>
                <w:highlight w:val="none"/>
                <w:lang w:val="en-US"/>
              </w:rPr>
            </w:pPr>
          </w:p>
        </w:tc>
      </w:tr>
      <w:tr w14:paraId="1102F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6A2E8288">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经营范围</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7834FD61">
            <w:pPr>
              <w:pStyle w:val="42"/>
              <w:widowControl/>
              <w:wordWrap w:val="0"/>
              <w:jc w:val="left"/>
              <w:rPr>
                <w:rFonts w:hint="eastAsia" w:ascii="宋体" w:hAnsi="宋体" w:eastAsia="宋体" w:cs="宋体"/>
                <w:color w:val="auto"/>
                <w:kern w:val="0"/>
                <w:sz w:val="24"/>
                <w:szCs w:val="24"/>
                <w:highlight w:val="none"/>
                <w:lang w:val="en-US"/>
              </w:rPr>
            </w:pPr>
          </w:p>
        </w:tc>
      </w:tr>
      <w:tr w14:paraId="6B61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0B0EF196">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关联企业情况</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5F16FFA9">
            <w:pPr>
              <w:pStyle w:val="42"/>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包括但不限于与投标人存在以下关系的不同单位：</w:t>
            </w:r>
          </w:p>
          <w:p w14:paraId="5129B660">
            <w:pPr>
              <w:pStyle w:val="42"/>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1</w:t>
            </w:r>
            <w:r>
              <w:rPr>
                <w:rFonts w:hint="eastAsia" w:ascii="宋体" w:hAnsi="宋体" w:eastAsia="宋体" w:cs="宋体"/>
                <w:color w:val="auto"/>
                <w:kern w:val="0"/>
                <w:sz w:val="24"/>
                <w:szCs w:val="24"/>
                <w:highlight w:val="none"/>
              </w:rPr>
              <w:t>．法定代表人为同一人的。</w:t>
            </w:r>
          </w:p>
          <w:p w14:paraId="576061E8">
            <w:pPr>
              <w:pStyle w:val="42"/>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2</w:t>
            </w:r>
            <w:r>
              <w:rPr>
                <w:rFonts w:hint="eastAsia" w:ascii="宋体" w:hAnsi="宋体" w:eastAsia="宋体" w:cs="宋体"/>
                <w:color w:val="auto"/>
                <w:kern w:val="0"/>
                <w:sz w:val="24"/>
                <w:szCs w:val="24"/>
                <w:highlight w:val="none"/>
              </w:rPr>
              <w:t>．存在控股、管理关系的。</w:t>
            </w:r>
          </w:p>
          <w:p w14:paraId="01015F45">
            <w:pPr>
              <w:pStyle w:val="42"/>
              <w:widowControl/>
              <w:wordWrap w:val="0"/>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rPr>
              <w:t>3</w:t>
            </w:r>
            <w:r>
              <w:rPr>
                <w:rFonts w:hint="eastAsia" w:ascii="宋体" w:hAnsi="宋体" w:eastAsia="宋体" w:cs="宋体"/>
                <w:color w:val="auto"/>
                <w:kern w:val="0"/>
                <w:sz w:val="24"/>
                <w:szCs w:val="24"/>
                <w:highlight w:val="none"/>
              </w:rPr>
              <w:t>．主要人员相互任职的。</w:t>
            </w:r>
          </w:p>
        </w:tc>
      </w:tr>
      <w:tr w14:paraId="02C10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034" w:type="dxa"/>
            <w:tcBorders>
              <w:top w:val="single" w:color="000000" w:sz="4" w:space="0"/>
              <w:left w:val="single" w:color="000000" w:sz="4" w:space="0"/>
              <w:bottom w:val="single" w:color="000000" w:sz="4" w:space="0"/>
              <w:right w:val="single" w:color="000000" w:sz="4" w:space="0"/>
            </w:tcBorders>
            <w:noWrap w:val="0"/>
            <w:vAlign w:val="center"/>
          </w:tcPr>
          <w:p w14:paraId="300FB50C">
            <w:pPr>
              <w:pStyle w:val="42"/>
              <w:widowControl/>
              <w:wordWrap w:val="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备注</w:t>
            </w:r>
          </w:p>
        </w:tc>
        <w:tc>
          <w:tcPr>
            <w:tcW w:w="7020" w:type="dxa"/>
            <w:gridSpan w:val="8"/>
            <w:tcBorders>
              <w:top w:val="single" w:color="000000" w:sz="4" w:space="0"/>
              <w:left w:val="single" w:color="000000" w:sz="4" w:space="0"/>
              <w:bottom w:val="single" w:color="000000" w:sz="4" w:space="0"/>
              <w:right w:val="single" w:color="000000" w:sz="4" w:space="0"/>
            </w:tcBorders>
            <w:noWrap w:val="0"/>
            <w:vAlign w:val="center"/>
          </w:tcPr>
          <w:p w14:paraId="30CDEEAF">
            <w:pPr>
              <w:pStyle w:val="42"/>
              <w:widowControl/>
              <w:wordWrap w:val="0"/>
              <w:jc w:val="center"/>
              <w:rPr>
                <w:rFonts w:hint="eastAsia" w:ascii="宋体" w:hAnsi="宋体" w:eastAsia="宋体" w:cs="宋体"/>
                <w:color w:val="auto"/>
                <w:kern w:val="0"/>
                <w:sz w:val="24"/>
                <w:szCs w:val="24"/>
                <w:highlight w:val="none"/>
                <w:lang w:val="en-US"/>
              </w:rPr>
            </w:pPr>
          </w:p>
        </w:tc>
      </w:tr>
    </w:tbl>
    <w:p w14:paraId="544C641D">
      <w:pPr>
        <w:pStyle w:val="42"/>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说明：</w:t>
      </w:r>
    </w:p>
    <w:p w14:paraId="54F408E6">
      <w:pPr>
        <w:pStyle w:val="42"/>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1</w:t>
      </w:r>
      <w:r>
        <w:rPr>
          <w:rFonts w:hint="eastAsia" w:ascii="宋体" w:hAnsi="宋体" w:eastAsia="宋体" w:cs="宋体"/>
          <w:color w:val="auto"/>
          <w:kern w:val="0"/>
          <w:highlight w:val="none"/>
          <w:lang w:eastAsia="zh-CN"/>
        </w:rPr>
        <w:t>．《投标人基本情况表》后应附以下资料：</w:t>
      </w:r>
    </w:p>
    <w:p w14:paraId="3319B5E7">
      <w:pPr>
        <w:pStyle w:val="42"/>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b/>
          <w:bCs/>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1</w:t>
      </w:r>
      <w:r>
        <w:rPr>
          <w:rFonts w:hint="eastAsia" w:ascii="宋体" w:hAnsi="宋体" w:eastAsia="宋体" w:cs="宋体"/>
          <w:color w:val="auto"/>
          <w:kern w:val="0"/>
          <w:highlight w:val="none"/>
          <w:lang w:eastAsia="zh-CN"/>
        </w:rPr>
        <w:t>）企业营业执照、资质证书、安全生产许可证的（</w:t>
      </w:r>
      <w:r>
        <w:rPr>
          <w:rFonts w:hint="eastAsia" w:ascii="宋体" w:hAnsi="宋体" w:eastAsia="宋体" w:cs="宋体"/>
          <w:b/>
          <w:bCs/>
          <w:color w:val="auto"/>
          <w:kern w:val="0"/>
          <w:highlight w:val="none"/>
          <w:lang w:eastAsia="zh-CN"/>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w:t>
      </w:r>
      <w:r>
        <w:rPr>
          <w:rFonts w:hint="eastAsia" w:ascii="宋体" w:hAnsi="宋体" w:eastAsia="宋体" w:cs="宋体"/>
          <w:b/>
          <w:bCs/>
          <w:color w:val="auto"/>
          <w:kern w:val="0"/>
          <w:highlight w:val="none"/>
          <w:lang w:val="en-US"/>
        </w:rPr>
        <w:t>https://zlaq.mohurd.gov.cn</w:t>
      </w:r>
      <w:r>
        <w:rPr>
          <w:rFonts w:hint="eastAsia" w:ascii="宋体" w:hAnsi="宋体" w:eastAsia="宋体" w:cs="宋体"/>
          <w:b/>
          <w:bCs/>
          <w:color w:val="auto"/>
          <w:kern w:val="0"/>
          <w:highlight w:val="none"/>
          <w:lang w:eastAsia="zh-CN"/>
        </w:rPr>
        <w:t>，进入后点击“安全生产许可证信息”，输入企业名称和统一社会信用代码即可查询。如中标后，投标单位安全生产许可证发生被暂扣情形，需双方另行协商）；</w:t>
      </w:r>
    </w:p>
    <w:p w14:paraId="0247C9B7">
      <w:pPr>
        <w:pStyle w:val="42"/>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2</w:t>
      </w:r>
      <w:r>
        <w:rPr>
          <w:rFonts w:hint="eastAsia" w:ascii="宋体" w:hAnsi="宋体" w:eastAsia="宋体" w:cs="宋体"/>
          <w:color w:val="auto"/>
          <w:kern w:val="0"/>
          <w:highlight w:val="none"/>
          <w:lang w:eastAsia="zh-CN"/>
        </w:rPr>
        <w:t>）“进粤企业和人员诚信信息登记平台”企业信息情况打印页。（适用于省外建筑企业）</w:t>
      </w:r>
    </w:p>
    <w:p w14:paraId="55004909">
      <w:pPr>
        <w:pStyle w:val="42"/>
        <w:keepNext w:val="0"/>
        <w:keepLines w:val="0"/>
        <w:pageBreakBefore w:val="0"/>
        <w:widowControl w:val="0"/>
        <w:kinsoku/>
        <w:wordWrap w:val="0"/>
        <w:overflowPunct/>
        <w:topLinePunct w:val="0"/>
        <w:autoSpaceDE/>
        <w:autoSpaceDN/>
        <w:bidi w:val="0"/>
        <w:adjustRightInd/>
        <w:snapToGrid/>
        <w:spacing w:line="240" w:lineRule="auto"/>
        <w:ind w:left="0"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rPr>
        <w:t>3</w:t>
      </w:r>
      <w:r>
        <w:rPr>
          <w:rFonts w:hint="eastAsia" w:ascii="宋体" w:hAnsi="宋体" w:eastAsia="宋体" w:cs="宋体"/>
          <w:color w:val="auto"/>
          <w:kern w:val="0"/>
          <w:highlight w:val="none"/>
          <w:lang w:eastAsia="zh-CN"/>
        </w:rPr>
        <w:t>）《法人和非法人组织公共信用信息报告》（在“信用中国”网站企业查询界面中下载）。</w:t>
      </w:r>
    </w:p>
    <w:p w14:paraId="3ABF5CD4">
      <w:pPr>
        <w:pStyle w:val="4"/>
        <w:bidi w:val="0"/>
        <w:ind w:left="0" w:leftChars="0" w:firstLine="0" w:firstLineChars="0"/>
        <w:rPr>
          <w:rFonts w:hint="eastAsia" w:ascii="宋体" w:hAnsi="宋体" w:eastAsia="宋体" w:cs="宋体"/>
          <w:b/>
          <w:bCs/>
          <w:color w:val="auto"/>
          <w:kern w:val="0"/>
          <w:highlight w:val="none"/>
          <w:lang w:val="en-US"/>
        </w:rPr>
      </w:pPr>
      <w:bookmarkStart w:id="66" w:name="_Toc15844"/>
      <w:bookmarkStart w:id="67" w:name="_Toc26101"/>
      <w:bookmarkStart w:id="68" w:name="_Toc2093"/>
      <w:r>
        <w:rPr>
          <w:rFonts w:hint="eastAsia" w:ascii="宋体" w:hAnsi="宋体" w:eastAsia="宋体" w:cs="宋体"/>
          <w:color w:val="auto"/>
          <w:lang w:val="en-US" w:eastAsia="zh-CN"/>
        </w:rPr>
        <w:t>格式七   项目经理简历表</w:t>
      </w:r>
      <w:bookmarkEnd w:id="66"/>
      <w:bookmarkEnd w:id="67"/>
      <w:bookmarkEnd w:id="68"/>
    </w:p>
    <w:p w14:paraId="7670EFD4">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项目经理简历表</w:t>
      </w:r>
    </w:p>
    <w:p w14:paraId="162B9385">
      <w:pPr>
        <w:pStyle w:val="40"/>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tbl>
      <w:tblPr>
        <w:tblStyle w:val="21"/>
        <w:tblpPr w:leftFromText="180" w:rightFromText="180" w:vertAnchor="text" w:horzAnchor="page" w:tblpX="1370"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16A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30A5D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04DE06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1D9AF0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1CCFE5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0A88D45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19A788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E21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0E51B7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2C92D7E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1FFF4B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1C33C4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1F5C678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A50DF8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A58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5F0A1CE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7821BEE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5849C3D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6B2286D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234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478F591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以项目经理身份参与过的主要业绩（已完工项目）</w:t>
            </w:r>
          </w:p>
        </w:tc>
      </w:tr>
      <w:tr w14:paraId="1C1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0046C0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A25E37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2F78D6C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32D37E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525B1B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0448A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0352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49EB6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55FD6C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434712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342E6F0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921DA5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9A0513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99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FA2B7D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2D9569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40C393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7EF817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7EF401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2B8C1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0EB4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7713E17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6DE638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0C18228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D2EE69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8EB2E3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A03EA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80D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13EAE1D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777644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41F58A4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47411B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5CA3BD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E3EA68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5CA93D24">
      <w:pPr>
        <w:pStyle w:val="40"/>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项目经理：（签字）</w:t>
      </w:r>
    </w:p>
    <w:p w14:paraId="22762671">
      <w:pPr>
        <w:rPr>
          <w:rFonts w:hint="eastAsia" w:ascii="宋体" w:hAnsi="宋体" w:eastAsia="宋体" w:cs="宋体"/>
          <w:color w:val="auto"/>
          <w:lang w:val="en-US"/>
        </w:rPr>
      </w:pPr>
      <w:r>
        <w:rPr>
          <w:rFonts w:hint="eastAsia" w:ascii="宋体" w:hAnsi="宋体" w:eastAsia="宋体" w:cs="宋体"/>
          <w:color w:val="auto"/>
          <w:lang w:val="en-US"/>
        </w:rPr>
        <w:t xml:space="preserve"> </w:t>
      </w:r>
    </w:p>
    <w:p w14:paraId="78842D1D">
      <w:pPr>
        <w:pStyle w:val="40"/>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25D87F04">
      <w:pPr>
        <w:rPr>
          <w:rFonts w:hint="eastAsia" w:ascii="宋体" w:hAnsi="宋体" w:eastAsia="宋体" w:cs="宋体"/>
          <w:color w:val="auto"/>
          <w:lang w:val="en-US"/>
        </w:rPr>
      </w:pPr>
      <w:r>
        <w:rPr>
          <w:rFonts w:hint="eastAsia" w:ascii="宋体" w:hAnsi="宋体" w:eastAsia="宋体" w:cs="宋体"/>
          <w:color w:val="auto"/>
          <w:lang w:val="en-US" w:eastAsia="zh-CN"/>
        </w:rPr>
        <w:t xml:space="preserve"> </w:t>
      </w:r>
    </w:p>
    <w:p w14:paraId="492C02B1">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说明：《项目经理简历表》后应附拟派项目经理以下资料：</w:t>
      </w:r>
    </w:p>
    <w:p w14:paraId="712062EB">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0A378CA2">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2．建造师电子注册证书（在使用有效期内的有效电子证书）彩色扫描件；</w:t>
      </w:r>
    </w:p>
    <w:p w14:paraId="492D6AC8">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3．B类安全生产考核合格证书彩色扫描件或广东省建筑施工企业管理人员安全生产考核系统考核合格信息彩色扫描件；</w:t>
      </w:r>
    </w:p>
    <w:p w14:paraId="0CD05AB4">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4．在本单位缴纳社保的证明</w:t>
      </w:r>
      <w:r>
        <w:rPr>
          <w:rFonts w:hint="eastAsia" w:ascii="宋体" w:hAnsi="宋体" w:cs="宋体"/>
          <w:color w:val="auto"/>
          <w:kern w:val="0"/>
          <w:sz w:val="21"/>
          <w:szCs w:val="21"/>
          <w:highlight w:val="none"/>
          <w:lang w:val="en-US" w:eastAsia="zh-CN" w:bidi="ar"/>
        </w:rPr>
        <w:t>（至少1个月，其中必须有2026年4月）</w:t>
      </w:r>
      <w:r>
        <w:rPr>
          <w:rFonts w:hint="eastAsia" w:ascii="宋体" w:hAnsi="宋体" w:eastAsia="宋体" w:cs="宋体"/>
          <w:color w:val="auto"/>
          <w:kern w:val="0"/>
          <w:sz w:val="21"/>
          <w:szCs w:val="21"/>
          <w:highlight w:val="none"/>
          <w:lang w:val="en-US" w:eastAsia="zh-CN" w:bidi="ar"/>
        </w:rPr>
        <w:t>复印件或打印件。拟派项目经理为退休返聘人员无法提供社保证明的，提供退休证和劳动合同</w:t>
      </w:r>
      <w:r>
        <w:rPr>
          <w:rFonts w:hint="eastAsia" w:ascii="宋体" w:hAnsi="宋体" w:eastAsia="宋体" w:cs="宋体"/>
          <w:b/>
          <w:bCs/>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57890759">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5．“进粤企业和人员诚信信息登记平台”个人（项目经理等）信息情况截图。（适用于省外建筑企业）</w:t>
      </w:r>
    </w:p>
    <w:p w14:paraId="5AB60903">
      <w:pPr>
        <w:rPr>
          <w:rFonts w:hint="eastAsia" w:ascii="宋体" w:hAnsi="宋体" w:eastAsia="宋体" w:cs="宋体"/>
          <w:color w:val="auto"/>
          <w:lang w:val="en-US" w:eastAsia="zh-CN"/>
        </w:rPr>
      </w:pPr>
    </w:p>
    <w:p w14:paraId="3FCCE684">
      <w:pPr>
        <w:rPr>
          <w:rFonts w:hint="eastAsia" w:ascii="宋体" w:hAnsi="宋体" w:eastAsia="宋体" w:cs="宋体"/>
          <w:color w:val="auto"/>
          <w:lang w:val="en-US" w:eastAsia="zh-CN"/>
        </w:rPr>
      </w:pPr>
    </w:p>
    <w:p w14:paraId="66994DC4">
      <w:pPr>
        <w:rPr>
          <w:rFonts w:hint="eastAsia" w:ascii="宋体" w:hAnsi="宋体" w:eastAsia="宋体" w:cs="宋体"/>
          <w:color w:val="auto"/>
          <w:lang w:val="en-US" w:eastAsia="zh-CN"/>
        </w:rPr>
      </w:pPr>
    </w:p>
    <w:p w14:paraId="4930256D">
      <w:pPr>
        <w:rPr>
          <w:rFonts w:hint="eastAsia" w:ascii="宋体" w:hAnsi="宋体" w:eastAsia="宋体" w:cs="宋体"/>
          <w:color w:val="auto"/>
          <w:lang w:val="en-US" w:eastAsia="zh-CN"/>
        </w:rPr>
      </w:pPr>
    </w:p>
    <w:p w14:paraId="107DB75B">
      <w:pPr>
        <w:rPr>
          <w:rFonts w:hint="eastAsia" w:ascii="宋体" w:hAnsi="宋体" w:eastAsia="宋体" w:cs="宋体"/>
          <w:color w:val="auto"/>
          <w:lang w:val="en-US" w:eastAsia="zh-CN"/>
        </w:rPr>
      </w:pPr>
    </w:p>
    <w:p w14:paraId="2B266F11">
      <w:pPr>
        <w:rPr>
          <w:rFonts w:hint="eastAsia" w:ascii="宋体" w:hAnsi="宋体" w:eastAsia="宋体" w:cs="宋体"/>
          <w:color w:val="auto"/>
          <w:lang w:val="en-US" w:eastAsia="zh-CN"/>
        </w:rPr>
      </w:pPr>
    </w:p>
    <w:p w14:paraId="09C07C6B">
      <w:pPr>
        <w:rPr>
          <w:rFonts w:hint="eastAsia" w:ascii="宋体" w:hAnsi="宋体" w:eastAsia="宋体" w:cs="宋体"/>
          <w:color w:val="auto"/>
          <w:lang w:val="en-US" w:eastAsia="zh-CN"/>
        </w:rPr>
      </w:pPr>
    </w:p>
    <w:p w14:paraId="060AA4F3">
      <w:pPr>
        <w:rPr>
          <w:rFonts w:hint="eastAsia" w:ascii="宋体" w:hAnsi="宋体" w:eastAsia="宋体" w:cs="宋体"/>
          <w:color w:val="auto"/>
          <w:lang w:val="en-US" w:eastAsia="zh-CN"/>
        </w:rPr>
      </w:pPr>
    </w:p>
    <w:p w14:paraId="097D0D37">
      <w:pPr>
        <w:pStyle w:val="4"/>
        <w:bidi w:val="0"/>
        <w:ind w:left="0" w:leftChars="0" w:firstLine="0" w:firstLineChars="0"/>
        <w:rPr>
          <w:rFonts w:hint="eastAsia" w:ascii="宋体" w:hAnsi="宋体" w:eastAsia="宋体" w:cs="宋体"/>
          <w:b/>
          <w:bCs w:val="0"/>
          <w:color w:val="auto"/>
          <w:kern w:val="0"/>
          <w:highlight w:val="none"/>
          <w:lang w:val="en-US"/>
        </w:rPr>
      </w:pPr>
      <w:bookmarkStart w:id="69" w:name="_Toc7400"/>
      <w:bookmarkStart w:id="70" w:name="_Toc20448"/>
      <w:bookmarkStart w:id="71" w:name="_Toc8043"/>
      <w:r>
        <w:rPr>
          <w:rFonts w:hint="eastAsia" w:ascii="宋体" w:hAnsi="宋体" w:eastAsia="宋体" w:cs="宋体"/>
          <w:color w:val="auto"/>
          <w:lang w:val="en-US" w:eastAsia="zh-CN"/>
        </w:rPr>
        <w:t>格式八   项目经理任职声明</w:t>
      </w:r>
      <w:bookmarkEnd w:id="69"/>
      <w:bookmarkEnd w:id="70"/>
      <w:bookmarkEnd w:id="71"/>
    </w:p>
    <w:p w14:paraId="3971E9E9">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项目经理任职声明</w:t>
      </w:r>
    </w:p>
    <w:p w14:paraId="111AD5B9">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致：（招标人名称）：</w:t>
      </w:r>
    </w:p>
    <w:p w14:paraId="1B118EEC">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我方在此声明，我方拟派往</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（项目名称）的项目经理</w:t>
      </w:r>
      <w:r>
        <w:rPr>
          <w:rFonts w:hint="eastAsia" w:ascii="宋体" w:hAnsi="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（项目经理姓名）现阶段没有担任任何在施（包括已中标未开工、已开工未竣工、在项目开标时间仍在建筑市场监管平台被“锁定”无法报建的）建设工程项目的项目经理。</w:t>
      </w:r>
    </w:p>
    <w:p w14:paraId="7006ADE8">
      <w:pPr>
        <w:keepNext w:val="0"/>
        <w:keepLines w:val="0"/>
        <w:widowControl w:val="0"/>
        <w:suppressLineNumbers w:val="0"/>
        <w:wordWrap w:val="0"/>
        <w:spacing w:before="0" w:beforeAutospacing="0" w:after="0" w:afterAutospacing="0" w:line="440" w:lineRule="exact"/>
        <w:ind w:left="0" w:right="0" w:firstLine="48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我方保证上述信息的真实和准确，并愿意承担因我方就此弄虚作假所引起的一切法律后果。</w:t>
      </w:r>
    </w:p>
    <w:p w14:paraId="03430CD7">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 xml:space="preserve">  特此承诺  </w:t>
      </w:r>
    </w:p>
    <w:p w14:paraId="1ED07DC8">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p>
    <w:p w14:paraId="6DD8FCC0">
      <w:pPr>
        <w:keepNext w:val="0"/>
        <w:keepLines w:val="0"/>
        <w:widowControl w:val="0"/>
        <w:suppressLineNumbers w:val="0"/>
        <w:wordWrap w:val="0"/>
        <w:spacing w:before="0" w:beforeAutospacing="0" w:after="0" w:afterAutospacing="0" w:line="440" w:lineRule="exact"/>
        <w:ind w:left="0" w:right="0"/>
        <w:jc w:val="both"/>
        <w:outlineLvl w:val="9"/>
        <w:rPr>
          <w:rFonts w:hint="eastAsia" w:ascii="宋体" w:hAnsi="宋体" w:eastAsia="宋体" w:cs="宋体"/>
          <w:color w:val="auto"/>
          <w:kern w:val="0"/>
          <w:highlight w:val="none"/>
          <w:lang w:val="en-US"/>
        </w:rPr>
      </w:pPr>
    </w:p>
    <w:p w14:paraId="12EEA21F">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092F249E">
      <w:pPr>
        <w:rPr>
          <w:rFonts w:hint="eastAsia" w:ascii="宋体" w:hAnsi="宋体" w:eastAsia="宋体" w:cs="宋体"/>
          <w:color w:val="auto"/>
          <w:lang w:val="en-US"/>
        </w:rPr>
      </w:pPr>
    </w:p>
    <w:p w14:paraId="41C16FD2">
      <w:pPr>
        <w:keepNext w:val="0"/>
        <w:keepLines w:val="0"/>
        <w:widowControl w:val="0"/>
        <w:suppressLineNumbers w:val="0"/>
        <w:wordWrap w:val="0"/>
        <w:spacing w:before="0" w:beforeAutospacing="0" w:after="0" w:afterAutospacing="0" w:line="440" w:lineRule="exact"/>
        <w:ind w:left="0" w:right="0"/>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sz w:val="24"/>
          <w:szCs w:val="24"/>
          <w:highlight w:val="none"/>
          <w:lang w:val="en-US" w:eastAsia="zh-CN" w:bidi="ar"/>
        </w:rPr>
        <w:t>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4FA5C49B">
      <w:pPr>
        <w:rPr>
          <w:rFonts w:hint="eastAsia" w:ascii="宋体" w:hAnsi="宋体" w:eastAsia="宋体" w:cs="宋体"/>
          <w:color w:val="auto"/>
          <w:lang w:val="en-US"/>
        </w:rPr>
      </w:pPr>
    </w:p>
    <w:p w14:paraId="6ED7969E">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年  月   日</w:t>
      </w:r>
    </w:p>
    <w:p w14:paraId="4786E6A3">
      <w:pPr>
        <w:rPr>
          <w:rFonts w:hint="eastAsia" w:ascii="宋体" w:hAnsi="宋体" w:eastAsia="宋体" w:cs="宋体"/>
          <w:color w:val="auto"/>
          <w:lang w:val="en-US" w:eastAsia="zh-CN"/>
        </w:rPr>
      </w:pPr>
    </w:p>
    <w:p w14:paraId="4B9AF456">
      <w:pPr>
        <w:rPr>
          <w:rFonts w:hint="eastAsia" w:ascii="宋体" w:hAnsi="宋体" w:eastAsia="宋体" w:cs="宋体"/>
          <w:color w:val="auto"/>
          <w:lang w:val="en-US" w:eastAsia="zh-CN"/>
        </w:rPr>
      </w:pPr>
    </w:p>
    <w:p w14:paraId="583602CD">
      <w:pPr>
        <w:rPr>
          <w:rFonts w:hint="eastAsia" w:ascii="宋体" w:hAnsi="宋体" w:eastAsia="宋体" w:cs="宋体"/>
          <w:color w:val="auto"/>
          <w:lang w:val="en-US" w:eastAsia="zh-CN"/>
        </w:rPr>
      </w:pPr>
    </w:p>
    <w:p w14:paraId="37AB2C2E">
      <w:pPr>
        <w:rPr>
          <w:rFonts w:hint="eastAsia" w:ascii="宋体" w:hAnsi="宋体" w:eastAsia="宋体" w:cs="宋体"/>
          <w:color w:val="auto"/>
          <w:lang w:val="en-US" w:eastAsia="zh-CN"/>
        </w:rPr>
      </w:pPr>
    </w:p>
    <w:p w14:paraId="755FA165">
      <w:pPr>
        <w:rPr>
          <w:rFonts w:hint="eastAsia" w:ascii="宋体" w:hAnsi="宋体" w:eastAsia="宋体" w:cs="宋体"/>
          <w:color w:val="auto"/>
          <w:lang w:val="en-US" w:eastAsia="zh-CN"/>
        </w:rPr>
      </w:pPr>
    </w:p>
    <w:p w14:paraId="0FF9A845">
      <w:pPr>
        <w:rPr>
          <w:rFonts w:hint="eastAsia" w:ascii="宋体" w:hAnsi="宋体" w:eastAsia="宋体" w:cs="宋体"/>
          <w:color w:val="auto"/>
          <w:lang w:val="en-US" w:eastAsia="zh-CN"/>
        </w:rPr>
      </w:pPr>
    </w:p>
    <w:p w14:paraId="69E30FA6">
      <w:pPr>
        <w:rPr>
          <w:rFonts w:hint="eastAsia" w:ascii="宋体" w:hAnsi="宋体" w:eastAsia="宋体" w:cs="宋体"/>
          <w:color w:val="auto"/>
          <w:lang w:val="en-US" w:eastAsia="zh-CN"/>
        </w:rPr>
      </w:pPr>
    </w:p>
    <w:p w14:paraId="4CA1B89F">
      <w:pPr>
        <w:rPr>
          <w:rFonts w:hint="eastAsia" w:ascii="宋体" w:hAnsi="宋体" w:eastAsia="宋体" w:cs="宋体"/>
          <w:color w:val="auto"/>
          <w:lang w:val="en-US" w:eastAsia="zh-CN"/>
        </w:rPr>
      </w:pPr>
    </w:p>
    <w:p w14:paraId="26263A18">
      <w:pPr>
        <w:rPr>
          <w:rFonts w:hint="eastAsia" w:ascii="宋体" w:hAnsi="宋体" w:eastAsia="宋体" w:cs="宋体"/>
          <w:color w:val="auto"/>
          <w:lang w:val="en-US" w:eastAsia="zh-CN"/>
        </w:rPr>
      </w:pPr>
    </w:p>
    <w:p w14:paraId="1DE33082">
      <w:pPr>
        <w:rPr>
          <w:rFonts w:hint="eastAsia" w:ascii="宋体" w:hAnsi="宋体" w:eastAsia="宋体" w:cs="宋体"/>
          <w:color w:val="auto"/>
          <w:lang w:val="en-US" w:eastAsia="zh-CN"/>
        </w:rPr>
      </w:pPr>
    </w:p>
    <w:p w14:paraId="015B9A35">
      <w:pPr>
        <w:rPr>
          <w:rFonts w:hint="eastAsia" w:ascii="宋体" w:hAnsi="宋体" w:eastAsia="宋体" w:cs="宋体"/>
          <w:color w:val="auto"/>
          <w:lang w:val="en-US" w:eastAsia="zh-CN"/>
        </w:rPr>
      </w:pPr>
    </w:p>
    <w:p w14:paraId="092DB482">
      <w:pPr>
        <w:rPr>
          <w:rFonts w:hint="eastAsia" w:ascii="宋体" w:hAnsi="宋体" w:eastAsia="宋体" w:cs="宋体"/>
          <w:color w:val="auto"/>
          <w:lang w:val="en-US" w:eastAsia="zh-CN"/>
        </w:rPr>
      </w:pPr>
    </w:p>
    <w:p w14:paraId="475AFDFD">
      <w:pPr>
        <w:rPr>
          <w:rFonts w:hint="eastAsia" w:ascii="宋体" w:hAnsi="宋体" w:eastAsia="宋体" w:cs="宋体"/>
          <w:color w:val="auto"/>
          <w:lang w:val="en-US" w:eastAsia="zh-CN"/>
        </w:rPr>
      </w:pPr>
    </w:p>
    <w:p w14:paraId="187526C3">
      <w:pPr>
        <w:rPr>
          <w:rFonts w:hint="eastAsia" w:ascii="宋体" w:hAnsi="宋体" w:eastAsia="宋体" w:cs="宋体"/>
          <w:color w:val="auto"/>
          <w:lang w:val="en-US" w:eastAsia="zh-CN"/>
        </w:rPr>
      </w:pPr>
    </w:p>
    <w:p w14:paraId="7FD2E3D1">
      <w:pPr>
        <w:rPr>
          <w:rFonts w:hint="eastAsia" w:ascii="宋体" w:hAnsi="宋体" w:eastAsia="宋体" w:cs="宋体"/>
          <w:color w:val="auto"/>
          <w:lang w:val="en-US" w:eastAsia="zh-CN"/>
        </w:rPr>
      </w:pPr>
    </w:p>
    <w:p w14:paraId="36F5FCD0">
      <w:pPr>
        <w:rPr>
          <w:rFonts w:hint="eastAsia" w:ascii="宋体" w:hAnsi="宋体" w:eastAsia="宋体" w:cs="宋体"/>
          <w:color w:val="auto"/>
          <w:lang w:val="en-US" w:eastAsia="zh-CN"/>
        </w:rPr>
      </w:pPr>
    </w:p>
    <w:p w14:paraId="161B3737">
      <w:pPr>
        <w:rPr>
          <w:rFonts w:hint="eastAsia" w:ascii="宋体" w:hAnsi="宋体" w:eastAsia="宋体" w:cs="宋体"/>
          <w:color w:val="auto"/>
          <w:lang w:val="en-US" w:eastAsia="zh-CN"/>
        </w:rPr>
      </w:pPr>
    </w:p>
    <w:p w14:paraId="1FF1D1E5">
      <w:pPr>
        <w:rPr>
          <w:rFonts w:hint="eastAsia" w:ascii="宋体" w:hAnsi="宋体" w:eastAsia="宋体" w:cs="宋体"/>
          <w:color w:val="auto"/>
          <w:lang w:val="en-US" w:eastAsia="zh-CN"/>
        </w:rPr>
      </w:pPr>
    </w:p>
    <w:p w14:paraId="1CDE724E">
      <w:pPr>
        <w:rPr>
          <w:rFonts w:hint="eastAsia" w:ascii="宋体" w:hAnsi="宋体" w:eastAsia="宋体" w:cs="宋体"/>
          <w:color w:val="auto"/>
          <w:lang w:val="en-US" w:eastAsia="zh-CN"/>
        </w:rPr>
      </w:pPr>
    </w:p>
    <w:p w14:paraId="68259464">
      <w:pPr>
        <w:rPr>
          <w:rFonts w:hint="eastAsia" w:ascii="宋体" w:hAnsi="宋体" w:eastAsia="宋体" w:cs="宋体"/>
          <w:color w:val="auto"/>
          <w:lang w:val="en-US" w:eastAsia="zh-CN"/>
        </w:rPr>
      </w:pPr>
    </w:p>
    <w:p w14:paraId="176A91E8">
      <w:pPr>
        <w:rPr>
          <w:rFonts w:hint="eastAsia" w:ascii="宋体" w:hAnsi="宋体" w:eastAsia="宋体" w:cs="宋体"/>
          <w:color w:val="auto"/>
          <w:lang w:val="en-US" w:eastAsia="zh-CN"/>
        </w:rPr>
      </w:pPr>
    </w:p>
    <w:p w14:paraId="68D9C968">
      <w:pPr>
        <w:rPr>
          <w:rFonts w:hint="eastAsia" w:ascii="宋体" w:hAnsi="宋体" w:eastAsia="宋体" w:cs="宋体"/>
          <w:color w:val="auto"/>
          <w:lang w:val="en-US" w:eastAsia="zh-CN"/>
        </w:rPr>
      </w:pPr>
    </w:p>
    <w:p w14:paraId="3F57CBCA">
      <w:pPr>
        <w:rPr>
          <w:rFonts w:hint="eastAsia" w:ascii="宋体" w:hAnsi="宋体" w:eastAsia="宋体" w:cs="宋体"/>
          <w:color w:val="auto"/>
          <w:lang w:val="en-US" w:eastAsia="zh-CN"/>
        </w:rPr>
      </w:pPr>
    </w:p>
    <w:p w14:paraId="25AADA9E">
      <w:pPr>
        <w:pStyle w:val="4"/>
        <w:bidi w:val="0"/>
        <w:ind w:left="0" w:leftChars="0" w:firstLine="0" w:firstLineChars="0"/>
        <w:rPr>
          <w:rFonts w:hint="eastAsia" w:ascii="宋体" w:hAnsi="宋体" w:eastAsia="宋体" w:cs="宋体"/>
          <w:b/>
          <w:bCs/>
          <w:color w:val="auto"/>
          <w:kern w:val="0"/>
          <w:highlight w:val="none"/>
          <w:lang w:val="en-US"/>
        </w:rPr>
      </w:pPr>
      <w:bookmarkStart w:id="72" w:name="_Toc13137"/>
      <w:bookmarkStart w:id="73" w:name="_Toc26368"/>
      <w:bookmarkStart w:id="74" w:name="_Toc21116"/>
      <w:r>
        <w:rPr>
          <w:rFonts w:hint="eastAsia" w:ascii="宋体" w:hAnsi="宋体" w:eastAsia="宋体" w:cs="宋体"/>
          <w:color w:val="auto"/>
          <w:lang w:val="en-US" w:eastAsia="zh-CN"/>
        </w:rPr>
        <w:t>格式九   项目技术负责人简历表</w:t>
      </w:r>
      <w:bookmarkEnd w:id="72"/>
      <w:bookmarkEnd w:id="73"/>
      <w:bookmarkEnd w:id="74"/>
    </w:p>
    <w:tbl>
      <w:tblPr>
        <w:tblStyle w:val="21"/>
        <w:tblpPr w:leftFromText="180" w:rightFromText="180" w:vertAnchor="text" w:horzAnchor="page" w:tblpX="1528" w:tblpY="13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1155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5A80AE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   名</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00BE1D2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1837E4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  别</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8E84F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4E60B20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   龄</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0F889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15F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AEF92E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务</w:t>
            </w:r>
          </w:p>
        </w:tc>
        <w:tc>
          <w:tcPr>
            <w:tcW w:w="1232" w:type="dxa"/>
            <w:gridSpan w:val="2"/>
            <w:tcBorders>
              <w:top w:val="single" w:color="auto" w:sz="4" w:space="0"/>
              <w:left w:val="single" w:color="auto" w:sz="4" w:space="0"/>
              <w:bottom w:val="single" w:color="auto" w:sz="4" w:space="0"/>
              <w:right w:val="single" w:color="auto" w:sz="4" w:space="0"/>
            </w:tcBorders>
            <w:noWrap w:val="0"/>
            <w:vAlign w:val="center"/>
          </w:tcPr>
          <w:p w14:paraId="6856210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C78E7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  称</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10A658B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073824E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学   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BDE2C4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AA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07D367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参加工作时间</w:t>
            </w:r>
          </w:p>
        </w:tc>
        <w:tc>
          <w:tcPr>
            <w:tcW w:w="2526" w:type="dxa"/>
            <w:gridSpan w:val="3"/>
            <w:tcBorders>
              <w:top w:val="single" w:color="auto" w:sz="4" w:space="0"/>
              <w:left w:val="single" w:color="auto" w:sz="4" w:space="0"/>
              <w:bottom w:val="single" w:color="auto" w:sz="4" w:space="0"/>
              <w:right w:val="single" w:color="auto" w:sz="4" w:space="0"/>
            </w:tcBorders>
            <w:noWrap w:val="0"/>
            <w:vAlign w:val="center"/>
          </w:tcPr>
          <w:p w14:paraId="7D11E49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3679" w:type="dxa"/>
            <w:gridSpan w:val="3"/>
            <w:tcBorders>
              <w:top w:val="single" w:color="auto" w:sz="4" w:space="0"/>
              <w:left w:val="single" w:color="auto" w:sz="4" w:space="0"/>
              <w:bottom w:val="single" w:color="auto" w:sz="4" w:space="0"/>
              <w:right w:val="single" w:color="auto" w:sz="4" w:space="0"/>
            </w:tcBorders>
            <w:noWrap w:val="0"/>
            <w:vAlign w:val="center"/>
          </w:tcPr>
          <w:p w14:paraId="00F84C6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从事工程建设项目管理工作年限</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B63C9F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041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70" w:type="dxa"/>
            <w:gridSpan w:val="9"/>
            <w:tcBorders>
              <w:top w:val="single" w:color="auto" w:sz="4" w:space="0"/>
              <w:left w:val="single" w:color="auto" w:sz="4" w:space="0"/>
              <w:bottom w:val="single" w:color="auto" w:sz="4" w:space="0"/>
              <w:right w:val="single" w:color="auto" w:sz="4" w:space="0"/>
            </w:tcBorders>
            <w:noWrap w:val="0"/>
            <w:vAlign w:val="center"/>
          </w:tcPr>
          <w:p w14:paraId="6CCB7AD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以项目技术负责人身份参与过的主要业绩（已完工项目）</w:t>
            </w:r>
          </w:p>
        </w:tc>
      </w:tr>
      <w:tr w14:paraId="130B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559664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68393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项目名称</w:t>
            </w: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089B27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建设单位</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852330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建设内容和规模</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52B56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开、竣工日期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9C727C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质量等级</w:t>
            </w:r>
          </w:p>
        </w:tc>
      </w:tr>
      <w:tr w14:paraId="7285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6BA1A78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9E0FA9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62C7E6D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70691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DBCCF4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B2A674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ABA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3BEB8F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9B889B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4546FCF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A6A235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1BDD698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2644DCD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17351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B375A7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32725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71AB9D0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F5AF0A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08C2B96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0BE65B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166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5E7875E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E7336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53C1EF7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588A57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49A13F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49ED97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2F8C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tcBorders>
              <w:top w:val="single" w:color="auto" w:sz="4" w:space="0"/>
              <w:left w:val="single" w:color="auto" w:sz="4" w:space="0"/>
              <w:bottom w:val="single" w:color="auto" w:sz="4" w:space="0"/>
              <w:right w:val="single" w:color="auto" w:sz="4" w:space="0"/>
            </w:tcBorders>
            <w:noWrap w:val="0"/>
            <w:vAlign w:val="center"/>
          </w:tcPr>
          <w:p w14:paraId="2C9CDF6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008286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42" w:type="dxa"/>
            <w:gridSpan w:val="2"/>
            <w:tcBorders>
              <w:top w:val="single" w:color="auto" w:sz="4" w:space="0"/>
              <w:left w:val="single" w:color="auto" w:sz="4" w:space="0"/>
              <w:bottom w:val="single" w:color="auto" w:sz="4" w:space="0"/>
              <w:right w:val="single" w:color="auto" w:sz="4" w:space="0"/>
            </w:tcBorders>
            <w:noWrap w:val="0"/>
            <w:vAlign w:val="center"/>
          </w:tcPr>
          <w:p w14:paraId="10CB1E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7D0D76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E0FD47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3AA3F1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2A5C44FF">
      <w:pPr>
        <w:keepNext w:val="0"/>
        <w:keepLines w:val="0"/>
        <w:widowControl w:val="0"/>
        <w:suppressLineNumbers w:val="0"/>
        <w:wordWrap w:val="0"/>
        <w:spacing w:before="0" w:beforeAutospacing="0" w:after="0" w:afterAutospacing="0" w:line="440" w:lineRule="exact"/>
        <w:ind w:left="0" w:right="0"/>
        <w:jc w:val="center"/>
        <w:outlineLvl w:val="9"/>
        <w:rPr>
          <w:rFonts w:hint="eastAsia" w:ascii="宋体" w:hAnsi="宋体" w:eastAsia="宋体" w:cs="宋体"/>
          <w:b/>
          <w:bCs/>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项目技术负责人简历表</w:t>
      </w:r>
    </w:p>
    <w:p w14:paraId="70803F74">
      <w:pPr>
        <w:keepNext w:val="0"/>
        <w:keepLines w:val="0"/>
        <w:widowControl w:val="0"/>
        <w:suppressLineNumbers w:val="0"/>
        <w:wordWrap w:val="0"/>
        <w:spacing w:before="0" w:beforeAutospacing="0" w:after="0" w:afterAutospacing="0" w:line="440" w:lineRule="exact"/>
        <w:ind w:right="0"/>
        <w:jc w:val="both"/>
        <w:outlineLvl w:val="9"/>
        <w:rPr>
          <w:rFonts w:hint="eastAsia" w:ascii="宋体" w:hAnsi="宋体" w:eastAsia="宋体" w:cs="宋体"/>
          <w:color w:val="auto"/>
          <w:kern w:val="0"/>
          <w:highlight w:val="none"/>
          <w:lang w:val="en-US"/>
        </w:rPr>
      </w:pPr>
    </w:p>
    <w:p w14:paraId="13B06CFB">
      <w:pPr>
        <w:pStyle w:val="40"/>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p>
    <w:p w14:paraId="4BC153CA">
      <w:pPr>
        <w:rPr>
          <w:rFonts w:hint="eastAsia" w:ascii="宋体" w:hAnsi="宋体" w:eastAsia="宋体" w:cs="宋体"/>
          <w:color w:val="auto"/>
          <w:lang w:eastAsia="zh-CN"/>
        </w:rPr>
      </w:pPr>
    </w:p>
    <w:p w14:paraId="1E8E09F1">
      <w:pPr>
        <w:rPr>
          <w:rFonts w:hint="eastAsia" w:ascii="宋体" w:hAnsi="宋体" w:eastAsia="宋体" w:cs="宋体"/>
          <w:color w:val="auto"/>
          <w:lang w:eastAsia="zh-CN"/>
        </w:rPr>
      </w:pPr>
    </w:p>
    <w:p w14:paraId="4AA7D1A2">
      <w:pPr>
        <w:pStyle w:val="40"/>
        <w:widowControl/>
        <w:wordWrap w:val="0"/>
        <w:spacing w:line="440" w:lineRule="exact"/>
        <w:jc w:val="right"/>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eastAsia="zh-CN"/>
        </w:rPr>
        <w:t>项目技术负责人：</w:t>
      </w:r>
      <w:r>
        <w:rPr>
          <w:rFonts w:hint="eastAsia" w:ascii="宋体" w:hAnsi="宋体" w:eastAsia="宋体" w:cs="宋体"/>
          <w:color w:val="auto"/>
          <w:kern w:val="0"/>
          <w:highlight w:val="none"/>
          <w:u w:val="single"/>
          <w:lang w:val="en-US"/>
        </w:rPr>
        <w:t xml:space="preserve">         </w:t>
      </w:r>
      <w:r>
        <w:rPr>
          <w:rFonts w:hint="eastAsia" w:ascii="宋体" w:hAnsi="宋体" w:eastAsia="宋体" w:cs="宋体"/>
          <w:color w:val="auto"/>
          <w:kern w:val="0"/>
          <w:highlight w:val="none"/>
          <w:lang w:eastAsia="zh-CN"/>
        </w:rPr>
        <w:t>（签字）</w:t>
      </w:r>
    </w:p>
    <w:p w14:paraId="77A87A7C">
      <w:pPr>
        <w:rPr>
          <w:rFonts w:hint="eastAsia" w:ascii="宋体" w:hAnsi="宋体" w:eastAsia="宋体" w:cs="宋体"/>
          <w:color w:val="auto"/>
          <w:lang w:val="en-US"/>
        </w:rPr>
      </w:pPr>
      <w:r>
        <w:rPr>
          <w:rFonts w:hint="eastAsia" w:ascii="宋体" w:hAnsi="宋体" w:eastAsia="宋体" w:cs="宋体"/>
          <w:color w:val="auto"/>
          <w:lang w:val="en-US"/>
        </w:rPr>
        <w:t xml:space="preserve"> </w:t>
      </w:r>
    </w:p>
    <w:p w14:paraId="3591334C">
      <w:pPr>
        <w:pStyle w:val="40"/>
        <w:widowControl/>
        <w:wordWrap w:val="0"/>
        <w:spacing w:line="440" w:lineRule="exact"/>
        <w:jc w:val="center"/>
        <w:outlineLvl w:val="9"/>
        <w:rPr>
          <w:rFonts w:hint="eastAsia" w:ascii="宋体" w:hAnsi="宋体" w:eastAsia="宋体" w:cs="宋体"/>
          <w:color w:val="auto"/>
          <w:kern w:val="0"/>
          <w:highlight w:val="none"/>
          <w:lang w:val="en-US"/>
        </w:rPr>
      </w:pP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年</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月</w:t>
      </w:r>
      <w:r>
        <w:rPr>
          <w:rFonts w:hint="eastAsia" w:ascii="宋体" w:hAnsi="宋体" w:eastAsia="宋体" w:cs="宋体"/>
          <w:color w:val="auto"/>
          <w:kern w:val="0"/>
          <w:highlight w:val="none"/>
          <w:lang w:val="en-US"/>
        </w:rPr>
        <w:t xml:space="preserve">   </w:t>
      </w:r>
      <w:r>
        <w:rPr>
          <w:rFonts w:hint="eastAsia" w:ascii="宋体" w:hAnsi="宋体" w:eastAsia="宋体" w:cs="宋体"/>
          <w:color w:val="auto"/>
          <w:kern w:val="0"/>
          <w:highlight w:val="none"/>
          <w:lang w:eastAsia="zh-CN"/>
        </w:rPr>
        <w:t>日</w:t>
      </w:r>
    </w:p>
    <w:p w14:paraId="3652B6D9">
      <w:pPr>
        <w:rPr>
          <w:rFonts w:hint="eastAsia" w:ascii="宋体" w:hAnsi="宋体" w:eastAsia="宋体" w:cs="宋体"/>
          <w:color w:val="auto"/>
          <w:lang w:val="en-US"/>
        </w:rPr>
      </w:pPr>
      <w:r>
        <w:rPr>
          <w:rFonts w:hint="eastAsia" w:ascii="宋体" w:hAnsi="宋体" w:eastAsia="宋体" w:cs="宋体"/>
          <w:color w:val="auto"/>
          <w:lang w:val="en-US" w:eastAsia="zh-CN"/>
        </w:rPr>
        <w:t xml:space="preserve"> </w:t>
      </w:r>
    </w:p>
    <w:p w14:paraId="18956059">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说明：《项目技术负责人简历表》后应附拟派项目技术负责人以下资料：</w:t>
      </w:r>
    </w:p>
    <w:p w14:paraId="08538B93">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06B77C09">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2．职称证彩色扫描件；</w:t>
      </w:r>
    </w:p>
    <w:p w14:paraId="41F80FD8">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3．在本单位缴纳社保的证明</w:t>
      </w:r>
      <w:r>
        <w:rPr>
          <w:rFonts w:hint="eastAsia" w:ascii="宋体" w:hAnsi="宋体" w:cs="宋体"/>
          <w:color w:val="auto"/>
          <w:kern w:val="0"/>
          <w:sz w:val="21"/>
          <w:szCs w:val="21"/>
          <w:highlight w:val="none"/>
          <w:lang w:val="en-US" w:eastAsia="zh-CN" w:bidi="ar"/>
        </w:rPr>
        <w:t>（至少1个月，其中必须有2026年4月）</w:t>
      </w:r>
      <w:r>
        <w:rPr>
          <w:rFonts w:hint="eastAsia" w:ascii="宋体" w:hAnsi="宋体" w:eastAsia="宋体" w:cs="宋体"/>
          <w:color w:val="auto"/>
          <w:kern w:val="0"/>
          <w:sz w:val="21"/>
          <w:szCs w:val="21"/>
          <w:highlight w:val="none"/>
          <w:lang w:val="en-US" w:eastAsia="zh-CN" w:bidi="ar"/>
        </w:rPr>
        <w:t>彩色扫描件。拟派项目技术负责人为退休返聘人员无法提供社保证明的，提供退休证和劳动合同</w:t>
      </w:r>
      <w:r>
        <w:rPr>
          <w:rFonts w:hint="eastAsia" w:ascii="宋体" w:hAnsi="宋体" w:eastAsia="宋体" w:cs="宋体"/>
          <w:b w:val="0"/>
          <w:bCs w:val="0"/>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6F7387BE">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4．“进粤企业和人员诚信信息登记平台”个人信息情况截图。（适用于省外建筑企业）</w:t>
      </w:r>
    </w:p>
    <w:p w14:paraId="4F911B8B">
      <w:pPr>
        <w:rPr>
          <w:rFonts w:hint="eastAsia" w:ascii="宋体" w:hAnsi="宋体" w:eastAsia="宋体" w:cs="宋体"/>
          <w:color w:val="auto"/>
          <w:lang w:val="en-US" w:eastAsia="zh-CN"/>
        </w:rPr>
      </w:pPr>
    </w:p>
    <w:p w14:paraId="08014EBB">
      <w:pPr>
        <w:rPr>
          <w:rFonts w:hint="eastAsia" w:ascii="宋体" w:hAnsi="宋体" w:eastAsia="宋体" w:cs="宋体"/>
          <w:color w:val="auto"/>
          <w:lang w:val="en-US" w:eastAsia="zh-CN"/>
        </w:rPr>
      </w:pPr>
    </w:p>
    <w:p w14:paraId="44EF7A5C">
      <w:pPr>
        <w:rPr>
          <w:rFonts w:hint="eastAsia" w:ascii="宋体" w:hAnsi="宋体" w:eastAsia="宋体" w:cs="宋体"/>
          <w:color w:val="auto"/>
          <w:lang w:val="en-US" w:eastAsia="zh-CN"/>
        </w:rPr>
      </w:pPr>
    </w:p>
    <w:p w14:paraId="2FC064DF">
      <w:pPr>
        <w:rPr>
          <w:rFonts w:hint="eastAsia" w:ascii="宋体" w:hAnsi="宋体" w:eastAsia="宋体" w:cs="宋体"/>
          <w:color w:val="auto"/>
          <w:lang w:val="en-US" w:eastAsia="zh-CN"/>
        </w:rPr>
      </w:pPr>
    </w:p>
    <w:p w14:paraId="702C5DDB">
      <w:pPr>
        <w:rPr>
          <w:rFonts w:hint="eastAsia" w:ascii="宋体" w:hAnsi="宋体" w:eastAsia="宋体" w:cs="宋体"/>
          <w:color w:val="auto"/>
          <w:lang w:val="en-US" w:eastAsia="zh-CN"/>
        </w:rPr>
      </w:pPr>
    </w:p>
    <w:p w14:paraId="7138B26D">
      <w:pPr>
        <w:rPr>
          <w:rFonts w:hint="eastAsia" w:ascii="宋体" w:hAnsi="宋体" w:eastAsia="宋体" w:cs="宋体"/>
          <w:color w:val="auto"/>
          <w:lang w:val="en-US" w:eastAsia="zh-CN"/>
        </w:rPr>
      </w:pPr>
    </w:p>
    <w:p w14:paraId="39CC0543">
      <w:pPr>
        <w:rPr>
          <w:rFonts w:hint="eastAsia" w:ascii="宋体" w:hAnsi="宋体" w:eastAsia="宋体" w:cs="宋体"/>
          <w:color w:val="auto"/>
          <w:lang w:val="en-US" w:eastAsia="zh-CN"/>
        </w:rPr>
      </w:pPr>
    </w:p>
    <w:p w14:paraId="4EC7C3DC">
      <w:pPr>
        <w:pStyle w:val="4"/>
        <w:bidi w:val="0"/>
        <w:ind w:left="0" w:leftChars="0" w:firstLine="0" w:firstLineChars="0"/>
        <w:rPr>
          <w:rFonts w:hint="eastAsia" w:ascii="宋体" w:hAnsi="宋体" w:eastAsia="宋体" w:cs="宋体"/>
          <w:color w:val="auto"/>
          <w:highlight w:val="none"/>
        </w:rPr>
      </w:pPr>
      <w:bookmarkStart w:id="75" w:name="_Toc200338098"/>
      <w:bookmarkEnd w:id="75"/>
      <w:bookmarkStart w:id="76" w:name="_Toc12949"/>
      <w:bookmarkStart w:id="77" w:name="_Toc21395"/>
      <w:bookmarkStart w:id="78" w:name="_Toc17996"/>
      <w:bookmarkStart w:id="79" w:name="_Toc28470"/>
      <w:bookmarkStart w:id="80" w:name="_Toc8264"/>
      <w:bookmarkStart w:id="81" w:name="_Toc11997"/>
      <w:bookmarkStart w:id="82" w:name="_Toc23363"/>
      <w:r>
        <w:rPr>
          <w:rFonts w:hint="eastAsia" w:ascii="宋体" w:hAnsi="宋体" w:eastAsia="宋体" w:cs="宋体"/>
          <w:color w:val="auto"/>
          <w:lang w:val="en-US" w:eastAsia="zh-CN"/>
        </w:rPr>
        <w:t>格式十   专职安全员简历表</w:t>
      </w:r>
      <w:bookmarkEnd w:id="76"/>
      <w:bookmarkEnd w:id="77"/>
      <w:bookmarkEnd w:id="78"/>
      <w:bookmarkEnd w:id="79"/>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6F193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2C34570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638842B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268A924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47AC6EE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63A3D7F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2372CC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7D15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554AFE1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0"/>
            <w:vAlign w:val="center"/>
          </w:tcPr>
          <w:p w14:paraId="173B138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0"/>
            <w:vAlign w:val="center"/>
          </w:tcPr>
          <w:p w14:paraId="305018F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0"/>
            <w:vAlign w:val="center"/>
          </w:tcPr>
          <w:p w14:paraId="00C99A8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0"/>
            <w:vAlign w:val="center"/>
          </w:tcPr>
          <w:p w14:paraId="160DEB2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31AD9CB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602A9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0"/>
            <w:vAlign w:val="center"/>
          </w:tcPr>
          <w:p w14:paraId="39AE9BD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0"/>
            <w:vAlign w:val="center"/>
          </w:tcPr>
          <w:p w14:paraId="15EFE4C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0"/>
            <w:vAlign w:val="center"/>
          </w:tcPr>
          <w:p w14:paraId="07D2C9D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65CD9D8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2400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0"/>
            <w:vAlign w:val="center"/>
          </w:tcPr>
          <w:p w14:paraId="6C170E3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以专职安全员身份参与过的主要业绩（已完工项目）</w:t>
            </w:r>
          </w:p>
        </w:tc>
      </w:tr>
      <w:tr w14:paraId="34BB8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57E281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78286A0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E39695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C19111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6A43F8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0"/>
            <w:vAlign w:val="center"/>
          </w:tcPr>
          <w:p w14:paraId="27521D4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质量等级</w:t>
            </w:r>
          </w:p>
        </w:tc>
      </w:tr>
      <w:tr w14:paraId="5F193D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687D127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9279CB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96F8FD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B2C7DE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3B3460F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1322F6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5245B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3256C1A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3BA3B45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82E71B2">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72FC4B1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5E7004A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4BCCA6E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26F04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0D49A40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58DE3E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252B955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44B0947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46611B5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730D4D5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0C846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1896473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4C8D095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0A974FB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6385716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B802CA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5997ECC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r w14:paraId="31050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0"/>
            <w:vAlign w:val="center"/>
          </w:tcPr>
          <w:p w14:paraId="7813EBC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0"/>
            <w:vAlign w:val="center"/>
          </w:tcPr>
          <w:p w14:paraId="1D78696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0"/>
            <w:vAlign w:val="center"/>
          </w:tcPr>
          <w:p w14:paraId="679703B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0"/>
            <w:vAlign w:val="center"/>
          </w:tcPr>
          <w:p w14:paraId="5A8252F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0"/>
            <w:vAlign w:val="center"/>
          </w:tcPr>
          <w:p w14:paraId="76C5460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0"/>
            <w:vAlign w:val="center"/>
          </w:tcPr>
          <w:p w14:paraId="1A5D254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p>
        </w:tc>
      </w:tr>
    </w:tbl>
    <w:p w14:paraId="0EFDF962">
      <w:pPr>
        <w:wordWrap w:val="0"/>
        <w:adjustRightInd w:val="0"/>
        <w:snapToGrid w:val="0"/>
        <w:spacing w:line="440" w:lineRule="exact"/>
        <w:jc w:val="center"/>
        <w:rPr>
          <w:rFonts w:hint="eastAsia" w:ascii="宋体" w:hAnsi="宋体" w:eastAsia="宋体" w:cs="宋体"/>
          <w:b/>
          <w:bCs/>
          <w:snapToGrid w:val="0"/>
          <w:color w:val="auto"/>
          <w:kern w:val="0"/>
          <w:szCs w:val="24"/>
          <w:highlight w:val="none"/>
        </w:rPr>
      </w:pPr>
      <w:r>
        <w:rPr>
          <w:rFonts w:hint="eastAsia" w:ascii="宋体" w:hAnsi="宋体" w:eastAsia="宋体" w:cs="宋体"/>
          <w:b/>
          <w:snapToGrid w:val="0"/>
          <w:color w:val="auto"/>
          <w:kern w:val="0"/>
          <w:sz w:val="30"/>
          <w:highlight w:val="none"/>
        </w:rPr>
        <w:t>专职安全员简历表</w:t>
      </w:r>
    </w:p>
    <w:p w14:paraId="06B17600">
      <w:pPr>
        <w:rPr>
          <w:rFonts w:hint="eastAsia" w:ascii="宋体" w:hAnsi="宋体" w:eastAsia="宋体" w:cs="宋体"/>
          <w:color w:val="auto"/>
        </w:rPr>
      </w:pPr>
    </w:p>
    <w:p w14:paraId="63DF84C4">
      <w:pPr>
        <w:rPr>
          <w:rFonts w:hint="eastAsia" w:ascii="宋体" w:hAnsi="宋体" w:eastAsia="宋体" w:cs="宋体"/>
          <w:color w:val="auto"/>
        </w:rPr>
      </w:pPr>
    </w:p>
    <w:p w14:paraId="650615DC">
      <w:pPr>
        <w:wordWrap w:val="0"/>
        <w:adjustRightInd w:val="0"/>
        <w:snapToGrid w:val="0"/>
        <w:spacing w:line="440" w:lineRule="exact"/>
        <w:jc w:val="righ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专职安全员：</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（签字）</w:t>
      </w:r>
    </w:p>
    <w:p w14:paraId="69A41910">
      <w:pPr>
        <w:rPr>
          <w:rFonts w:hint="eastAsia" w:ascii="宋体" w:hAnsi="宋体" w:eastAsia="宋体" w:cs="宋体"/>
          <w:color w:val="auto"/>
        </w:rPr>
      </w:pPr>
    </w:p>
    <w:p w14:paraId="73C35DD3">
      <w:pPr>
        <w:wordWrap w:val="0"/>
        <w:adjustRightInd w:val="0"/>
        <w:snapToGrid w:val="0"/>
        <w:spacing w:line="440" w:lineRule="exact"/>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lang w:val="en-US" w:eastAsia="zh-CN"/>
        </w:rPr>
        <w:t xml:space="preserve">                  </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年</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月</w:t>
      </w:r>
      <w:r>
        <w:rPr>
          <w:rFonts w:hint="eastAsia" w:ascii="宋体" w:hAnsi="宋体" w:eastAsia="宋体" w:cs="宋体"/>
          <w:snapToGrid w:val="0"/>
          <w:color w:val="auto"/>
          <w:kern w:val="0"/>
          <w:highlight w:val="none"/>
          <w:u w:val="single"/>
        </w:rPr>
        <w:t xml:space="preserve">     </w:t>
      </w:r>
      <w:r>
        <w:rPr>
          <w:rFonts w:hint="eastAsia" w:ascii="宋体" w:hAnsi="宋体" w:eastAsia="宋体" w:cs="宋体"/>
          <w:snapToGrid w:val="0"/>
          <w:color w:val="auto"/>
          <w:kern w:val="0"/>
          <w:highlight w:val="none"/>
        </w:rPr>
        <w:t>日</w:t>
      </w:r>
    </w:p>
    <w:p w14:paraId="6BD2EC36">
      <w:pPr>
        <w:rPr>
          <w:rFonts w:hint="eastAsia" w:ascii="宋体" w:hAnsi="宋体" w:eastAsia="宋体" w:cs="宋体"/>
          <w:color w:val="auto"/>
        </w:rPr>
      </w:pPr>
    </w:p>
    <w:p w14:paraId="515EB81B">
      <w:pPr>
        <w:rPr>
          <w:rFonts w:hint="eastAsia" w:ascii="宋体" w:hAnsi="宋体" w:eastAsia="宋体" w:cs="宋体"/>
          <w:color w:val="auto"/>
          <w:lang w:val="en-US"/>
        </w:rPr>
      </w:pPr>
    </w:p>
    <w:p w14:paraId="7B711828">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说明：《专职安全员简历表》后应附拟派项目专职安全员以下资料：</w:t>
      </w:r>
    </w:p>
    <w:p w14:paraId="582AFAD6">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 xml:space="preserve">    1．身份证彩色扫描件；</w:t>
      </w:r>
    </w:p>
    <w:p w14:paraId="70864089">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 xml:space="preserve">    2．C类安全生产考核合格证书彩色扫描件或“广东省建筑施工企业管理人员安全生产考核信息系统”考核合格信息彩色扫描件；</w:t>
      </w:r>
    </w:p>
    <w:p w14:paraId="1E841860">
      <w:pPr>
        <w:keepNext w:val="0"/>
        <w:keepLines w:val="0"/>
        <w:widowControl w:val="0"/>
        <w:suppressLineNumbers w:val="0"/>
        <w:wordWrap w:val="0"/>
        <w:spacing w:before="0" w:beforeAutospacing="0" w:after="0" w:afterAutospacing="0" w:line="400" w:lineRule="exact"/>
        <w:ind w:left="0" w:right="0" w:firstLine="630" w:firstLineChars="300"/>
        <w:jc w:val="both"/>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rPr>
        <w:t>3．</w:t>
      </w:r>
      <w:r>
        <w:rPr>
          <w:rFonts w:hint="eastAsia" w:ascii="宋体" w:hAnsi="宋体" w:eastAsia="宋体" w:cs="宋体"/>
          <w:color w:val="auto"/>
          <w:kern w:val="0"/>
          <w:sz w:val="21"/>
          <w:szCs w:val="21"/>
          <w:highlight w:val="none"/>
          <w:lang w:val="en-US" w:eastAsia="zh-CN"/>
        </w:rPr>
        <w:t>在本单位缴纳社保的证明</w:t>
      </w:r>
      <w:r>
        <w:rPr>
          <w:rFonts w:hint="eastAsia" w:ascii="宋体" w:hAnsi="宋体" w:cs="宋体"/>
          <w:color w:val="auto"/>
          <w:kern w:val="0"/>
          <w:sz w:val="21"/>
          <w:szCs w:val="21"/>
          <w:highlight w:val="none"/>
          <w:lang w:val="en-US" w:eastAsia="zh-CN"/>
        </w:rPr>
        <w:t>（至少1个月，其中必须有2026年4月）</w:t>
      </w:r>
      <w:r>
        <w:rPr>
          <w:rFonts w:hint="eastAsia" w:ascii="宋体" w:hAnsi="宋体" w:eastAsia="宋体" w:cs="宋体"/>
          <w:color w:val="auto"/>
          <w:kern w:val="0"/>
          <w:sz w:val="21"/>
          <w:szCs w:val="21"/>
          <w:highlight w:val="none"/>
          <w:lang w:val="en-US" w:eastAsia="zh-CN"/>
        </w:rPr>
        <w:t>彩色扫描件。拟派项目技术负责人为退休返聘人员无法提供社保证明的，提供退休证和劳动合同（返聘协议）彩色扫描件。</w:t>
      </w:r>
    </w:p>
    <w:p w14:paraId="196BA109">
      <w:pPr>
        <w:keepNext w:val="0"/>
        <w:keepLines w:val="0"/>
        <w:widowControl w:val="0"/>
        <w:suppressLineNumbers w:val="0"/>
        <w:wordWrap w:val="0"/>
        <w:spacing w:before="0" w:beforeAutospacing="0" w:after="0" w:afterAutospacing="0" w:line="400" w:lineRule="exact"/>
        <w:ind w:left="0" w:right="0" w:firstLine="630" w:firstLineChars="3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4．“进粤企业和人员诚信信息登记平台”个人信息情况截图。（适用于省外建筑企业）</w:t>
      </w:r>
    </w:p>
    <w:p w14:paraId="6AFB6A37">
      <w:pPr>
        <w:rPr>
          <w:rFonts w:hint="eastAsia" w:ascii="宋体" w:hAnsi="宋体" w:eastAsia="宋体" w:cs="宋体"/>
          <w:color w:val="auto"/>
          <w:lang w:val="en-US" w:eastAsia="zh-CN"/>
        </w:rPr>
      </w:pPr>
    </w:p>
    <w:p w14:paraId="637C1E4A">
      <w:pPr>
        <w:rPr>
          <w:rFonts w:hint="eastAsia" w:ascii="宋体" w:hAnsi="宋体" w:eastAsia="宋体" w:cs="宋体"/>
          <w:color w:val="auto"/>
          <w:lang w:val="en-US" w:eastAsia="zh-CN"/>
        </w:rPr>
      </w:pPr>
    </w:p>
    <w:p w14:paraId="15BE0200">
      <w:pPr>
        <w:rPr>
          <w:rFonts w:hint="eastAsia" w:ascii="宋体" w:hAnsi="宋体" w:eastAsia="宋体" w:cs="宋体"/>
          <w:color w:val="auto"/>
          <w:lang w:val="en-US" w:eastAsia="zh-CN"/>
        </w:rPr>
      </w:pPr>
    </w:p>
    <w:p w14:paraId="4D86B271">
      <w:pPr>
        <w:rPr>
          <w:rFonts w:hint="eastAsia" w:ascii="宋体" w:hAnsi="宋体" w:eastAsia="宋体" w:cs="宋体"/>
          <w:color w:val="auto"/>
          <w:lang w:val="en-US" w:eastAsia="zh-CN"/>
        </w:rPr>
      </w:pPr>
    </w:p>
    <w:p w14:paraId="33F23831">
      <w:pPr>
        <w:rPr>
          <w:rFonts w:hint="eastAsia" w:ascii="宋体" w:hAnsi="宋体" w:eastAsia="宋体" w:cs="宋体"/>
          <w:color w:val="auto"/>
          <w:lang w:val="en-US" w:eastAsia="zh-CN"/>
        </w:rPr>
      </w:pPr>
    </w:p>
    <w:p w14:paraId="077DC89A">
      <w:pPr>
        <w:rPr>
          <w:rFonts w:hint="eastAsia" w:ascii="宋体" w:hAnsi="宋体" w:eastAsia="宋体" w:cs="宋体"/>
          <w:color w:val="auto"/>
          <w:lang w:val="en-US" w:eastAsia="zh-CN"/>
        </w:rPr>
      </w:pPr>
    </w:p>
    <w:p w14:paraId="0A450E92">
      <w:pPr>
        <w:rPr>
          <w:rFonts w:hint="eastAsia" w:ascii="宋体" w:hAnsi="宋体" w:eastAsia="宋体" w:cs="宋体"/>
          <w:color w:val="auto"/>
          <w:lang w:val="en-US" w:eastAsia="zh-CN"/>
        </w:rPr>
      </w:pPr>
    </w:p>
    <w:p w14:paraId="7575C7F5">
      <w:pPr>
        <w:pStyle w:val="4"/>
        <w:bidi w:val="0"/>
        <w:ind w:left="0" w:leftChars="0" w:firstLine="0" w:firstLineChars="0"/>
        <w:rPr>
          <w:rFonts w:hint="eastAsia" w:ascii="宋体" w:hAnsi="宋体" w:eastAsia="宋体" w:cs="宋体"/>
          <w:b/>
          <w:bCs/>
          <w:color w:val="auto"/>
          <w:kern w:val="0"/>
          <w:highlight w:val="none"/>
          <w:lang w:val="en-US"/>
        </w:rPr>
      </w:pPr>
      <w:bookmarkStart w:id="83" w:name="_Toc27763"/>
      <w:bookmarkStart w:id="84" w:name="_Toc1879"/>
      <w:r>
        <w:rPr>
          <w:rFonts w:hint="eastAsia" w:ascii="宋体" w:hAnsi="宋体" w:eastAsia="宋体" w:cs="宋体"/>
          <w:color w:val="auto"/>
          <w:lang w:val="en-US" w:eastAsia="zh-CN"/>
        </w:rPr>
        <w:t>格式</w:t>
      </w:r>
      <w:bookmarkEnd w:id="80"/>
      <w:bookmarkStart w:id="85" w:name="_Hlt287950384"/>
      <w:bookmarkEnd w:id="85"/>
      <w:r>
        <w:rPr>
          <w:rFonts w:hint="eastAsia" w:ascii="宋体" w:hAnsi="宋体" w:eastAsia="宋体" w:cs="宋体"/>
          <w:color w:val="auto"/>
          <w:lang w:val="en-US" w:eastAsia="zh-CN"/>
        </w:rPr>
        <w:t>十一   项目管理机构组成表</w:t>
      </w:r>
      <w:bookmarkEnd w:id="81"/>
      <w:bookmarkEnd w:id="83"/>
      <w:bookmarkEnd w:id="84"/>
    </w:p>
    <w:p w14:paraId="13F4C680">
      <w:pPr>
        <w:keepNext w:val="0"/>
        <w:keepLines w:val="0"/>
        <w:widowControl w:val="0"/>
        <w:suppressLineNumbers w:val="0"/>
        <w:wordWrap w:val="0"/>
        <w:spacing w:before="260" w:beforeAutospacing="0" w:after="260" w:afterAutospacing="0" w:line="440" w:lineRule="exact"/>
        <w:ind w:left="0" w:right="0"/>
        <w:jc w:val="center"/>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30"/>
          <w:szCs w:val="30"/>
          <w:highlight w:val="none"/>
          <w:lang w:val="en-US" w:eastAsia="zh-CN" w:bidi="ar"/>
        </w:rPr>
        <w:t>项目管理机构组成表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800"/>
        <w:gridCol w:w="1455"/>
        <w:gridCol w:w="945"/>
        <w:gridCol w:w="930"/>
        <w:gridCol w:w="1440"/>
        <w:gridCol w:w="1783"/>
      </w:tblGrid>
      <w:tr w14:paraId="77F6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7D1EF77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1E381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岗位</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647DF6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姓名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02D82F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性别</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128A45C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年龄</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0D38A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职称</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29F295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备注</w:t>
            </w:r>
          </w:p>
        </w:tc>
      </w:tr>
      <w:tr w14:paraId="25D1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4FEAF8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ABC14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项目经理</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8E4078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F52D7D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DE236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B76B2B">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CB013C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459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49825C5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56B64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项目技术负责人</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7A34E6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5A090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6C5E83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84D5FE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770C26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28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023A3B2">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3</w:t>
            </w:r>
          </w:p>
        </w:tc>
        <w:tc>
          <w:tcPr>
            <w:tcW w:w="1800" w:type="dxa"/>
            <w:tcBorders>
              <w:top w:val="single" w:color="auto" w:sz="4" w:space="0"/>
              <w:left w:val="single" w:color="auto" w:sz="4" w:space="0"/>
              <w:right w:val="single" w:color="auto" w:sz="4" w:space="0"/>
            </w:tcBorders>
            <w:noWrap w:val="0"/>
            <w:vAlign w:val="center"/>
          </w:tcPr>
          <w:p w14:paraId="194F16C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专职安全员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C96A3A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9787A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81C47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372396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E494C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7C35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59210E1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4FE202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施工员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0C2B46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B21FD24">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D08F32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DF0FDD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9CCEDB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2C4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EA9F6E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12BD1FE">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质量员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E73BB1C">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EB9CA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6BBE86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00676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DBBB87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6CAA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02BEAEE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A34785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材料员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E1E1EF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4DBE0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9F7EE9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763AAA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25ADD3A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5A67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1FF4DBEA">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29A8ADD">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资料员</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599B08E7">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38FAC9">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06FD09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E4B1ED8">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71C759B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r w14:paraId="347B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85" w:type="dxa"/>
            <w:tcBorders>
              <w:top w:val="single" w:color="auto" w:sz="4" w:space="0"/>
              <w:left w:val="single" w:color="auto" w:sz="4" w:space="0"/>
              <w:bottom w:val="single" w:color="auto" w:sz="4" w:space="0"/>
              <w:right w:val="single" w:color="auto" w:sz="4" w:space="0"/>
            </w:tcBorders>
            <w:noWrap w:val="0"/>
            <w:vAlign w:val="center"/>
          </w:tcPr>
          <w:p w14:paraId="3B46A3AF">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A8D953">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14:paraId="7E30EB05">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EA2790">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CCA04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0B27F51">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30B3AB96">
            <w:pPr>
              <w:keepNext w:val="0"/>
              <w:keepLines w:val="0"/>
              <w:widowControl w:val="0"/>
              <w:suppressLineNumbers w:val="0"/>
              <w:wordWrap w:val="0"/>
              <w:spacing w:before="0" w:beforeAutospacing="0" w:after="0" w:afterAutospacing="0" w:line="360" w:lineRule="auto"/>
              <w:ind w:left="0" w:right="0"/>
              <w:jc w:val="center"/>
              <w:outlineLvl w:val="9"/>
              <w:rPr>
                <w:rFonts w:hint="eastAsia" w:ascii="宋体" w:hAnsi="宋体" w:eastAsia="宋体" w:cs="宋体"/>
                <w:color w:val="auto"/>
                <w:kern w:val="0"/>
                <w:sz w:val="24"/>
                <w:szCs w:val="24"/>
                <w:highlight w:val="none"/>
                <w:lang w:val="en-US"/>
              </w:rPr>
            </w:pPr>
          </w:p>
        </w:tc>
      </w:tr>
    </w:tbl>
    <w:p w14:paraId="3BD0F9CB">
      <w:pPr>
        <w:pStyle w:val="39"/>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w:t>
      </w:r>
    </w:p>
    <w:p w14:paraId="3FF8572F">
      <w:pPr>
        <w:pStyle w:val="39"/>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说明：</w:t>
      </w:r>
    </w:p>
    <w:p w14:paraId="615034CA">
      <w:pPr>
        <w:pStyle w:val="39"/>
        <w:keepNext w:val="0"/>
        <w:keepLines w:val="0"/>
        <w:widowControl w:val="0"/>
        <w:suppressLineNumbers w:val="0"/>
        <w:wordWrap w:val="0"/>
        <w:spacing w:line="400" w:lineRule="exac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eastAsia="zh-CN"/>
        </w:rPr>
        <w:t>．《项目管理机构组成表》后应附表中拟派人员（项目经理、项目技术负责人、</w:t>
      </w:r>
      <w:r>
        <w:rPr>
          <w:rFonts w:hint="eastAsia" w:ascii="宋体" w:hAnsi="宋体" w:eastAsia="宋体" w:cs="宋体"/>
          <w:color w:val="auto"/>
          <w:sz w:val="21"/>
          <w:szCs w:val="21"/>
          <w:highlight w:val="none"/>
          <w:lang w:val="en-US" w:eastAsia="zh-CN"/>
        </w:rPr>
        <w:t>专职安全员</w:t>
      </w:r>
      <w:r>
        <w:rPr>
          <w:rFonts w:hint="eastAsia" w:ascii="宋体" w:hAnsi="宋体" w:eastAsia="宋体" w:cs="宋体"/>
          <w:color w:val="auto"/>
          <w:sz w:val="21"/>
          <w:szCs w:val="21"/>
          <w:highlight w:val="none"/>
          <w:lang w:eastAsia="zh-CN"/>
        </w:rPr>
        <w:t>除外）以下资料：</w:t>
      </w:r>
    </w:p>
    <w:p w14:paraId="601B3845">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1．身份证彩色扫描件；</w:t>
      </w:r>
    </w:p>
    <w:p w14:paraId="2DF39182">
      <w:pPr>
        <w:keepNext w:val="0"/>
        <w:keepLines w:val="0"/>
        <w:widowControl w:val="0"/>
        <w:suppressLineNumbers w:val="0"/>
        <w:wordWrap w:val="0"/>
        <w:spacing w:before="0" w:beforeAutospacing="0" w:after="0" w:afterAutospacing="0" w:line="400" w:lineRule="exact"/>
        <w:ind w:left="0" w:right="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 xml:space="preserve">    2．职称证或岗位证书彩色扫描件；</w:t>
      </w:r>
    </w:p>
    <w:p w14:paraId="57E9F50C">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3．在本单位缴纳社保的证明（至少</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个月，其中必须有2026年</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月）彩色扫描件。拟派</w:t>
      </w:r>
      <w:r>
        <w:rPr>
          <w:rFonts w:hint="eastAsia" w:hAnsi="宋体" w:cs="宋体"/>
          <w:color w:val="auto"/>
          <w:kern w:val="0"/>
          <w:sz w:val="21"/>
          <w:szCs w:val="21"/>
          <w:highlight w:val="none"/>
          <w:lang w:val="en-US" w:eastAsia="zh-CN" w:bidi="ar"/>
        </w:rPr>
        <w:t>人员</w:t>
      </w:r>
      <w:r>
        <w:rPr>
          <w:rFonts w:hint="eastAsia" w:ascii="宋体" w:hAnsi="宋体" w:eastAsia="宋体" w:cs="宋体"/>
          <w:color w:val="auto"/>
          <w:kern w:val="0"/>
          <w:sz w:val="21"/>
          <w:szCs w:val="21"/>
          <w:highlight w:val="none"/>
          <w:lang w:val="en-US" w:eastAsia="zh-CN" w:bidi="ar"/>
        </w:rPr>
        <w:t>为退休返聘人员无法提供社保证明的，提供退休证和劳动合同</w:t>
      </w:r>
      <w:r>
        <w:rPr>
          <w:rFonts w:hint="eastAsia" w:ascii="宋体" w:hAnsi="宋体" w:eastAsia="宋体" w:cs="宋体"/>
          <w:b w:val="0"/>
          <w:bCs w:val="0"/>
          <w:color w:val="auto"/>
          <w:kern w:val="0"/>
          <w:sz w:val="21"/>
          <w:szCs w:val="21"/>
          <w:highlight w:val="none"/>
          <w:lang w:val="en-US" w:eastAsia="zh-CN" w:bidi="ar"/>
        </w:rPr>
        <w:t>（返聘协议）</w:t>
      </w:r>
      <w:r>
        <w:rPr>
          <w:rFonts w:hint="eastAsia" w:ascii="宋体" w:hAnsi="宋体" w:eastAsia="宋体" w:cs="宋体"/>
          <w:color w:val="auto"/>
          <w:kern w:val="0"/>
          <w:sz w:val="21"/>
          <w:szCs w:val="21"/>
          <w:highlight w:val="none"/>
          <w:lang w:val="en-US" w:eastAsia="zh-CN" w:bidi="ar"/>
        </w:rPr>
        <w:t>彩色扫描件。</w:t>
      </w:r>
    </w:p>
    <w:p w14:paraId="6950114E">
      <w:pPr>
        <w:keepNext w:val="0"/>
        <w:keepLines w:val="0"/>
        <w:widowControl w:val="0"/>
        <w:suppressLineNumbers w:val="0"/>
        <w:wordWrap w:val="0"/>
        <w:spacing w:before="0" w:beforeAutospacing="0" w:after="0" w:afterAutospacing="0" w:line="400" w:lineRule="exact"/>
        <w:ind w:left="0" w:right="0" w:firstLine="420" w:firstLineChars="200"/>
        <w:jc w:val="both"/>
        <w:outlineLvl w:val="9"/>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（4）“进粤企业和人员诚信信息登记平台”个人信息情况截图。（适用于省外建筑企业）</w:t>
      </w:r>
    </w:p>
    <w:p w14:paraId="11E704A7">
      <w:pPr>
        <w:pStyle w:val="39"/>
        <w:keepNext w:val="0"/>
        <w:keepLines w:val="0"/>
        <w:widowControl w:val="0"/>
        <w:suppressLineNumbers w:val="0"/>
        <w:wordWrap w:val="0"/>
        <w:spacing w:line="400" w:lineRule="exact"/>
        <w:ind w:left="0" w:firstLine="0"/>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    2</w:t>
      </w:r>
      <w:r>
        <w:rPr>
          <w:rFonts w:hint="eastAsia" w:ascii="宋体" w:hAnsi="宋体" w:eastAsia="宋体" w:cs="宋体"/>
          <w:color w:val="auto"/>
          <w:sz w:val="21"/>
          <w:szCs w:val="21"/>
          <w:highlight w:val="none"/>
          <w:lang w:eastAsia="zh-CN"/>
        </w:rPr>
        <w:t>．联合体投标的，《项目管理机构组成表》应包括联合体成员单位参与项目管理机构的人员，并提供以上所需资料。</w:t>
      </w:r>
    </w:p>
    <w:p w14:paraId="12CDE3DD">
      <w:pPr>
        <w:rPr>
          <w:rFonts w:hint="eastAsia" w:ascii="宋体" w:hAnsi="宋体" w:eastAsia="宋体" w:cs="宋体"/>
          <w:color w:val="auto"/>
          <w:lang w:val="en-US"/>
        </w:rPr>
      </w:pPr>
      <w:bookmarkStart w:id="86" w:name="_附件二十五：综合评审合理低价法"/>
      <w:bookmarkEnd w:id="86"/>
      <w:bookmarkStart w:id="87" w:name="_附件二十四：技术标提问单"/>
      <w:bookmarkEnd w:id="87"/>
      <w:bookmarkStart w:id="88" w:name="_Hlt69116778"/>
      <w:bookmarkEnd w:id="88"/>
      <w:bookmarkStart w:id="89" w:name="_Hlt68774664"/>
      <w:bookmarkEnd w:id="89"/>
      <w:bookmarkStart w:id="90" w:name="_附件十：单项工程费汇总表"/>
      <w:bookmarkEnd w:id="90"/>
    </w:p>
    <w:p w14:paraId="3779FA15">
      <w:pPr>
        <w:rPr>
          <w:rFonts w:hint="eastAsia" w:ascii="宋体" w:hAnsi="宋体" w:eastAsia="宋体" w:cs="宋体"/>
          <w:color w:val="auto"/>
          <w:lang w:val="en-US"/>
        </w:rPr>
      </w:pPr>
    </w:p>
    <w:p w14:paraId="360F0F61">
      <w:pPr>
        <w:rPr>
          <w:rFonts w:hint="eastAsia" w:ascii="宋体" w:hAnsi="宋体" w:eastAsia="宋体" w:cs="宋体"/>
          <w:color w:val="auto"/>
          <w:lang w:val="en-US"/>
        </w:rPr>
      </w:pPr>
    </w:p>
    <w:p w14:paraId="323C890B">
      <w:pPr>
        <w:rPr>
          <w:rFonts w:hint="eastAsia" w:ascii="宋体" w:hAnsi="宋体" w:eastAsia="宋体" w:cs="宋体"/>
          <w:color w:val="auto"/>
          <w:lang w:val="en-US"/>
        </w:rPr>
      </w:pPr>
    </w:p>
    <w:p w14:paraId="152C8A94">
      <w:pPr>
        <w:rPr>
          <w:rFonts w:hint="eastAsia" w:ascii="宋体" w:hAnsi="宋体" w:eastAsia="宋体" w:cs="宋体"/>
          <w:color w:val="auto"/>
          <w:lang w:val="en-US"/>
        </w:rPr>
      </w:pPr>
    </w:p>
    <w:p w14:paraId="44285936">
      <w:pPr>
        <w:rPr>
          <w:rFonts w:hint="eastAsia" w:ascii="宋体" w:hAnsi="宋体" w:eastAsia="宋体" w:cs="宋体"/>
          <w:color w:val="auto"/>
          <w:lang w:eastAsia="zh-CN"/>
        </w:rPr>
      </w:pPr>
    </w:p>
    <w:p w14:paraId="162AE6BD">
      <w:pPr>
        <w:pStyle w:val="4"/>
        <w:bidi w:val="0"/>
        <w:ind w:left="0" w:leftChars="0" w:firstLine="0" w:firstLineChars="0"/>
        <w:rPr>
          <w:rFonts w:hint="eastAsia" w:ascii="宋体" w:hAnsi="宋体" w:eastAsia="宋体" w:cs="宋体"/>
          <w:b/>
          <w:bCs/>
          <w:color w:val="auto"/>
          <w:sz w:val="24"/>
          <w:szCs w:val="24"/>
          <w:highlight w:val="none"/>
          <w:lang w:val="en-US"/>
        </w:rPr>
      </w:pPr>
      <w:bookmarkStart w:id="91" w:name="_Toc26809"/>
      <w:bookmarkStart w:id="92" w:name="_Toc16377"/>
      <w:bookmarkStart w:id="93" w:name="_Toc15664"/>
      <w:r>
        <w:rPr>
          <w:rFonts w:hint="eastAsia" w:ascii="宋体" w:hAnsi="宋体" w:eastAsia="宋体" w:cs="宋体"/>
          <w:color w:val="auto"/>
          <w:lang w:val="en-US" w:eastAsia="zh-CN"/>
        </w:rPr>
        <w:t>格式十二   建造师查询页（有效期+建造师签字）</w:t>
      </w:r>
      <w:bookmarkEnd w:id="91"/>
      <w:bookmarkEnd w:id="92"/>
      <w:bookmarkEnd w:id="93"/>
    </w:p>
    <w:p w14:paraId="5FCB7342">
      <w:pPr>
        <w:pStyle w:val="39"/>
        <w:keepNext w:val="0"/>
        <w:keepLines w:val="0"/>
        <w:widowControl w:val="0"/>
        <w:suppressLineNumbers w:val="0"/>
        <w:wordWrap w:val="0"/>
        <w:ind w:left="0" w:firstLine="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fldChar w:fldCharType="begin"/>
      </w:r>
      <w:r>
        <w:rPr>
          <w:rFonts w:hint="eastAsia" w:ascii="宋体" w:hAnsi="宋体" w:eastAsia="宋体" w:cs="宋体"/>
          <w:color w:val="auto"/>
          <w:highlight w:val="none"/>
          <w:lang w:val="en-US"/>
        </w:rPr>
        <w:instrText xml:space="preserve">INCLUDEPICTURE "C:\\Users\\user\\Downloads\\../AppData/Local/Temp/ksohtml12540/wps34.jpg" \* MERGEFORMATINET </w:instrText>
      </w:r>
      <w:r>
        <w:rPr>
          <w:rFonts w:hint="eastAsia" w:ascii="宋体" w:hAnsi="宋体" w:eastAsia="宋体" w:cs="宋体"/>
          <w:color w:val="auto"/>
          <w:highlight w:val="none"/>
          <w:lang w:val="en-US"/>
        </w:rPr>
        <w:fldChar w:fldCharType="separate"/>
      </w:r>
      <w:r>
        <w:rPr>
          <w:rFonts w:hint="eastAsia" w:ascii="宋体" w:hAnsi="宋体" w:eastAsia="宋体" w:cs="宋体"/>
          <w:color w:val="auto"/>
          <w:highlight w:val="none"/>
          <w:lang w:val="en-US"/>
        </w:rPr>
        <w:drawing>
          <wp:inline distT="0" distB="0" distL="114300" distR="114300">
            <wp:extent cx="5915025" cy="827722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915025" cy="8277225"/>
                    </a:xfrm>
                    <a:prstGeom prst="rect">
                      <a:avLst/>
                    </a:prstGeom>
                    <a:noFill/>
                    <a:ln>
                      <a:noFill/>
                    </a:ln>
                  </pic:spPr>
                </pic:pic>
              </a:graphicData>
            </a:graphic>
          </wp:inline>
        </w:drawing>
      </w:r>
      <w:r>
        <w:rPr>
          <w:rFonts w:hint="eastAsia" w:ascii="宋体" w:hAnsi="宋体" w:eastAsia="宋体" w:cs="宋体"/>
          <w:color w:val="auto"/>
          <w:highlight w:val="none"/>
          <w:lang w:val="en-US"/>
        </w:rPr>
        <w:fldChar w:fldCharType="end"/>
      </w:r>
    </w:p>
    <w:p w14:paraId="4CBF4C52">
      <w:pPr>
        <w:rPr>
          <w:rFonts w:hint="eastAsia" w:ascii="宋体" w:hAnsi="宋体" w:eastAsia="宋体" w:cs="宋体"/>
          <w:color w:val="auto"/>
          <w:lang w:val="en-US"/>
        </w:rPr>
      </w:pPr>
    </w:p>
    <w:p w14:paraId="4DD10AA0">
      <w:pPr>
        <w:rPr>
          <w:rFonts w:hint="eastAsia" w:ascii="宋体" w:hAnsi="宋体" w:eastAsia="宋体" w:cs="宋体"/>
          <w:color w:val="auto"/>
          <w:lang w:val="en-US"/>
        </w:rPr>
      </w:pPr>
    </w:p>
    <w:p w14:paraId="25160B61">
      <w:pPr>
        <w:rPr>
          <w:rFonts w:hint="eastAsia" w:ascii="宋体" w:hAnsi="宋体" w:eastAsia="宋体" w:cs="宋体"/>
          <w:color w:val="auto"/>
          <w:lang w:val="en-US"/>
        </w:rPr>
      </w:pPr>
    </w:p>
    <w:p w14:paraId="202BB8E4">
      <w:pPr>
        <w:pStyle w:val="38"/>
        <w:keepNext w:val="0"/>
        <w:keepLines w:val="0"/>
        <w:widowControl w:val="0"/>
        <w:suppressLineNumbers w:val="0"/>
        <w:wordWrap w:val="0"/>
        <w:spacing w:before="0" w:beforeAutospacing="0" w:after="0" w:afterAutospacing="0"/>
        <w:ind w:left="3621" w:leftChars="15" w:right="0" w:hanging="3590" w:hangingChars="1496"/>
        <w:jc w:val="both"/>
        <w:outlineLvl w:val="9"/>
        <w:rPr>
          <w:rFonts w:hint="eastAsia" w:ascii="宋体" w:hAnsi="宋体" w:eastAsia="宋体" w:cs="宋体"/>
          <w:color w:val="auto"/>
          <w:highlight w:val="none"/>
          <w:lang w:val="en-US"/>
        </w:rPr>
      </w:pPr>
      <w:bookmarkStart w:id="94" w:name="_Toc132687128"/>
      <w:bookmarkEnd w:id="94"/>
      <w:bookmarkStart w:id="95" w:name="_Toc133815902"/>
      <w:bookmarkEnd w:id="95"/>
      <w:bookmarkStart w:id="96" w:name="_Toc137444778"/>
      <w:bookmarkEnd w:id="96"/>
      <w:bookmarkStart w:id="97" w:name="_Hlt87793582"/>
      <w:bookmarkEnd w:id="97"/>
      <w:bookmarkStart w:id="98" w:name="_Hlt87783244"/>
      <w:bookmarkEnd w:id="98"/>
      <w:bookmarkStart w:id="99" w:name="_附件十六：措施项目清单计价表"/>
      <w:bookmarkEnd w:id="99"/>
      <w:bookmarkStart w:id="100" w:name="_Toc13722"/>
      <w:bookmarkEnd w:id="100"/>
      <w:bookmarkStart w:id="101" w:name="_Toc133160683"/>
      <w:bookmarkEnd w:id="101"/>
      <w:bookmarkStart w:id="102" w:name="_附件二十一：土建工程、电气工程、给排水工程工程清单项目费汇总表"/>
      <w:bookmarkEnd w:id="102"/>
      <w:bookmarkStart w:id="103" w:name="_Toc142468134"/>
      <w:bookmarkEnd w:id="103"/>
      <w:bookmarkStart w:id="104" w:name="_Toc346"/>
      <w:bookmarkEnd w:id="104"/>
      <w:bookmarkStart w:id="105" w:name="_Toc78794873"/>
      <w:r>
        <w:rPr>
          <w:rFonts w:hint="eastAsia" w:ascii="宋体" w:hAnsi="宋体" w:eastAsia="宋体" w:cs="宋体"/>
          <w:color w:val="auto"/>
          <w:highlight w:val="none"/>
          <w:lang w:val="en-US"/>
        </w:rPr>
        <w:drawing>
          <wp:inline distT="0" distB="0" distL="114300" distR="114300">
            <wp:extent cx="5981065" cy="6862445"/>
            <wp:effectExtent l="0" t="0" r="635"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5981065" cy="6862445"/>
                    </a:xfrm>
                    <a:prstGeom prst="rect">
                      <a:avLst/>
                    </a:prstGeom>
                    <a:noFill/>
                    <a:ln>
                      <a:noFill/>
                    </a:ln>
                  </pic:spPr>
                </pic:pic>
              </a:graphicData>
            </a:graphic>
          </wp:inline>
        </w:drawing>
      </w:r>
      <w:bookmarkEnd w:id="105"/>
    </w:p>
    <w:p w14:paraId="13E67456">
      <w:pPr>
        <w:rPr>
          <w:rFonts w:hint="eastAsia" w:ascii="宋体" w:hAnsi="宋体" w:eastAsia="宋体" w:cs="宋体"/>
          <w:color w:val="auto"/>
          <w:lang w:val="en-US"/>
        </w:rPr>
      </w:pPr>
    </w:p>
    <w:p w14:paraId="09B466A2">
      <w:pPr>
        <w:rPr>
          <w:rFonts w:hint="eastAsia" w:ascii="宋体" w:hAnsi="宋体" w:eastAsia="宋体" w:cs="宋体"/>
          <w:color w:val="auto"/>
          <w:lang w:val="en-US"/>
        </w:rPr>
      </w:pPr>
    </w:p>
    <w:p w14:paraId="758B85DF">
      <w:pPr>
        <w:rPr>
          <w:rFonts w:hint="eastAsia" w:ascii="宋体" w:hAnsi="宋体" w:eastAsia="宋体" w:cs="宋体"/>
          <w:color w:val="auto"/>
          <w:lang w:val="en-US"/>
        </w:rPr>
      </w:pPr>
    </w:p>
    <w:p w14:paraId="1376A9F7">
      <w:pPr>
        <w:rPr>
          <w:rFonts w:hint="eastAsia" w:ascii="宋体" w:hAnsi="宋体" w:eastAsia="宋体" w:cs="宋体"/>
          <w:color w:val="auto"/>
          <w:lang w:val="en-US"/>
        </w:rPr>
      </w:pPr>
    </w:p>
    <w:p w14:paraId="03F824E8">
      <w:pPr>
        <w:rPr>
          <w:rFonts w:hint="eastAsia" w:ascii="宋体" w:hAnsi="宋体" w:eastAsia="宋体" w:cs="宋体"/>
          <w:color w:val="auto"/>
          <w:lang w:val="en-US"/>
        </w:rPr>
      </w:pPr>
    </w:p>
    <w:p w14:paraId="1BD8B445">
      <w:pPr>
        <w:rPr>
          <w:rFonts w:hint="eastAsia" w:ascii="宋体" w:hAnsi="宋体" w:eastAsia="宋体" w:cs="宋体"/>
          <w:color w:val="auto"/>
          <w:lang w:val="en-US"/>
        </w:rPr>
      </w:pPr>
    </w:p>
    <w:p w14:paraId="53DAC3BD">
      <w:pPr>
        <w:rPr>
          <w:rFonts w:hint="eastAsia" w:ascii="宋体" w:hAnsi="宋体" w:eastAsia="宋体" w:cs="宋体"/>
          <w:color w:val="auto"/>
          <w:lang w:val="en-US"/>
        </w:rPr>
      </w:pPr>
    </w:p>
    <w:p w14:paraId="054DE327">
      <w:pPr>
        <w:rPr>
          <w:rFonts w:hint="eastAsia" w:ascii="宋体" w:hAnsi="宋体" w:eastAsia="宋体" w:cs="宋体"/>
          <w:color w:val="auto"/>
          <w:lang w:val="en-US"/>
        </w:rPr>
      </w:pPr>
    </w:p>
    <w:p w14:paraId="6AF3E874">
      <w:pPr>
        <w:rPr>
          <w:rFonts w:hint="eastAsia" w:ascii="宋体" w:hAnsi="宋体" w:eastAsia="宋体" w:cs="宋体"/>
          <w:color w:val="auto"/>
          <w:lang w:val="en-US"/>
        </w:rPr>
      </w:pPr>
    </w:p>
    <w:p w14:paraId="5161A4B5">
      <w:pPr>
        <w:rPr>
          <w:rFonts w:hint="eastAsia" w:ascii="宋体" w:hAnsi="宋体" w:eastAsia="宋体" w:cs="宋体"/>
          <w:color w:val="auto"/>
          <w:lang w:val="en-US"/>
        </w:rPr>
      </w:pPr>
    </w:p>
    <w:p w14:paraId="797BC470">
      <w:pPr>
        <w:rPr>
          <w:rFonts w:hint="eastAsia" w:ascii="宋体" w:hAnsi="宋体" w:eastAsia="宋体" w:cs="宋体"/>
          <w:color w:val="auto"/>
          <w:lang w:val="en-US" w:eastAsia="zh-CN"/>
        </w:rPr>
      </w:pPr>
    </w:p>
    <w:p w14:paraId="3414A641">
      <w:pPr>
        <w:pStyle w:val="4"/>
        <w:bidi w:val="0"/>
        <w:ind w:left="0" w:leftChars="0" w:firstLine="0" w:firstLineChars="0"/>
        <w:rPr>
          <w:rFonts w:hint="eastAsia" w:ascii="宋体" w:hAnsi="宋体" w:eastAsia="宋体" w:cs="宋体"/>
          <w:color w:val="auto"/>
          <w:highlight w:val="green"/>
          <w:lang w:val="en-US" w:eastAsia="zh-CN"/>
        </w:rPr>
      </w:pPr>
      <w:bookmarkStart w:id="106" w:name="_Toc14118"/>
      <w:bookmarkStart w:id="107" w:name="_Toc9651"/>
      <w:r>
        <w:rPr>
          <w:rFonts w:hint="eastAsia" w:ascii="宋体" w:hAnsi="宋体" w:eastAsia="宋体" w:cs="宋体"/>
          <w:color w:val="auto"/>
          <w:highlight w:val="green"/>
          <w:lang w:val="en-US" w:eastAsia="zh-CN"/>
        </w:rPr>
        <w:t>格式十三   危险性较大的分部分项工程清单及超过一定规模的危险性较大的分部分项工程清单</w:t>
      </w:r>
      <w:bookmarkEnd w:id="82"/>
      <w:bookmarkEnd w:id="106"/>
      <w:bookmarkEnd w:id="107"/>
    </w:p>
    <w:p w14:paraId="55B961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 w:val="36"/>
          <w:szCs w:val="36"/>
          <w:highlight w:val="green"/>
          <w:lang w:val="en-US"/>
        </w:rPr>
      </w:pPr>
      <w:r>
        <w:rPr>
          <w:rFonts w:hint="eastAsia" w:ascii="宋体" w:hAnsi="宋体" w:eastAsia="宋体" w:cs="宋体"/>
          <w:b/>
          <w:bCs/>
          <w:color w:val="auto"/>
          <w:kern w:val="2"/>
          <w:sz w:val="32"/>
          <w:szCs w:val="32"/>
          <w:highlight w:val="green"/>
          <w:lang w:val="en-US" w:eastAsia="zh-CN" w:bidi="ar"/>
        </w:rPr>
        <w:t>危险性较大的分部分项工程清单及超过一定规模的危险性较大的分部分项工程清单</w:t>
      </w:r>
    </w:p>
    <w:p w14:paraId="669F3AA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1、根据中华人民共和国住房和城乡建设部令第37号《危险性较大的分部分项工程安全管理规定》（以下简称“37号文”），投标人在投标时须补充完善危大工程清单并明确相应的安全管理措施。</w:t>
      </w:r>
    </w:p>
    <w:p w14:paraId="0FDE667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招标人根据设计文件的要求及37号文、粤建规范〔2019〕2号文的规定列出“危险性较大的分部分项工程清单及超过一定规模的危险性较大的分部分项工程清单”中与本招标项目相关的清单项，具体详见第5点“打√”标识。</w:t>
      </w:r>
    </w:p>
    <w:p w14:paraId="0B6DD4A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（1）投标单位同意建设单位在清单中标识的该项请在对应项打“√”标识，并与投标文件中提供相应的安全管理措施。</w:t>
      </w:r>
    </w:p>
    <w:p w14:paraId="486B342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（2）投标单位对清单中认为需要补充的该项请在对应项打“√”标识，并与投标文件中提供相应的安全管理措施。</w:t>
      </w:r>
    </w:p>
    <w:p w14:paraId="3421899C">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（3）投标单位不同意建设单位在清单中标识的该项请在对应项打“×”标识，并在备注栏填上相关说明。</w:t>
      </w:r>
    </w:p>
    <w:p w14:paraId="086904AA">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rFonts w:hint="eastAsia" w:ascii="宋体" w:hAnsi="宋体" w:eastAsia="宋体" w:cs="宋体"/>
          <w:b/>
          <w:bCs w:val="0"/>
          <w:color w:val="auto"/>
          <w:highlight w:val="none"/>
          <w:u w:val="single"/>
          <w:lang w:val="en-US"/>
        </w:rPr>
      </w:pPr>
      <w:r>
        <w:rPr>
          <w:rFonts w:hint="eastAsia" w:ascii="宋体" w:hAnsi="宋体" w:eastAsia="宋体" w:cs="宋体"/>
          <w:b/>
          <w:bCs w:val="0"/>
          <w:color w:val="auto"/>
          <w:kern w:val="2"/>
          <w:sz w:val="24"/>
          <w:szCs w:val="24"/>
          <w:highlight w:val="none"/>
          <w:u w:val="single"/>
          <w:lang w:val="en-US" w:eastAsia="zh-CN" w:bidi="ar"/>
        </w:rPr>
        <w:t>3、投标单位应当在投标时根据招标人提供的下述第5点清单，在投标施工组织中回应建设单位提供的危大工程清单，补充相应的安全管理措施。（为减轻标书编制的工作量，投标单位回应的危大工程清单提供相应的安全管理措施的页数应控制在3页内）</w:t>
      </w:r>
    </w:p>
    <w:p w14:paraId="0F9E3510">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AC0FB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5、危险性较大的分部分项工程清单及超过一定规模的危险性较大的分部分项工程清单：</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8"/>
        <w:gridCol w:w="1353"/>
        <w:gridCol w:w="1353"/>
        <w:gridCol w:w="1057"/>
      </w:tblGrid>
      <w:tr w14:paraId="23DD2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center"/>
          </w:tcPr>
          <w:p w14:paraId="6E26D1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一、危险性较大的分部分项工程清单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C9CF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建设单位</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055D42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4FFEFBF">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备注</w:t>
            </w:r>
          </w:p>
        </w:tc>
      </w:tr>
      <w:tr w14:paraId="0D1CC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638651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一、基坑支护</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EAF4920">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FE202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3E3D5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729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D7C0D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（一）开挖深度超过3m（含3m）的基坑（槽）的土方开挖、支护、降水工程。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614CE2D">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EF364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377AA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17E2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CBDF1F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（二）开挖深度虽未超过3m，但地质条件、周围环境和地下管线复杂，或影响毗邻建、构筑物安全的基坑（槽）的土方开挖、支护、降水工程。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B422F58">
            <w:pPr>
              <w:keepNext w:val="0"/>
              <w:keepLines w:val="0"/>
              <w:widowControl w:val="0"/>
              <w:suppressLineNumbers w:val="0"/>
              <w:spacing w:before="0" w:beforeAutospacing="0" w:after="0" w:afterAutospacing="0" w:line="360" w:lineRule="auto"/>
              <w:ind w:left="0" w:right="0" w:firstLine="240" w:firstLineChars="1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578E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1041D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9F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509D7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43222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F3E980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C5BC9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248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A4536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81052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82CE8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2E6F4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472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4B6A1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3E660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4A79A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597AC6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28A8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0A526D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1F1C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C46DE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8716F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789E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601C77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C262B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AB1E7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F70CE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87B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13122B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（一）采用非常规起重设备、方法，且单件起吊重量在10kN及以上的起重吊装工程。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7B5B2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BE1622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6297E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3914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510D5C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（二）采用起重机械进行安装的工程。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8F539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DBC8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3BE9E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3DB0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20BEFA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（三）起重机械安装和拆卸工程。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86A7B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24FC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26BDAD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9C9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32BE43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99CCF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C444D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6404F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9DD4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7434E3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（一）搭设高度24m及以上的落地式钢管脚手架工程（包括采光井、电梯井脚手架）。</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8E02E1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B1B4A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C982E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E75B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C75D14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（二）附着式升降脚手架工程。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5102A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1449A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40065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31E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5832B1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（三）悬挑式脚手架工程。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9563D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D1391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B0B4A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ED51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8C2F1C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（四）高处作业吊篮。</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BEC49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EAFDA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15FB2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6A38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64FF86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（五）卸料平台、操作平台工程。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B3BA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0C2D1B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D0B9E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B3C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4D98F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（六）异型脚手架工程。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85B0B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59008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5ADE9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F35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B68BF5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B525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2A4A4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B62A4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7F71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792D3D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可能影响行人、交通、电力设施、通讯设施或</w:t>
            </w:r>
            <w:r>
              <w:rPr>
                <w:rFonts w:hint="eastAsia" w:ascii="宋体" w:hAnsi="宋体" w:cs="宋体"/>
                <w:color w:val="auto"/>
                <w:kern w:val="2"/>
                <w:sz w:val="24"/>
                <w:szCs w:val="24"/>
                <w:highlight w:val="none"/>
                <w:lang w:val="en-US" w:eastAsia="zh-CN" w:bidi="ar"/>
              </w:rPr>
              <w:t>其他</w:t>
            </w:r>
            <w:r>
              <w:rPr>
                <w:rFonts w:hint="eastAsia" w:ascii="宋体" w:hAnsi="宋体" w:eastAsia="宋体" w:cs="宋体"/>
                <w:color w:val="auto"/>
                <w:kern w:val="2"/>
                <w:sz w:val="24"/>
                <w:szCs w:val="24"/>
                <w:highlight w:val="none"/>
                <w:lang w:val="en-US" w:eastAsia="zh-CN" w:bidi="ar"/>
              </w:rPr>
              <w:t>建、构筑物安全的拆除工程。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58D08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82247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70BAB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5D1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688444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六、暗挖工程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5DCC3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41504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293E2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80A7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CDFD98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C832D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21CC4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29172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16C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600E9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w:t>
            </w:r>
            <w:r>
              <w:rPr>
                <w:rFonts w:hint="eastAsia" w:ascii="宋体" w:hAnsi="宋体" w:cs="宋体"/>
                <w:color w:val="auto"/>
                <w:kern w:val="2"/>
                <w:sz w:val="24"/>
                <w:szCs w:val="24"/>
                <w:highlight w:val="none"/>
                <w:lang w:val="en-US" w:eastAsia="zh-CN" w:bidi="ar"/>
              </w:rPr>
              <w:t>其他</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D5DFE8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FF25E5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6D56A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0DE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AC915A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（一）建筑幕墙安装工程。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804E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8C85A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1C0772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E404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2F8CD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（二）钢结构、网架和索膜结构安装工程。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F6250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8D951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CCE4D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74C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B8BDE7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（三）人工挖孔桩工程。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98B41F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55CB3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1C548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CF47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71DFDB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517FF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CA99E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FB3BA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E12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27DBD4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（五）装配式建筑混凝土预制构件安装工程。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95EB4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3775A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DEFB0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439C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38ECD2B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48C0D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2F785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C4032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5EE2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center"/>
          </w:tcPr>
          <w:p w14:paraId="54512D5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color w:val="auto"/>
                <w:kern w:val="2"/>
                <w:sz w:val="24"/>
                <w:szCs w:val="24"/>
                <w:highlight w:val="none"/>
                <w:lang w:val="en-US" w:eastAsia="zh-CN" w:bidi="ar"/>
              </w:rPr>
              <w:t>二、超过一定规模的危险性较大的分部分项工程清单</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FBB84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建设单位</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0F54F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2"/>
                <w:sz w:val="24"/>
                <w:szCs w:val="24"/>
                <w:highlight w:val="none"/>
                <w:lang w:val="en-US" w:eastAsia="zh-CN" w:bidi="ar"/>
              </w:rPr>
              <w:t>投标单位</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0F0F9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备注</w:t>
            </w:r>
          </w:p>
        </w:tc>
      </w:tr>
      <w:tr w14:paraId="23CF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0F50F9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一、深基坑工程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7776E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56A34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2EA59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182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16F7AB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开挖深度超过5m（含5m）的基坑（槽）的土方开挖、支护、降水工程。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92A22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57D56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EA0FB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920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BE9A3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二、模板工程及支撑体系</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61737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FFCF0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208A45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51E2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F178CD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（一）各类工具式模板工程：包括滑模、爬模、飞模、隧道模等工程。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10EE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D2CEC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86DFE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A584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E1E75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（二）混凝土模板支撑工程：搭设高度8m及以上，或搭设跨度18m及以上，或施工总荷载（设计值）15kN/m2及以上，或集中线荷载（设计值）20kN/m及以上。</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F3EA5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49EB1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0E048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5586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EA6E2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（三）承重支撑体系：用于钢结构安装等满堂支撑体系，承受单点集中荷载7kN及以上。</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B19E1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D192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B1EC51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3060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11B4DE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三、起重吊装及起重机械安装拆卸工程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826B3C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547ED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6306E3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375A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775D6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（一）采用非常规起重设备、方法，且单件起吊重量在100kN及以上的起重吊装工程。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63D42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5DC85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1DD69F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76E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CE722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（二）起重量300kN及以上，或搭设总高度200m及以上，或搭设基础标高在200m及以上的起重机械安装和拆卸工程。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E630B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4CD6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E0D5A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D2D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F76B84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D9FE9D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7BE52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E6B3A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11BC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BDF8D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（一）搭设高度50m及以上的落地式钢管脚手架工程。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202ED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6028FF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57565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352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72CDE0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（二）提升高度在150m及以上的附着式升降脚手架工程或附着式升降操作平台工程。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F58FC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7C7E2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124C9C0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44C5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7B542D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（三）分段架体搭设高度20m及以上的悬挑式脚手架工程。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304C01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803F5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5169B4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EA0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7C0CAC4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E10C88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4E4E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64E60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023A6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9FBBC5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（一）码头、桥梁、高架、烟囱、水塔或拆除中容易引起有毒有害气（液）体或粉尘扩散、易燃易爆事故发生的特殊建、构筑物的拆除工程。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CD9F4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013F89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3B970B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0B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602E043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（二）文物保护建筑、优秀历史建筑或历史文化风貌区影响范围内的拆除工程。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9AAF8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F23D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07C21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1BC4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F5090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六、暗挖工程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1BF2C2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AAD4A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94A4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2B41C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97F63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采用矿山法、盾构法、顶管法施工的隧道、洞室工程。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6A5D82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EE715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A97B1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717E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1895D1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七、</w:t>
            </w:r>
            <w:r>
              <w:rPr>
                <w:rFonts w:hint="eastAsia" w:ascii="宋体" w:hAnsi="宋体" w:cs="宋体"/>
                <w:color w:val="auto"/>
                <w:kern w:val="2"/>
                <w:sz w:val="24"/>
                <w:szCs w:val="24"/>
                <w:highlight w:val="none"/>
                <w:lang w:val="en-US" w:eastAsia="zh-CN" w:bidi="ar"/>
              </w:rPr>
              <w:t>其他</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E8839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9E9658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732D7E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1A4E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60520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（一）施工高度50m及以上的建筑幕墙安装工程。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C16D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0EE6D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03AB5FF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6066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247E6D8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（二）跨度36m及以上的钢结构安装工程，或跨度60m及以上的网架和索膜结构安装工程。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5461A6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CDCCF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B9A95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7288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11D713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（三）开挖深度16m及以上的人工挖孔桩工程。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B7718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1AA6C9C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F0A56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16EF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0CB50D8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（四）水下作业工程。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0DDA1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3C708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238748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617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4911BCA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（五）重量1000kN及以上的大型结构整体顶升、平移、转体等施工工艺。</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06859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3AC3E1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321509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r w14:paraId="53152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78" w:type="dxa"/>
            <w:tcBorders>
              <w:top w:val="single" w:color="000000" w:sz="4" w:space="0"/>
              <w:left w:val="single" w:color="000000" w:sz="4" w:space="0"/>
              <w:bottom w:val="single" w:color="000000" w:sz="4" w:space="0"/>
              <w:right w:val="single" w:color="000000" w:sz="4" w:space="0"/>
            </w:tcBorders>
            <w:noWrap w:val="0"/>
            <w:vAlign w:val="top"/>
          </w:tcPr>
          <w:p w14:paraId="51C1AD8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（六）采用新技术、新工艺、新材料、新设备可能影响工程施工安全，尚无国家、行业及地方技术标准的分部分项工程。</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C5D09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ECA996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    )</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14:paraId="4A3E1BB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highlight w:val="none"/>
                <w:lang w:val="en-US"/>
              </w:rPr>
            </w:pPr>
          </w:p>
        </w:tc>
      </w:tr>
    </w:tbl>
    <w:p w14:paraId="7918A2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
        </w:rPr>
        <w:t xml:space="preserve"> </w:t>
      </w:r>
    </w:p>
    <w:p w14:paraId="3A84E6E7">
      <w:pPr>
        <w:pStyle w:val="18"/>
        <w:keepNext w:val="0"/>
        <w:keepLines w:val="0"/>
        <w:widowControl/>
        <w:suppressLineNumbers w:val="0"/>
        <w:spacing w:before="0" w:beforeAutospacing="0" w:after="0" w:afterAutospacing="0" w:line="400" w:lineRule="exact"/>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备注：1.根据《危险性较大的分部分项工程安全管理规定》，该《危险性较大的分部分项工程清单及超过一定规模的危险性较大的分部分项工程清单》应由</w:t>
      </w:r>
      <w:r>
        <w:rPr>
          <w:rFonts w:hint="eastAsia" w:ascii="宋体" w:hAnsi="宋体" w:eastAsia="宋体" w:cs="宋体"/>
          <w:b/>
          <w:bCs/>
          <w:color w:val="auto"/>
          <w:kern w:val="0"/>
          <w:sz w:val="24"/>
          <w:szCs w:val="24"/>
          <w:highlight w:val="none"/>
          <w:lang w:val="en-US" w:eastAsia="zh-CN" w:bidi="ar"/>
        </w:rPr>
        <w:t xml:space="preserve">建设单位 </w:t>
      </w:r>
      <w:r>
        <w:rPr>
          <w:rFonts w:hint="eastAsia" w:ascii="宋体" w:hAnsi="宋体" w:eastAsia="宋体" w:cs="宋体"/>
          <w:color w:val="auto"/>
          <w:kern w:val="0"/>
          <w:sz w:val="24"/>
          <w:szCs w:val="24"/>
          <w:highlight w:val="none"/>
          <w:lang w:val="en-US" w:eastAsia="zh-CN" w:bidi="ar"/>
        </w:rPr>
        <w:t>组织勘察、设计等单位</w:t>
      </w:r>
      <w:r>
        <w:rPr>
          <w:rFonts w:hint="eastAsia" w:ascii="宋体" w:hAnsi="宋体" w:eastAsia="宋体" w:cs="宋体"/>
          <w:b/>
          <w:bCs/>
          <w:color w:val="auto"/>
          <w:kern w:val="0"/>
          <w:sz w:val="24"/>
          <w:szCs w:val="24"/>
          <w:highlight w:val="none"/>
          <w:lang w:val="en-US" w:eastAsia="zh-CN" w:bidi="ar"/>
        </w:rPr>
        <w:t>在招标文件</w:t>
      </w:r>
      <w:r>
        <w:rPr>
          <w:rFonts w:hint="eastAsia" w:ascii="宋体" w:hAnsi="宋体" w:eastAsia="宋体" w:cs="宋体"/>
          <w:color w:val="auto"/>
          <w:kern w:val="0"/>
          <w:sz w:val="24"/>
          <w:szCs w:val="24"/>
          <w:highlight w:val="none"/>
          <w:lang w:val="en-US" w:eastAsia="zh-CN" w:bidi="ar"/>
        </w:rPr>
        <w:t>中先行“勾选（对应项打“√”标识）”危险性较大的分部分项工程。</w:t>
      </w:r>
    </w:p>
    <w:p w14:paraId="456E5C9E">
      <w:pPr>
        <w:pStyle w:val="18"/>
        <w:keepNext w:val="0"/>
        <w:keepLines w:val="0"/>
        <w:widowControl/>
        <w:suppressLineNumbers w:val="0"/>
        <w:spacing w:before="0" w:beforeAutospacing="0" w:after="0" w:afterAutospacing="0" w:line="400" w:lineRule="exact"/>
        <w:ind w:left="0" w:right="0" w:firstLine="660" w:firstLineChars="275"/>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2.该《危险性较大的分部分项工程清单及超过一定规模的危险性较大的分部分项工程清单》在办理建设项目施工许可时必须提供，且各地建设行政主管部门可按照《广东省建设工程项目招标中标后监督检查办法》相关规定开展检查。</w:t>
      </w:r>
    </w:p>
    <w:p w14:paraId="306E1AB0">
      <w:pPr>
        <w:pStyle w:val="18"/>
        <w:keepNext w:val="0"/>
        <w:keepLines w:val="0"/>
        <w:widowControl/>
        <w:suppressLineNumbers w:val="0"/>
        <w:spacing w:before="0" w:beforeAutospacing="0" w:after="0" w:afterAutospacing="0" w:line="400" w:lineRule="exact"/>
        <w:ind w:left="0" w:right="0" w:firstLine="660" w:firstLineChars="275"/>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3.如果需要（如需要通过计算编制专项方案，或者需要专家论证），可中标后提供详细版。</w:t>
      </w:r>
    </w:p>
    <w:p w14:paraId="1542750B">
      <w:pPr>
        <w:rPr>
          <w:rFonts w:hint="eastAsia" w:ascii="宋体" w:hAnsi="宋体" w:eastAsia="宋体" w:cs="宋体"/>
          <w:color w:val="auto"/>
          <w:lang w:val="en-US"/>
        </w:rPr>
      </w:pPr>
    </w:p>
    <w:p w14:paraId="10AFDE46">
      <w:pPr>
        <w:rPr>
          <w:rFonts w:hint="eastAsia" w:ascii="宋体" w:hAnsi="宋体" w:eastAsia="宋体" w:cs="宋体"/>
          <w:color w:val="auto"/>
          <w:lang w:val="en-US"/>
        </w:rPr>
      </w:pPr>
    </w:p>
    <w:p w14:paraId="57ECDAE3">
      <w:pPr>
        <w:rPr>
          <w:rFonts w:hint="eastAsia" w:ascii="宋体" w:hAnsi="宋体" w:eastAsia="宋体" w:cs="宋体"/>
          <w:color w:val="auto"/>
          <w:lang w:val="en-US"/>
        </w:rPr>
      </w:pPr>
    </w:p>
    <w:p w14:paraId="67050705">
      <w:pPr>
        <w:rPr>
          <w:rFonts w:hint="eastAsia" w:ascii="宋体" w:hAnsi="宋体" w:eastAsia="宋体" w:cs="宋体"/>
          <w:color w:val="auto"/>
          <w:lang w:val="en-US"/>
        </w:rPr>
      </w:pPr>
    </w:p>
    <w:p w14:paraId="01703BD2">
      <w:pPr>
        <w:rPr>
          <w:rFonts w:hint="eastAsia" w:ascii="宋体" w:hAnsi="宋体" w:eastAsia="宋体" w:cs="宋体"/>
          <w:color w:val="auto"/>
          <w:lang w:val="en-US"/>
        </w:rPr>
      </w:pPr>
    </w:p>
    <w:p w14:paraId="37151A58">
      <w:pPr>
        <w:rPr>
          <w:rFonts w:hint="eastAsia" w:ascii="宋体" w:hAnsi="宋体" w:eastAsia="宋体" w:cs="宋体"/>
          <w:color w:val="auto"/>
          <w:lang w:val="en-US"/>
        </w:rPr>
      </w:pPr>
    </w:p>
    <w:p w14:paraId="3EC068C7">
      <w:pPr>
        <w:rPr>
          <w:rFonts w:hint="eastAsia" w:ascii="宋体" w:hAnsi="宋体" w:eastAsia="宋体" w:cs="宋体"/>
          <w:color w:val="auto"/>
          <w:lang w:val="en-US"/>
        </w:rPr>
      </w:pPr>
    </w:p>
    <w:p w14:paraId="41CD040C">
      <w:pPr>
        <w:rPr>
          <w:rFonts w:hint="eastAsia" w:ascii="宋体" w:hAnsi="宋体" w:eastAsia="宋体" w:cs="宋体"/>
          <w:color w:val="auto"/>
          <w:lang w:val="en-US"/>
        </w:rPr>
      </w:pPr>
    </w:p>
    <w:p w14:paraId="1A7DD1DE">
      <w:pPr>
        <w:rPr>
          <w:rFonts w:hint="eastAsia" w:ascii="宋体" w:hAnsi="宋体" w:eastAsia="宋体" w:cs="宋体"/>
          <w:color w:val="auto"/>
          <w:lang w:val="en-US"/>
        </w:rPr>
      </w:pPr>
    </w:p>
    <w:p w14:paraId="0EC00CD6">
      <w:pPr>
        <w:rPr>
          <w:rFonts w:hint="eastAsia" w:ascii="宋体" w:hAnsi="宋体" w:eastAsia="宋体" w:cs="宋体"/>
          <w:color w:val="auto"/>
          <w:lang w:val="en-US"/>
        </w:rPr>
      </w:pPr>
    </w:p>
    <w:p w14:paraId="74907635">
      <w:pPr>
        <w:rPr>
          <w:rFonts w:hint="eastAsia" w:ascii="宋体" w:hAnsi="宋体" w:eastAsia="宋体" w:cs="宋体"/>
          <w:color w:val="auto"/>
          <w:lang w:val="en-US"/>
        </w:rPr>
      </w:pPr>
    </w:p>
    <w:p w14:paraId="726D37CA">
      <w:pPr>
        <w:rPr>
          <w:rFonts w:hint="eastAsia" w:ascii="宋体" w:hAnsi="宋体" w:eastAsia="宋体" w:cs="宋体"/>
          <w:color w:val="auto"/>
          <w:lang w:val="en-US"/>
        </w:rPr>
      </w:pPr>
    </w:p>
    <w:p w14:paraId="31B35A50">
      <w:pPr>
        <w:rPr>
          <w:rFonts w:hint="eastAsia" w:ascii="宋体" w:hAnsi="宋体" w:eastAsia="宋体" w:cs="宋体"/>
          <w:color w:val="auto"/>
          <w:lang w:val="en-US"/>
        </w:rPr>
      </w:pPr>
    </w:p>
    <w:p w14:paraId="37B47B44">
      <w:pPr>
        <w:rPr>
          <w:rFonts w:hint="eastAsia" w:ascii="宋体" w:hAnsi="宋体" w:eastAsia="宋体" w:cs="宋体"/>
          <w:color w:val="auto"/>
          <w:lang w:val="en-US"/>
        </w:rPr>
      </w:pPr>
    </w:p>
    <w:p w14:paraId="7E2B3115">
      <w:pPr>
        <w:rPr>
          <w:rFonts w:hint="eastAsia" w:ascii="宋体" w:hAnsi="宋体" w:eastAsia="宋体" w:cs="宋体"/>
          <w:color w:val="auto"/>
          <w:lang w:val="en-US"/>
        </w:rPr>
      </w:pPr>
    </w:p>
    <w:p w14:paraId="0C977BD3">
      <w:pPr>
        <w:rPr>
          <w:rFonts w:hint="eastAsia" w:ascii="宋体" w:hAnsi="宋体" w:eastAsia="宋体" w:cs="宋体"/>
          <w:color w:val="auto"/>
          <w:lang w:val="en-US"/>
        </w:rPr>
      </w:pPr>
    </w:p>
    <w:p w14:paraId="583EBCB4">
      <w:pPr>
        <w:rPr>
          <w:rFonts w:hint="eastAsia" w:ascii="宋体" w:hAnsi="宋体" w:eastAsia="宋体" w:cs="宋体"/>
          <w:color w:val="auto"/>
          <w:lang w:val="en-US"/>
        </w:rPr>
      </w:pPr>
    </w:p>
    <w:p w14:paraId="5254C596">
      <w:pPr>
        <w:rPr>
          <w:rFonts w:hint="eastAsia" w:ascii="宋体" w:hAnsi="宋体" w:eastAsia="宋体" w:cs="宋体"/>
          <w:color w:val="auto"/>
          <w:lang w:val="en-US"/>
        </w:rPr>
      </w:pPr>
    </w:p>
    <w:p w14:paraId="7C0E1472">
      <w:pPr>
        <w:rPr>
          <w:rFonts w:hint="eastAsia" w:ascii="宋体" w:hAnsi="宋体" w:eastAsia="宋体" w:cs="宋体"/>
          <w:color w:val="auto"/>
          <w:lang w:val="en-US"/>
        </w:rPr>
      </w:pPr>
    </w:p>
    <w:p w14:paraId="22114AB5">
      <w:pPr>
        <w:rPr>
          <w:rFonts w:hint="eastAsia" w:ascii="宋体" w:hAnsi="宋体" w:eastAsia="宋体" w:cs="宋体"/>
          <w:color w:val="auto"/>
          <w:lang w:val="en-US"/>
        </w:rPr>
      </w:pPr>
    </w:p>
    <w:p w14:paraId="6A14BFED">
      <w:pPr>
        <w:rPr>
          <w:rFonts w:hint="eastAsia" w:ascii="宋体" w:hAnsi="宋体" w:eastAsia="宋体" w:cs="宋体"/>
          <w:color w:val="auto"/>
          <w:lang w:val="en-US"/>
        </w:rPr>
      </w:pPr>
    </w:p>
    <w:p w14:paraId="67BD6669">
      <w:pPr>
        <w:rPr>
          <w:rFonts w:hint="eastAsia" w:ascii="宋体" w:hAnsi="宋体" w:eastAsia="宋体" w:cs="宋体"/>
          <w:color w:val="auto"/>
          <w:lang w:val="en-US"/>
        </w:rPr>
      </w:pPr>
    </w:p>
    <w:p w14:paraId="1E018E74">
      <w:pPr>
        <w:rPr>
          <w:rFonts w:hint="eastAsia" w:ascii="宋体" w:hAnsi="宋体" w:eastAsia="宋体" w:cs="宋体"/>
          <w:color w:val="auto"/>
          <w:lang w:val="en-US"/>
        </w:rPr>
      </w:pPr>
    </w:p>
    <w:p w14:paraId="4C60EA4A">
      <w:pPr>
        <w:rPr>
          <w:rFonts w:hint="eastAsia" w:ascii="宋体" w:hAnsi="宋体" w:eastAsia="宋体" w:cs="宋体"/>
          <w:color w:val="auto"/>
          <w:lang w:val="en-US"/>
        </w:rPr>
      </w:pPr>
    </w:p>
    <w:p w14:paraId="578F713F">
      <w:pPr>
        <w:rPr>
          <w:rFonts w:hint="eastAsia" w:ascii="宋体" w:hAnsi="宋体" w:eastAsia="宋体" w:cs="宋体"/>
          <w:color w:val="auto"/>
          <w:lang w:val="en-US"/>
        </w:rPr>
      </w:pPr>
    </w:p>
    <w:p w14:paraId="2C7378E0">
      <w:pPr>
        <w:rPr>
          <w:rFonts w:hint="eastAsia" w:ascii="宋体" w:hAnsi="宋体" w:eastAsia="宋体" w:cs="宋体"/>
          <w:color w:val="auto"/>
          <w:lang w:val="en-US"/>
        </w:rPr>
      </w:pPr>
    </w:p>
    <w:p w14:paraId="42D8213D">
      <w:pPr>
        <w:rPr>
          <w:rFonts w:hint="eastAsia" w:ascii="宋体" w:hAnsi="宋体" w:eastAsia="宋体" w:cs="宋体"/>
          <w:color w:val="auto"/>
          <w:lang w:val="en-US"/>
        </w:rPr>
      </w:pPr>
    </w:p>
    <w:p w14:paraId="18313747">
      <w:pPr>
        <w:rPr>
          <w:rFonts w:hint="eastAsia" w:ascii="宋体" w:hAnsi="宋体" w:eastAsia="宋体" w:cs="宋体"/>
          <w:color w:val="auto"/>
          <w:lang w:val="en-US"/>
        </w:rPr>
      </w:pPr>
    </w:p>
    <w:p w14:paraId="1F16359F">
      <w:pPr>
        <w:rPr>
          <w:rFonts w:hint="eastAsia" w:ascii="宋体" w:hAnsi="宋体" w:eastAsia="宋体" w:cs="宋体"/>
          <w:color w:val="auto"/>
          <w:lang w:val="en-US"/>
        </w:rPr>
      </w:pPr>
    </w:p>
    <w:p w14:paraId="4CD7141E">
      <w:pPr>
        <w:rPr>
          <w:rFonts w:hint="eastAsia" w:ascii="宋体" w:hAnsi="宋体" w:eastAsia="宋体" w:cs="宋体"/>
          <w:color w:val="auto"/>
          <w:lang w:val="en-US"/>
        </w:rPr>
      </w:pPr>
    </w:p>
    <w:p w14:paraId="360C2369">
      <w:pPr>
        <w:rPr>
          <w:rFonts w:hint="eastAsia" w:ascii="宋体" w:hAnsi="宋体" w:eastAsia="宋体" w:cs="宋体"/>
          <w:color w:val="auto"/>
          <w:lang w:val="en-US"/>
        </w:rPr>
      </w:pPr>
    </w:p>
    <w:p w14:paraId="380A7700">
      <w:pPr>
        <w:rPr>
          <w:rFonts w:hint="eastAsia" w:ascii="宋体" w:hAnsi="宋体" w:eastAsia="宋体" w:cs="宋体"/>
          <w:color w:val="auto"/>
          <w:lang w:val="en-US"/>
        </w:rPr>
      </w:pPr>
    </w:p>
    <w:p w14:paraId="7EBA9348">
      <w:pPr>
        <w:rPr>
          <w:rFonts w:hint="eastAsia" w:ascii="宋体" w:hAnsi="宋体" w:eastAsia="宋体" w:cs="宋体"/>
          <w:color w:val="auto"/>
          <w:lang w:val="en-US"/>
        </w:rPr>
      </w:pPr>
    </w:p>
    <w:p w14:paraId="36DF4BD7">
      <w:pPr>
        <w:rPr>
          <w:rFonts w:hint="eastAsia" w:ascii="宋体" w:hAnsi="宋体" w:eastAsia="宋体" w:cs="宋体"/>
          <w:color w:val="auto"/>
          <w:lang w:val="en-US" w:eastAsia="zh-CN"/>
        </w:rPr>
      </w:pPr>
      <w:bookmarkStart w:id="108" w:name="_Toc19859"/>
      <w:r>
        <w:rPr>
          <w:rFonts w:hint="eastAsia" w:ascii="宋体" w:hAnsi="宋体" w:eastAsia="宋体" w:cs="宋体"/>
          <w:color w:val="auto"/>
          <w:lang w:val="en-US" w:eastAsia="zh-CN"/>
        </w:rPr>
        <w:br w:type="page"/>
      </w:r>
    </w:p>
    <w:p w14:paraId="0F44191D">
      <w:pPr>
        <w:pStyle w:val="4"/>
        <w:bidi w:val="0"/>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格式十四</w:t>
      </w:r>
      <w:bookmarkStart w:id="109" w:name="_Toc15860"/>
      <w:r>
        <w:rPr>
          <w:rFonts w:hint="eastAsia" w:ascii="宋体" w:hAnsi="宋体" w:eastAsia="宋体" w:cs="宋体"/>
          <w:color w:val="auto"/>
          <w:lang w:val="en-US" w:eastAsia="zh-CN"/>
        </w:rPr>
        <w:t xml:space="preserve">   履约保函</w:t>
      </w:r>
      <w:bookmarkEnd w:id="108"/>
      <w:bookmarkEnd w:id="109"/>
    </w:p>
    <w:p w14:paraId="06E6DE59">
      <w:pPr>
        <w:widowControl/>
        <w:ind w:firstLine="562"/>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履约保函</w:t>
      </w:r>
    </w:p>
    <w:p w14:paraId="4A826DFB">
      <w:pPr>
        <w:autoSpaceDE w:val="0"/>
        <w:autoSpaceDN w:val="0"/>
        <w:adjustRightInd w:val="0"/>
        <w:spacing w:before="120" w:beforeLines="50"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sz w:val="24"/>
          <w:szCs w:val="24"/>
          <w:highlight w:val="none"/>
          <w:u w:val="single"/>
        </w:rPr>
        <w:t xml:space="preserve">   （招标人名称）  </w:t>
      </w:r>
      <w:r>
        <w:rPr>
          <w:rFonts w:hint="eastAsia" w:ascii="宋体" w:hAnsi="宋体" w:eastAsia="宋体" w:cs="宋体"/>
          <w:color w:val="auto"/>
          <w:kern w:val="0"/>
          <w:sz w:val="24"/>
          <w:szCs w:val="24"/>
          <w:highlight w:val="none"/>
        </w:rPr>
        <w:t>(下称受益人) :</w:t>
      </w:r>
    </w:p>
    <w:p w14:paraId="1D19F1B0">
      <w:pPr>
        <w:autoSpaceDE w:val="0"/>
        <w:autoSpaceDN w:val="0"/>
        <w:adjustRightInd w:val="0"/>
        <w:spacing w:before="120" w:beforeLines="50" w:after="120" w:afterLines="50" w:line="4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(下称“被保证人”)</w:t>
      </w:r>
      <w:r>
        <w:rPr>
          <w:rFonts w:hint="eastAsia" w:ascii="宋体" w:hAnsi="宋体" w:eastAsia="宋体" w:cs="宋体"/>
          <w:color w:val="auto"/>
          <w:kern w:val="0"/>
          <w:sz w:val="24"/>
          <w:szCs w:val="24"/>
          <w:highlight w:val="none"/>
        </w:rPr>
        <w:t>己/拟与贵方签订编号为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 合同(下称“主合同" )。我行在此接受被保证人的委托,在此向受益人提供不可撤销的履约保证担保：</w:t>
      </w:r>
    </w:p>
    <w:p w14:paraId="1D913BF0">
      <w:pPr>
        <w:autoSpaceDE w:val="0"/>
        <w:autoSpaceDN w:val="0"/>
        <w:adjustRightInd w:val="0"/>
        <w:spacing w:before="120" w:beforeLines="50" w:line="420" w:lineRule="exact"/>
        <w:ind w:left="36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一、本保函最高担保金额为人民币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元</w:t>
      </w:r>
      <w:r>
        <w:rPr>
          <w:rFonts w:hint="eastAsia" w:ascii="宋体" w:hAnsi="宋体" w:eastAsia="宋体" w:cs="宋体"/>
          <w:color w:val="auto"/>
          <w:kern w:val="0"/>
          <w:sz w:val="24"/>
          <w:szCs w:val="24"/>
          <w:highlight w:val="none"/>
        </w:rPr>
        <w:t>(小写)。</w:t>
      </w:r>
    </w:p>
    <w:p w14:paraId="291A4FEB">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二、本保函的有效期自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6ED211BA">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在本保证担保的保证期间内,如被保证人违反合同或协议约定的义务,我方将收到受益人经法定代表人或其授权委托代理人签字并加盖公章的书面索赔通知后二十个工作日内,不争辩、不挑剔、不可撤销地向受益人支付索赔款,直至本保证担保的最高担保金额。</w:t>
      </w:r>
    </w:p>
    <w:p w14:paraId="4EFF46D4">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四、索赔通知应说明索赔理由、索赔款额的计算方法,并必须在本保证担保的保证期内送达我方。</w:t>
      </w:r>
    </w:p>
    <w:p w14:paraId="4CCDF24F">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五、本保函担保项下的权利不得转让。</w:t>
      </w:r>
    </w:p>
    <w:p w14:paraId="3D5CA0B1">
      <w:pPr>
        <w:autoSpaceDE w:val="0"/>
        <w:autoSpaceDN w:val="0"/>
        <w:adjustRightInd w:val="0"/>
        <w:spacing w:before="120" w:beforeLines="50" w:line="42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六、我方提供本保证担保后,受益人与被保证人对主合同进行修订的,应当由被保证人将修订后的合同原件送我方备案。</w:t>
      </w:r>
    </w:p>
    <w:p w14:paraId="0AE3313E">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七、本保证担保的保证期届满,或我方向受益人支付的索赔款已达本保证担保</w:t>
      </w:r>
    </w:p>
    <w:p w14:paraId="7CAF5360">
      <w:pPr>
        <w:autoSpaceDE w:val="0"/>
        <w:autoSpaceDN w:val="0"/>
        <w:adjustRightInd w:val="0"/>
        <w:spacing w:before="120" w:beforeLines="50" w:line="42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的最高担保金额，我方的保证责任免除。</w:t>
      </w:r>
    </w:p>
    <w:p w14:paraId="24F6AA93">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八、本保函适用中华人民共和国法律。</w:t>
      </w:r>
    </w:p>
    <w:p w14:paraId="221A1DAD">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九、本保函以中文文本为准，涂改无效。</w:t>
      </w:r>
    </w:p>
    <w:p w14:paraId="38EE964F">
      <w:pPr>
        <w:rPr>
          <w:rFonts w:hint="eastAsia" w:ascii="宋体" w:hAnsi="宋体" w:eastAsia="宋体" w:cs="宋体"/>
          <w:color w:val="auto"/>
        </w:rPr>
      </w:pPr>
    </w:p>
    <w:p w14:paraId="7E576EF9">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担保人名称（盖章）：</w:t>
      </w:r>
    </w:p>
    <w:p w14:paraId="07E5B6B9">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法人代表人或其授权委托代理人：</w:t>
      </w:r>
    </w:p>
    <w:p w14:paraId="66B1A273">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单位地址：</w:t>
      </w:r>
    </w:p>
    <w:p w14:paraId="3CC4E032">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日期：</w:t>
      </w:r>
    </w:p>
    <w:p w14:paraId="30C44DBD">
      <w:pPr>
        <w:autoSpaceDE w:val="0"/>
        <w:autoSpaceDN w:val="0"/>
        <w:adjustRightInd w:val="0"/>
        <w:spacing w:before="120" w:beforeLines="50" w:line="42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                 电话：</w:t>
      </w:r>
      <w:bookmarkStart w:id="110" w:name="_Toc31994"/>
      <w:bookmarkStart w:id="111" w:name="_Toc29437"/>
      <w:bookmarkStart w:id="112" w:name="_Toc5078"/>
    </w:p>
    <w:p w14:paraId="316305D4">
      <w:pPr>
        <w:rPr>
          <w:rFonts w:hint="eastAsia"/>
          <w:color w:val="auto"/>
        </w:rPr>
      </w:pPr>
    </w:p>
    <w:p w14:paraId="444D703C">
      <w:pPr>
        <w:rPr>
          <w:rFonts w:hint="eastAsia"/>
          <w:color w:val="auto"/>
          <w:lang w:val="en-US" w:eastAsia="zh-CN"/>
        </w:rPr>
      </w:pPr>
    </w:p>
    <w:p w14:paraId="7D3C0CAE">
      <w:pPr>
        <w:pStyle w:val="4"/>
        <w:bidi w:val="0"/>
        <w:ind w:left="0" w:leftChars="0" w:firstLine="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格式十五   助力项目承诺书</w:t>
      </w:r>
      <w:bookmarkEnd w:id="110"/>
      <w:bookmarkEnd w:id="111"/>
      <w:bookmarkEnd w:id="112"/>
    </w:p>
    <w:p w14:paraId="35A807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助力项目承诺书</w:t>
      </w:r>
    </w:p>
    <w:p w14:paraId="0560D43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致招标人：</w:t>
      </w:r>
      <w:r>
        <w:rPr>
          <w:rFonts w:hint="eastAsia" w:ascii="宋体" w:hAnsi="宋体" w:eastAsia="宋体" w:cs="宋体"/>
          <w:color w:val="auto"/>
          <w:sz w:val="24"/>
          <w:szCs w:val="24"/>
          <w:highlight w:val="none"/>
          <w:u w:val="single"/>
        </w:rPr>
        <w:t xml:space="preserve">                      </w:t>
      </w:r>
    </w:p>
    <w:p w14:paraId="0FF123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4"/>
          <w:szCs w:val="24"/>
          <w:highlight w:val="none"/>
          <w:u w:val="none"/>
          <w:lang w:val="en-US" w:eastAsia="zh-CN"/>
        </w:rPr>
        <w:t>万工程”）工作部署以及</w:t>
      </w:r>
      <w:r>
        <w:rPr>
          <w:rFonts w:hint="eastAsia" w:ascii="宋体" w:hAnsi="宋体" w:eastAsia="宋体" w:cs="宋体"/>
          <w:b w:val="0"/>
          <w:bCs w:val="0"/>
          <w:i w:val="0"/>
          <w:iCs w:val="0"/>
          <w:color w:val="auto"/>
          <w:kern w:val="2"/>
          <w:sz w:val="24"/>
          <w:szCs w:val="24"/>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4"/>
          <w:szCs w:val="24"/>
          <w:highlight w:val="none"/>
          <w:vertAlign w:val="baseline"/>
          <w:lang w:val="en-US" w:eastAsia="zh-CN" w:bidi="ar-SA"/>
        </w:rPr>
        <w:t>〔2024〕11号</w:t>
      </w:r>
      <w:r>
        <w:rPr>
          <w:rFonts w:hint="eastAsia" w:ascii="宋体" w:hAnsi="宋体" w:eastAsia="宋体" w:cs="宋体"/>
          <w:b w:val="0"/>
          <w:bCs w:val="0"/>
          <w:i w:val="0"/>
          <w:iCs w:val="0"/>
          <w:color w:val="auto"/>
          <w:kern w:val="2"/>
          <w:sz w:val="24"/>
          <w:szCs w:val="24"/>
          <w:highlight w:val="none"/>
          <w:vertAlign w:val="baseline"/>
          <w:lang w:val="en-US" w:eastAsia="zh-CN" w:bidi="ar-SA"/>
        </w:rPr>
        <w:t>）等工作要求，我公司将按要求完成中标项目的同时，自愿利用</w:t>
      </w:r>
      <w:r>
        <w:rPr>
          <w:rFonts w:hint="eastAsia" w:ascii="宋体" w:hAnsi="宋体" w:eastAsia="宋体" w:cs="宋体"/>
          <w:color w:val="auto"/>
          <w:sz w:val="24"/>
          <w:szCs w:val="24"/>
          <w:highlight w:val="none"/>
          <w:lang w:val="en-US" w:eastAsia="zh-CN"/>
        </w:rPr>
        <w:t>本企业的合理利润，积极做好</w:t>
      </w:r>
      <w:r>
        <w:rPr>
          <w:rFonts w:hint="eastAsia" w:ascii="宋体" w:hAnsi="宋体" w:eastAsia="宋体" w:cs="宋体"/>
          <w:color w:val="auto"/>
          <w:sz w:val="24"/>
          <w:szCs w:val="24"/>
          <w:highlight w:val="none"/>
          <w:u w:val="none"/>
          <w:lang w:val="en-US" w:eastAsia="zh-CN"/>
        </w:rPr>
        <w:t>助力项目建设，就此</w:t>
      </w:r>
      <w:r>
        <w:rPr>
          <w:rFonts w:hint="eastAsia" w:ascii="宋体" w:hAnsi="宋体" w:eastAsia="宋体" w:cs="宋体"/>
          <w:color w:val="auto"/>
          <w:sz w:val="24"/>
          <w:szCs w:val="24"/>
          <w:highlight w:val="none"/>
        </w:rPr>
        <w:t>我方承诺如下：</w:t>
      </w:r>
    </w:p>
    <w:p w14:paraId="1E711D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color w:val="auto"/>
          <w:sz w:val="24"/>
          <w:szCs w:val="24"/>
          <w:highlight w:val="none"/>
        </w:rPr>
        <w:t>我方愿以</w:t>
      </w:r>
      <w:r>
        <w:rPr>
          <w:rFonts w:hint="eastAsia" w:ascii="宋体" w:hAnsi="宋体" w:eastAsia="宋体" w:cs="宋体"/>
          <w:b w:val="0"/>
          <w:bCs w:val="0"/>
          <w:i w:val="0"/>
          <w:iCs w:val="0"/>
          <w:color w:val="auto"/>
          <w:kern w:val="2"/>
          <w:sz w:val="24"/>
          <w:szCs w:val="24"/>
          <w:highlight w:val="none"/>
          <w:vertAlign w:val="baseline"/>
          <w:lang w:val="en-US" w:eastAsia="zh-CN" w:bidi="ar-SA"/>
        </w:rPr>
        <w:t>本项</w:t>
      </w:r>
      <w:r>
        <w:rPr>
          <w:rFonts w:hint="eastAsia" w:ascii="宋体" w:hAnsi="宋体" w:eastAsia="宋体" w:cs="宋体"/>
          <w:color w:val="auto"/>
          <w:sz w:val="24"/>
          <w:szCs w:val="24"/>
          <w:highlight w:val="none"/>
          <w:u w:val="none"/>
          <w:lang w:val="en-US" w:eastAsia="zh-CN"/>
        </w:rPr>
        <w:t>目施工最高投标限价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%的资金，用于助力“百千万工程”中的公益性项目建设，具体实施助力项目从各级“百千万工程”指挥部提供的项目建设清单（项目库）中选取。</w:t>
      </w:r>
    </w:p>
    <w:p w14:paraId="6B149D4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2、如我方中标，承诺完成助力项目建设所用的资金是本企业的自有资金，不使用中标项目内的资金作为助力项目建设资金。</w:t>
      </w:r>
    </w:p>
    <w:p w14:paraId="47612FA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7468B6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6D76BE3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4275308A">
      <w:pPr>
        <w:pStyle w:val="9"/>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color w:val="auto"/>
          <w:sz w:val="24"/>
          <w:szCs w:val="24"/>
          <w:highlight w:val="none"/>
        </w:rPr>
        <w:t>我方同意在投标人须知规定的投标有效期内严格遵守本企业投标文件的各项承诺，如有违约，愿承担相应违约责任。</w:t>
      </w:r>
    </w:p>
    <w:p w14:paraId="165B06AF">
      <w:pPr>
        <w:rPr>
          <w:rFonts w:hint="eastAsia" w:ascii="宋体" w:hAnsi="宋体" w:eastAsia="宋体" w:cs="宋体"/>
          <w:color w:val="auto"/>
        </w:rPr>
      </w:pPr>
    </w:p>
    <w:p w14:paraId="3921DFBF">
      <w:pPr>
        <w:rPr>
          <w:rFonts w:hint="eastAsia" w:ascii="宋体" w:hAnsi="宋体" w:eastAsia="宋体" w:cs="宋体"/>
          <w:color w:val="auto"/>
        </w:rPr>
      </w:pPr>
    </w:p>
    <w:p w14:paraId="4EBD92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(盖电子印章）</w:t>
      </w:r>
    </w:p>
    <w:p w14:paraId="2F695219">
      <w:pPr>
        <w:rPr>
          <w:rFonts w:hint="eastAsia" w:ascii="宋体" w:hAnsi="宋体" w:eastAsia="宋体" w:cs="宋体"/>
          <w:color w:val="auto"/>
        </w:rPr>
      </w:pPr>
    </w:p>
    <w:p w14:paraId="4FE6C2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盖电子印章）</w:t>
      </w:r>
    </w:p>
    <w:p w14:paraId="0DB17BDD">
      <w:pPr>
        <w:rPr>
          <w:rFonts w:hint="eastAsia" w:ascii="宋体" w:hAnsi="宋体" w:eastAsia="宋体" w:cs="宋体"/>
          <w:color w:val="auto"/>
        </w:rPr>
      </w:pPr>
    </w:p>
    <w:p w14:paraId="0A3ACA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99F2747">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2F1E982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i w:val="0"/>
          <w:iCs w:val="0"/>
          <w:color w:val="auto"/>
          <w:kern w:val="2"/>
          <w:sz w:val="24"/>
          <w:szCs w:val="24"/>
          <w:highlight w:val="none"/>
          <w:u w:val="none" w:color="auto"/>
          <w:vertAlign w:val="baseline"/>
          <w:lang w:val="en-US" w:eastAsia="zh-CN" w:bidi="ar-SA"/>
        </w:rPr>
      </w:pPr>
      <w:r>
        <w:rPr>
          <w:rFonts w:hint="eastAsia" w:ascii="宋体" w:hAnsi="宋体" w:eastAsia="宋体" w:cs="宋体"/>
          <w:color w:val="auto"/>
          <w:sz w:val="24"/>
          <w:szCs w:val="24"/>
          <w:highlight w:val="none"/>
          <w:lang w:eastAsia="zh-CN"/>
        </w:rPr>
        <w:t>注：上述承诺书中的</w:t>
      </w:r>
      <w:r>
        <w:rPr>
          <w:rFonts w:hint="eastAsia" w:ascii="宋体" w:hAnsi="宋体" w:eastAsia="宋体" w:cs="宋体"/>
          <w:b w:val="0"/>
          <w:bCs w:val="0"/>
          <w:i w:val="0"/>
          <w:iCs w:val="0"/>
          <w:color w:val="auto"/>
          <w:kern w:val="2"/>
          <w:sz w:val="24"/>
          <w:szCs w:val="24"/>
          <w:highlight w:val="none"/>
          <w:u w:val="none" w:color="auto"/>
          <w:vertAlign w:val="baseline"/>
          <w:lang w:val="en-US" w:eastAsia="zh-CN" w:bidi="ar-SA"/>
        </w:rPr>
        <w:t>企业社会贡献下浮率要使用阿拉伯数字填报，但不得填报负值，否则作无效投标处理。企业社会贡献下浮率没有填报任何数字的按无企业社会贡献处理，但不作无效投标处理。</w:t>
      </w:r>
    </w:p>
    <w:p w14:paraId="751E8FB1">
      <w:pPr>
        <w:rPr>
          <w:rFonts w:hint="eastAsia" w:ascii="宋体" w:hAnsi="宋体" w:eastAsia="宋体" w:cs="宋体"/>
          <w:color w:val="auto"/>
          <w:lang w:val="en-US" w:eastAsia="zh-CN"/>
        </w:rPr>
      </w:pPr>
    </w:p>
    <w:p w14:paraId="5E2C63D2">
      <w:pPr>
        <w:pStyle w:val="4"/>
        <w:bidi w:val="0"/>
        <w:ind w:left="0" w:leftChars="0" w:firstLine="0" w:firstLineChars="0"/>
        <w:rPr>
          <w:rFonts w:hint="eastAsia" w:ascii="宋体" w:hAnsi="宋体" w:eastAsia="宋体" w:cs="宋体"/>
          <w:color w:val="auto"/>
          <w:lang w:val="en-US" w:eastAsia="zh-CN"/>
        </w:rPr>
      </w:pPr>
      <w:bookmarkStart w:id="113" w:name="_Toc29452"/>
      <w:bookmarkStart w:id="114" w:name="_Toc19005"/>
      <w:bookmarkStart w:id="115" w:name="_Toc19815"/>
      <w:r>
        <w:rPr>
          <w:rFonts w:hint="eastAsia" w:ascii="宋体" w:hAnsi="宋体" w:eastAsia="宋体" w:cs="宋体"/>
          <w:color w:val="auto"/>
          <w:lang w:val="en-US" w:eastAsia="zh-CN"/>
        </w:rPr>
        <w:t>格式十六   原件一览表</w:t>
      </w:r>
      <w:bookmarkEnd w:id="113"/>
      <w:bookmarkEnd w:id="114"/>
    </w:p>
    <w:tbl>
      <w:tblPr>
        <w:tblStyle w:val="21"/>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506"/>
        <w:gridCol w:w="829"/>
        <w:gridCol w:w="1165"/>
        <w:gridCol w:w="1625"/>
        <w:gridCol w:w="754"/>
        <w:gridCol w:w="958"/>
        <w:gridCol w:w="1570"/>
      </w:tblGrid>
      <w:tr w14:paraId="2CF1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7F33D">
            <w:pPr>
              <w:pStyle w:val="18"/>
              <w:keepNext w:val="0"/>
              <w:keepLines w:val="0"/>
              <w:widowControl/>
              <w:suppressLineNumbers w:val="0"/>
              <w:spacing w:before="100" w:beforeAutospacing="1" w:after="100" w:afterAutospacing="1" w:line="336"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原件一览表</w:t>
            </w:r>
          </w:p>
        </w:tc>
      </w:tr>
      <w:tr w14:paraId="0AE0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15A2D">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工程名称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24A9C">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p>
        </w:tc>
      </w:tr>
      <w:tr w14:paraId="30410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322F6">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投标人名称                (请务必填写单位全称)</w:t>
            </w:r>
          </w:p>
        </w:tc>
        <w:tc>
          <w:tcPr>
            <w:tcW w:w="607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01F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7B0C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303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08BC5">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投标人法定代表人或其</w:t>
            </w:r>
          </w:p>
          <w:p w14:paraId="3A715B84">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委托代理人签名</w:t>
            </w:r>
          </w:p>
        </w:tc>
        <w:tc>
          <w:tcPr>
            <w:tcW w:w="27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B4FCF">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c>
          <w:tcPr>
            <w:tcW w:w="7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52CA5">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手机号码</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F5763">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1AE89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08"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D918D">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递交的证明材料原件如下：</w:t>
            </w:r>
          </w:p>
        </w:tc>
      </w:tr>
      <w:tr w14:paraId="747B4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68541">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序号</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54364">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证明材料原件名称</w:t>
            </w: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0C19B">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7DEEE">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数量</w:t>
            </w:r>
          </w:p>
        </w:tc>
      </w:tr>
      <w:tr w14:paraId="29939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A60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1</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6627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C5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D6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5A05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057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2</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72A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F0E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0A27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60532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624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3</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080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7DA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999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r>
      <w:tr w14:paraId="13ED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3FF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w:t>
            </w:r>
          </w:p>
        </w:tc>
        <w:tc>
          <w:tcPr>
            <w:tcW w:w="51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9F03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7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ED3B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1D6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w:t>
            </w:r>
          </w:p>
        </w:tc>
      </w:tr>
      <w:tr w14:paraId="46FD6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FEEC">
            <w:pPr>
              <w:keepNext w:val="0"/>
              <w:keepLines w:val="0"/>
              <w:widowControl w:val="0"/>
              <w:suppressLineNumbers w:val="0"/>
              <w:spacing w:before="0" w:beforeAutospacing="0" w:after="0" w:afterAutospacing="0" w:line="360" w:lineRule="auto"/>
              <w:ind w:left="8" w:right="0" w:hanging="94"/>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注意：</w:t>
            </w:r>
          </w:p>
        </w:tc>
        <w:tc>
          <w:tcPr>
            <w:tcW w:w="8407"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5851A">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70A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B6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p w14:paraId="31C0E7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接收原件经办人(招标代理)：</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872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9484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接收时间：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F78D5">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r w14:paraId="4B37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22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31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退还原件接收人(投标人)：</w:t>
            </w:r>
          </w:p>
        </w:tc>
        <w:tc>
          <w:tcPr>
            <w:tcW w:w="1994"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B52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p>
        </w:tc>
        <w:tc>
          <w:tcPr>
            <w:tcW w:w="1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C38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退还时间：</w:t>
            </w:r>
          </w:p>
        </w:tc>
        <w:tc>
          <w:tcPr>
            <w:tcW w:w="3282"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B917A">
            <w:pPr>
              <w:keepNext w:val="0"/>
              <w:keepLines w:val="0"/>
              <w:widowControl w:val="0"/>
              <w:suppressLineNumbers w:val="0"/>
              <w:spacing w:before="0" w:beforeAutospacing="0" w:after="0" w:afterAutospacing="0" w:line="360" w:lineRule="auto"/>
              <w:ind w:left="0" w:right="0" w:firstLine="720" w:firstLineChars="30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   时   分</w:t>
            </w:r>
          </w:p>
        </w:tc>
      </w:tr>
    </w:tbl>
    <w:p w14:paraId="6571816A">
      <w:pPr>
        <w:rPr>
          <w:rFonts w:hint="eastAsia" w:ascii="宋体" w:hAnsi="宋体" w:eastAsia="宋体" w:cs="宋体"/>
          <w:color w:val="auto"/>
          <w:lang w:eastAsia="zh-CN"/>
        </w:rPr>
      </w:pPr>
    </w:p>
    <w:p w14:paraId="4A804E78">
      <w:pPr>
        <w:rPr>
          <w:rFonts w:hint="eastAsia" w:ascii="宋体" w:hAnsi="宋体" w:eastAsia="宋体" w:cs="宋体"/>
          <w:color w:val="auto"/>
          <w:lang w:eastAsia="zh-CN"/>
        </w:rPr>
      </w:pPr>
    </w:p>
    <w:p w14:paraId="566A4F67">
      <w:pPr>
        <w:rPr>
          <w:rFonts w:hint="eastAsia" w:ascii="宋体" w:hAnsi="宋体" w:eastAsia="宋体" w:cs="宋体"/>
          <w:color w:val="auto"/>
          <w:lang w:eastAsia="zh-CN"/>
        </w:rPr>
      </w:pPr>
    </w:p>
    <w:p w14:paraId="01C4625E">
      <w:pPr>
        <w:rPr>
          <w:rFonts w:hint="eastAsia" w:ascii="宋体" w:hAnsi="宋体" w:eastAsia="宋体" w:cs="宋体"/>
          <w:color w:val="auto"/>
          <w:lang w:eastAsia="zh-CN"/>
        </w:rPr>
      </w:pPr>
    </w:p>
    <w:p w14:paraId="47706349">
      <w:pPr>
        <w:rPr>
          <w:rFonts w:hint="eastAsia" w:ascii="宋体" w:hAnsi="宋体" w:eastAsia="宋体" w:cs="宋体"/>
          <w:color w:val="auto"/>
          <w:lang w:eastAsia="zh-CN"/>
        </w:rPr>
      </w:pPr>
    </w:p>
    <w:p w14:paraId="30EC3B69">
      <w:pPr>
        <w:rPr>
          <w:rFonts w:hint="eastAsia" w:ascii="宋体" w:hAnsi="宋体" w:eastAsia="宋体" w:cs="宋体"/>
          <w:color w:val="auto"/>
          <w:lang w:eastAsia="zh-CN"/>
        </w:rPr>
      </w:pPr>
    </w:p>
    <w:p w14:paraId="647D005A">
      <w:pPr>
        <w:pStyle w:val="4"/>
        <w:bidi w:val="0"/>
        <w:ind w:left="0" w:leftChars="0" w:firstLine="0" w:firstLineChars="0"/>
        <w:rPr>
          <w:rFonts w:hint="eastAsia" w:ascii="宋体" w:hAnsi="宋体" w:eastAsia="宋体" w:cs="宋体"/>
          <w:color w:val="auto"/>
          <w:lang w:val="en-US" w:eastAsia="zh-CN"/>
        </w:rPr>
      </w:pPr>
      <w:bookmarkStart w:id="116" w:name="_Toc30092"/>
      <w:bookmarkStart w:id="117" w:name="_Toc2979"/>
      <w:r>
        <w:rPr>
          <w:rFonts w:hint="eastAsia" w:ascii="宋体" w:hAnsi="宋体" w:eastAsia="宋体" w:cs="宋体"/>
          <w:color w:val="auto"/>
          <w:lang w:val="en-US" w:eastAsia="zh-CN"/>
        </w:rPr>
        <w:t>格式十七   定标因素评审资料</w:t>
      </w:r>
      <w:bookmarkEnd w:id="115"/>
      <w:bookmarkEnd w:id="116"/>
      <w:bookmarkEnd w:id="117"/>
    </w:p>
    <w:p w14:paraId="71F509A1">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4941A5FD">
      <w:pPr>
        <w:rPr>
          <w:rFonts w:hint="eastAsia" w:ascii="宋体" w:hAnsi="宋体" w:eastAsia="宋体" w:cs="宋体"/>
          <w:color w:val="auto"/>
          <w:lang w:eastAsia="zh-CN"/>
        </w:rPr>
      </w:pPr>
    </w:p>
    <w:p w14:paraId="07753F0B">
      <w:pPr>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第三章 评标</w:t>
      </w:r>
      <w:r>
        <w:rPr>
          <w:rFonts w:hint="eastAsia" w:ascii="宋体" w:hAnsi="宋体" w:eastAsia="宋体" w:cs="宋体"/>
          <w:b w:val="0"/>
          <w:bCs w:val="0"/>
          <w:color w:val="auto"/>
          <w:sz w:val="28"/>
          <w:szCs w:val="28"/>
          <w:highlight w:val="none"/>
          <w:lang w:eastAsia="zh-CN"/>
        </w:rPr>
        <w:t>定标</w:t>
      </w:r>
      <w:r>
        <w:rPr>
          <w:rFonts w:hint="eastAsia" w:ascii="宋体" w:hAnsi="宋体" w:eastAsia="宋体" w:cs="宋体"/>
          <w:b w:val="0"/>
          <w:bCs w:val="0"/>
          <w:color w:val="auto"/>
          <w:sz w:val="28"/>
          <w:szCs w:val="28"/>
          <w:highlight w:val="none"/>
        </w:rPr>
        <w:t>办法</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3D88F13F">
      <w:pPr>
        <w:rPr>
          <w:rFonts w:hint="eastAsia" w:ascii="宋体" w:hAnsi="宋体" w:eastAsia="宋体" w:cs="宋体"/>
          <w:color w:val="auto"/>
        </w:rPr>
      </w:pPr>
    </w:p>
    <w:p w14:paraId="47D592AC">
      <w:pPr>
        <w:rPr>
          <w:rFonts w:hint="eastAsia" w:ascii="宋体" w:hAnsi="宋体" w:eastAsia="宋体" w:cs="宋体"/>
          <w:color w:val="auto"/>
        </w:rPr>
      </w:pPr>
    </w:p>
    <w:p w14:paraId="25970233">
      <w:pPr>
        <w:rPr>
          <w:rFonts w:hint="eastAsia" w:ascii="宋体" w:hAnsi="宋体" w:eastAsia="宋体" w:cs="宋体"/>
          <w:color w:val="auto"/>
        </w:rPr>
      </w:pPr>
    </w:p>
    <w:p w14:paraId="7BB80EE4">
      <w:pPr>
        <w:rPr>
          <w:rFonts w:hint="eastAsia" w:ascii="宋体" w:hAnsi="宋体" w:eastAsia="宋体" w:cs="宋体"/>
          <w:color w:val="auto"/>
          <w:lang w:val="en-US"/>
        </w:rPr>
      </w:pPr>
    </w:p>
    <w:p w14:paraId="628F1571">
      <w:pPr>
        <w:rPr>
          <w:rFonts w:hint="eastAsia" w:ascii="宋体" w:hAnsi="宋体" w:eastAsia="宋体" w:cs="宋体"/>
          <w:color w:val="auto"/>
          <w:lang w:val="en-US"/>
        </w:rPr>
      </w:pPr>
    </w:p>
    <w:p w14:paraId="5790DB68">
      <w:pPr>
        <w:rPr>
          <w:rFonts w:hint="eastAsia" w:ascii="宋体" w:hAnsi="宋体" w:eastAsia="宋体" w:cs="宋体"/>
          <w:color w:val="auto"/>
          <w:lang w:val="en-US"/>
        </w:rPr>
      </w:pPr>
    </w:p>
    <w:p w14:paraId="55969203">
      <w:pPr>
        <w:rPr>
          <w:rFonts w:hint="eastAsia" w:ascii="宋体" w:hAnsi="宋体" w:eastAsia="宋体" w:cs="宋体"/>
          <w:color w:val="auto"/>
          <w:lang w:val="en-US"/>
        </w:rPr>
      </w:pPr>
    </w:p>
    <w:p w14:paraId="58C0B4B2">
      <w:pPr>
        <w:rPr>
          <w:rFonts w:hint="eastAsia" w:ascii="宋体" w:hAnsi="宋体" w:eastAsia="宋体" w:cs="宋体"/>
          <w:color w:val="auto"/>
          <w:lang w:val="en-US"/>
        </w:rPr>
      </w:pPr>
    </w:p>
    <w:p w14:paraId="6DD1C1C7">
      <w:pPr>
        <w:rPr>
          <w:rFonts w:hint="eastAsia" w:ascii="宋体" w:hAnsi="宋体" w:eastAsia="宋体" w:cs="宋体"/>
          <w:color w:val="auto"/>
          <w:lang w:val="en-US"/>
        </w:rPr>
      </w:pPr>
    </w:p>
    <w:p w14:paraId="0CB8C3BF">
      <w:pPr>
        <w:rPr>
          <w:rFonts w:hint="eastAsia" w:ascii="宋体" w:hAnsi="宋体" w:eastAsia="宋体" w:cs="宋体"/>
          <w:color w:val="auto"/>
          <w:lang w:val="en-US"/>
        </w:rPr>
      </w:pPr>
    </w:p>
    <w:p w14:paraId="3D388880">
      <w:pPr>
        <w:rPr>
          <w:rFonts w:hint="eastAsia" w:ascii="宋体" w:hAnsi="宋体" w:eastAsia="宋体" w:cs="宋体"/>
          <w:color w:val="auto"/>
          <w:lang w:val="en-US"/>
        </w:rPr>
      </w:pPr>
    </w:p>
    <w:p w14:paraId="7D9E55A2">
      <w:pPr>
        <w:rPr>
          <w:rFonts w:hint="eastAsia" w:ascii="宋体" w:hAnsi="宋体" w:eastAsia="宋体" w:cs="宋体"/>
          <w:color w:val="auto"/>
          <w:lang w:val="en-US"/>
        </w:rPr>
      </w:pPr>
    </w:p>
    <w:p w14:paraId="5C40A3B1">
      <w:pPr>
        <w:rPr>
          <w:rFonts w:hint="eastAsia" w:ascii="宋体" w:hAnsi="宋体" w:eastAsia="宋体" w:cs="宋体"/>
          <w:color w:val="auto"/>
          <w:lang w:val="en-US"/>
        </w:rPr>
      </w:pPr>
    </w:p>
    <w:p w14:paraId="6E8B50DE">
      <w:pPr>
        <w:rPr>
          <w:rFonts w:hint="eastAsia" w:ascii="宋体" w:hAnsi="宋体" w:eastAsia="宋体" w:cs="宋体"/>
          <w:color w:val="auto"/>
          <w:lang w:val="en-US"/>
        </w:rPr>
      </w:pPr>
    </w:p>
    <w:p w14:paraId="2B69A305">
      <w:pPr>
        <w:rPr>
          <w:rFonts w:hint="eastAsia" w:ascii="宋体" w:hAnsi="宋体" w:eastAsia="宋体" w:cs="宋体"/>
          <w:color w:val="auto"/>
          <w:lang w:val="en-US"/>
        </w:rPr>
      </w:pPr>
    </w:p>
    <w:p w14:paraId="638AAED5">
      <w:pPr>
        <w:rPr>
          <w:rFonts w:hint="eastAsia" w:ascii="宋体" w:hAnsi="宋体" w:eastAsia="宋体" w:cs="宋体"/>
          <w:color w:val="auto"/>
          <w:lang w:val="en-US"/>
        </w:rPr>
      </w:pPr>
    </w:p>
    <w:p w14:paraId="24061215">
      <w:pPr>
        <w:rPr>
          <w:rFonts w:hint="eastAsia" w:ascii="宋体" w:hAnsi="宋体" w:eastAsia="宋体" w:cs="宋体"/>
          <w:color w:val="auto"/>
          <w:lang w:val="en-US"/>
        </w:rPr>
      </w:pPr>
    </w:p>
    <w:p w14:paraId="1E38EE85">
      <w:pPr>
        <w:rPr>
          <w:rFonts w:hint="eastAsia" w:ascii="宋体" w:hAnsi="宋体" w:eastAsia="宋体" w:cs="宋体"/>
          <w:color w:val="auto"/>
          <w:lang w:val="en-US"/>
        </w:rPr>
      </w:pPr>
    </w:p>
    <w:p w14:paraId="75FCF320">
      <w:pPr>
        <w:rPr>
          <w:rFonts w:hint="eastAsia" w:ascii="宋体" w:hAnsi="宋体" w:eastAsia="宋体" w:cs="宋体"/>
          <w:color w:val="auto"/>
          <w:lang w:val="en-US"/>
        </w:rPr>
      </w:pPr>
    </w:p>
    <w:p w14:paraId="52D0E747">
      <w:pPr>
        <w:rPr>
          <w:rFonts w:hint="eastAsia" w:ascii="宋体" w:hAnsi="宋体" w:eastAsia="宋体" w:cs="宋体"/>
          <w:color w:val="auto"/>
          <w:lang w:val="en-US"/>
        </w:rPr>
      </w:pPr>
    </w:p>
    <w:p w14:paraId="04807EB8">
      <w:pPr>
        <w:rPr>
          <w:rFonts w:hint="eastAsia" w:ascii="宋体" w:hAnsi="宋体" w:eastAsia="宋体" w:cs="宋体"/>
          <w:color w:val="auto"/>
          <w:lang w:val="en-US"/>
        </w:rPr>
      </w:pPr>
    </w:p>
    <w:p w14:paraId="33B95A34">
      <w:pPr>
        <w:rPr>
          <w:rFonts w:hint="eastAsia" w:ascii="宋体" w:hAnsi="宋体" w:eastAsia="宋体" w:cs="宋体"/>
          <w:color w:val="auto"/>
          <w:lang w:val="en-US"/>
        </w:rPr>
      </w:pPr>
    </w:p>
    <w:p w14:paraId="15508FB6">
      <w:pPr>
        <w:rPr>
          <w:rFonts w:hint="eastAsia" w:ascii="宋体" w:hAnsi="宋体" w:eastAsia="宋体" w:cs="宋体"/>
          <w:color w:val="auto"/>
          <w:lang w:val="en-US"/>
        </w:rPr>
      </w:pPr>
    </w:p>
    <w:p w14:paraId="238F5CE4">
      <w:pPr>
        <w:rPr>
          <w:rFonts w:hint="eastAsia" w:ascii="宋体" w:hAnsi="宋体" w:eastAsia="宋体" w:cs="宋体"/>
          <w:color w:val="auto"/>
          <w:lang w:val="en-US"/>
        </w:rPr>
      </w:pPr>
    </w:p>
    <w:p w14:paraId="496F9214">
      <w:pPr>
        <w:rPr>
          <w:rFonts w:hint="eastAsia" w:ascii="宋体" w:hAnsi="宋体" w:eastAsia="宋体" w:cs="宋体"/>
          <w:color w:val="auto"/>
          <w:lang w:val="en-US"/>
        </w:rPr>
      </w:pPr>
    </w:p>
    <w:p w14:paraId="6252F98C">
      <w:pPr>
        <w:rPr>
          <w:rFonts w:hint="eastAsia" w:ascii="宋体" w:hAnsi="宋体" w:eastAsia="宋体" w:cs="宋体"/>
          <w:color w:val="auto"/>
          <w:lang w:val="en-US"/>
        </w:rPr>
      </w:pPr>
    </w:p>
    <w:p w14:paraId="6B93B636">
      <w:pPr>
        <w:rPr>
          <w:rFonts w:hint="eastAsia" w:ascii="宋体" w:hAnsi="宋体" w:eastAsia="宋体" w:cs="宋体"/>
          <w:color w:val="auto"/>
          <w:lang w:val="en-US"/>
        </w:rPr>
      </w:pPr>
    </w:p>
    <w:p w14:paraId="0B414BD5">
      <w:pPr>
        <w:rPr>
          <w:rFonts w:hint="eastAsia" w:ascii="宋体" w:hAnsi="宋体" w:eastAsia="宋体" w:cs="宋体"/>
          <w:color w:val="auto"/>
          <w:lang w:val="en-US"/>
        </w:rPr>
      </w:pPr>
    </w:p>
    <w:p w14:paraId="740214C4">
      <w:pPr>
        <w:rPr>
          <w:rFonts w:hint="eastAsia" w:ascii="宋体" w:hAnsi="宋体" w:eastAsia="宋体" w:cs="宋体"/>
          <w:color w:val="auto"/>
          <w:lang w:val="en-US"/>
        </w:rPr>
      </w:pPr>
    </w:p>
    <w:p w14:paraId="5576BA27">
      <w:pPr>
        <w:rPr>
          <w:rFonts w:hint="eastAsia" w:ascii="宋体" w:hAnsi="宋体" w:eastAsia="宋体" w:cs="宋体"/>
          <w:color w:val="auto"/>
          <w:lang w:val="en-US"/>
        </w:rPr>
      </w:pPr>
    </w:p>
    <w:p w14:paraId="2A54D257">
      <w:pPr>
        <w:rPr>
          <w:rFonts w:hint="eastAsia" w:ascii="宋体" w:hAnsi="宋体" w:eastAsia="宋体" w:cs="宋体"/>
          <w:color w:val="auto"/>
          <w:lang w:val="en-US"/>
        </w:rPr>
      </w:pPr>
    </w:p>
    <w:p w14:paraId="7E76257B">
      <w:pPr>
        <w:rPr>
          <w:rFonts w:hint="eastAsia" w:ascii="宋体" w:hAnsi="宋体" w:eastAsia="宋体" w:cs="宋体"/>
          <w:color w:val="auto"/>
          <w:lang w:val="en-US"/>
        </w:rPr>
      </w:pPr>
    </w:p>
    <w:p w14:paraId="2A0D3A1E">
      <w:pPr>
        <w:rPr>
          <w:rFonts w:hint="eastAsia" w:ascii="宋体" w:hAnsi="宋体" w:eastAsia="宋体" w:cs="宋体"/>
          <w:color w:val="auto"/>
          <w:lang w:val="en-US"/>
        </w:rPr>
      </w:pPr>
    </w:p>
    <w:p w14:paraId="5C7CE541">
      <w:pPr>
        <w:rPr>
          <w:rFonts w:hint="eastAsia" w:ascii="宋体" w:hAnsi="宋体" w:eastAsia="宋体" w:cs="宋体"/>
          <w:color w:val="auto"/>
          <w:lang w:val="en-US"/>
        </w:rPr>
      </w:pPr>
    </w:p>
    <w:p w14:paraId="2EEB9DCA">
      <w:pPr>
        <w:rPr>
          <w:rFonts w:hint="eastAsia" w:ascii="宋体" w:hAnsi="宋体" w:eastAsia="宋体" w:cs="宋体"/>
          <w:color w:val="auto"/>
          <w:lang w:val="en-US"/>
        </w:rPr>
      </w:pPr>
    </w:p>
    <w:p w14:paraId="7571C272">
      <w:pPr>
        <w:rPr>
          <w:rFonts w:hint="eastAsia" w:ascii="宋体" w:hAnsi="宋体" w:eastAsia="宋体" w:cs="宋体"/>
          <w:color w:val="auto"/>
          <w:lang w:val="en-US"/>
        </w:rPr>
      </w:pPr>
    </w:p>
    <w:p w14:paraId="023088EC">
      <w:pPr>
        <w:rPr>
          <w:rFonts w:hint="eastAsia" w:ascii="宋体" w:hAnsi="宋体" w:eastAsia="宋体" w:cs="宋体"/>
          <w:color w:val="auto"/>
          <w:lang w:val="en-US"/>
        </w:rPr>
      </w:pPr>
    </w:p>
    <w:p w14:paraId="09AF741E">
      <w:pPr>
        <w:rPr>
          <w:rFonts w:hint="eastAsia" w:ascii="宋体" w:hAnsi="宋体" w:eastAsia="宋体" w:cs="宋体"/>
          <w:color w:val="auto"/>
          <w:lang w:val="en-US"/>
        </w:rPr>
      </w:pPr>
    </w:p>
    <w:p w14:paraId="4DE07FF1">
      <w:pPr>
        <w:rPr>
          <w:rFonts w:hint="eastAsia" w:ascii="宋体" w:hAnsi="宋体" w:eastAsia="宋体" w:cs="宋体"/>
          <w:color w:val="auto"/>
          <w:lang w:val="en-US"/>
        </w:rPr>
      </w:pPr>
    </w:p>
    <w:p w14:paraId="3C9F0E67">
      <w:pPr>
        <w:rPr>
          <w:rFonts w:hint="eastAsia" w:ascii="宋体" w:hAnsi="宋体" w:eastAsia="宋体" w:cs="宋体"/>
          <w:color w:val="auto"/>
          <w:lang w:val="en-US"/>
        </w:rPr>
      </w:pPr>
    </w:p>
    <w:p w14:paraId="36FBA57C">
      <w:pPr>
        <w:rPr>
          <w:rFonts w:hint="eastAsia" w:ascii="宋体" w:hAnsi="宋体" w:eastAsia="宋体" w:cs="宋体"/>
          <w:color w:val="auto"/>
          <w:lang w:val="en-US"/>
        </w:rPr>
      </w:pPr>
    </w:p>
    <w:p w14:paraId="36288247">
      <w:pPr>
        <w:pStyle w:val="3"/>
        <w:bidi w:val="0"/>
        <w:ind w:left="0" w:leftChars="0" w:firstLine="0" w:firstLineChars="0"/>
        <w:jc w:val="center"/>
        <w:rPr>
          <w:rFonts w:hint="eastAsia" w:ascii="宋体" w:hAnsi="宋体" w:eastAsia="宋体" w:cs="宋体"/>
          <w:color w:val="auto"/>
        </w:rPr>
      </w:pPr>
      <w:bookmarkStart w:id="118" w:name="_Toc31363"/>
      <w:bookmarkStart w:id="119" w:name="_Toc15144"/>
      <w:r>
        <w:rPr>
          <w:rFonts w:hint="eastAsia" w:ascii="宋体" w:hAnsi="宋体" w:eastAsia="宋体" w:cs="宋体"/>
          <w:color w:val="auto"/>
        </w:rPr>
        <w:t>第五章</w:t>
      </w:r>
      <w:r>
        <w:rPr>
          <w:rFonts w:hint="eastAsia" w:ascii="宋体" w:hAnsi="宋体" w:eastAsia="宋体" w:cs="宋体"/>
          <w:color w:val="auto"/>
          <w:lang w:val="en-US" w:eastAsia="zh-CN"/>
        </w:rPr>
        <w:t xml:space="preserve">   </w:t>
      </w:r>
      <w:r>
        <w:rPr>
          <w:rFonts w:hint="eastAsia" w:ascii="宋体" w:hAnsi="宋体" w:eastAsia="宋体" w:cs="宋体"/>
          <w:color w:val="auto"/>
        </w:rPr>
        <w:t>合同文件格式</w:t>
      </w:r>
      <w:bookmarkEnd w:id="118"/>
    </w:p>
    <w:p w14:paraId="5960AEE3">
      <w:pPr>
        <w:spacing w:before="78" w:line="360" w:lineRule="auto"/>
        <w:jc w:val="both"/>
        <w:outlineLvl w:val="0"/>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lang w:eastAsia="zh-CN"/>
        </w:rPr>
        <w:t>一、</w:t>
      </w:r>
      <w:r>
        <w:rPr>
          <w:rFonts w:hint="eastAsia" w:ascii="宋体" w:hAnsi="宋体" w:eastAsia="宋体" w:cs="宋体"/>
          <w:b/>
          <w:bCs/>
          <w:color w:val="auto"/>
          <w:spacing w:val="-3"/>
          <w:sz w:val="24"/>
          <w:szCs w:val="24"/>
          <w:highlight w:val="none"/>
        </w:rPr>
        <w:t>拟签订合同的主要条款</w:t>
      </w:r>
    </w:p>
    <w:p w14:paraId="0757F732">
      <w:pPr>
        <w:spacing w:before="151" w:line="360" w:lineRule="auto"/>
        <w:ind w:left="476"/>
        <w:outlineLvl w:val="2"/>
        <w:rPr>
          <w:rFonts w:hint="eastAsia" w:ascii="宋体" w:hAnsi="宋体" w:eastAsia="宋体" w:cs="宋体"/>
          <w:b/>
          <w:bCs/>
          <w:color w:val="auto"/>
          <w:spacing w:val="-11"/>
          <w:sz w:val="24"/>
          <w:szCs w:val="24"/>
          <w:highlight w:val="none"/>
        </w:rPr>
      </w:pPr>
      <w:bookmarkStart w:id="120" w:name="_Toc9967"/>
      <w:bookmarkStart w:id="121" w:name="_Toc16212"/>
      <w:r>
        <w:rPr>
          <w:rFonts w:hint="eastAsia" w:ascii="宋体" w:hAnsi="宋体" w:eastAsia="宋体" w:cs="宋体"/>
          <w:b/>
          <w:bCs/>
          <w:color w:val="auto"/>
          <w:spacing w:val="-11"/>
          <w:sz w:val="24"/>
          <w:szCs w:val="24"/>
          <w:highlight w:val="none"/>
        </w:rPr>
        <w:t>1</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工程承包方式</w:t>
      </w:r>
      <w:bookmarkEnd w:id="120"/>
      <w:bookmarkEnd w:id="121"/>
    </w:p>
    <w:p w14:paraId="448BBBEE">
      <w:pPr>
        <w:spacing w:before="153" w:line="360" w:lineRule="auto"/>
        <w:ind w:left="11" w:right="295" w:firstLine="487"/>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rPr>
        <w:t>承包人以中标价按包工包料、包质量、包安全包文明施工、包工期方式总承包施工，不允许转包和违法分包，如果确需分包须与发包人协商，在得到发包人和监理单位同意后报建设行政主管部门备案。</w:t>
      </w:r>
    </w:p>
    <w:p w14:paraId="29D666BF">
      <w:pPr>
        <w:spacing w:before="153" w:line="36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429EE177">
      <w:pPr>
        <w:spacing w:before="156" w:line="36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7BEC0B7D">
      <w:pPr>
        <w:spacing w:before="153" w:line="36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429648F">
      <w:pPr>
        <w:spacing w:before="154" w:line="360" w:lineRule="auto"/>
        <w:ind w:left="580"/>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2F050644">
      <w:pPr>
        <w:spacing w:before="151" w:line="360" w:lineRule="auto"/>
        <w:ind w:left="476"/>
        <w:outlineLvl w:val="2"/>
        <w:rPr>
          <w:rFonts w:hint="eastAsia" w:ascii="宋体" w:hAnsi="宋体" w:eastAsia="宋体" w:cs="宋体"/>
          <w:b/>
          <w:bCs/>
          <w:color w:val="auto"/>
          <w:spacing w:val="-11"/>
          <w:sz w:val="24"/>
          <w:szCs w:val="24"/>
          <w:highlight w:val="none"/>
        </w:rPr>
      </w:pPr>
      <w:bookmarkStart w:id="122" w:name="bookmark88"/>
      <w:bookmarkEnd w:id="122"/>
      <w:bookmarkStart w:id="123" w:name="_Toc32757"/>
      <w:bookmarkStart w:id="124" w:name="_Toc4294"/>
      <w:r>
        <w:rPr>
          <w:rFonts w:hint="eastAsia" w:ascii="宋体" w:hAnsi="宋体" w:eastAsia="宋体" w:cs="宋体"/>
          <w:b/>
          <w:bCs/>
          <w:color w:val="auto"/>
          <w:spacing w:val="-11"/>
          <w:sz w:val="24"/>
          <w:szCs w:val="24"/>
          <w:highlight w:val="none"/>
        </w:rPr>
        <w:t>2</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工程结算原则</w:t>
      </w:r>
      <w:bookmarkEnd w:id="123"/>
      <w:bookmarkEnd w:id="124"/>
    </w:p>
    <w:p w14:paraId="1A3E1B87">
      <w:pPr>
        <w:spacing w:before="155" w:line="360" w:lineRule="auto"/>
        <w:ind w:left="12" w:right="231" w:firstLine="476"/>
        <w:rPr>
          <w:rFonts w:hint="eastAsia" w:ascii="宋体" w:hAnsi="宋体" w:eastAsia="宋体" w:cs="宋体"/>
          <w:b w:val="0"/>
          <w:bCs w:val="0"/>
          <w:color w:val="auto"/>
          <w:spacing w:val="2"/>
          <w:sz w:val="24"/>
          <w:szCs w:val="24"/>
          <w:highlight w:val="none"/>
        </w:rPr>
      </w:pPr>
      <w:bookmarkStart w:id="125" w:name="_Toc15115"/>
      <w:r>
        <w:rPr>
          <w:rFonts w:hint="eastAsia" w:ascii="宋体" w:hAnsi="宋体" w:eastAsia="宋体" w:cs="宋体"/>
          <w:b/>
          <w:bCs/>
          <w:color w:val="auto"/>
          <w:spacing w:val="2"/>
          <w:sz w:val="24"/>
          <w:szCs w:val="24"/>
          <w:highlight w:val="none"/>
        </w:rPr>
        <w:t xml:space="preserve">2.1 </w:t>
      </w:r>
      <w:r>
        <w:rPr>
          <w:rFonts w:hint="eastAsia" w:ascii="宋体" w:hAnsi="宋体" w:eastAsia="宋体" w:cs="宋体"/>
          <w:b w:val="0"/>
          <w:bCs w:val="0"/>
          <w:color w:val="auto"/>
          <w:spacing w:val="2"/>
          <w:sz w:val="24"/>
          <w:szCs w:val="24"/>
          <w:highlight w:val="none"/>
        </w:rPr>
        <w:t>承包人的投标总价为中标价，即为签约合同价。</w:t>
      </w:r>
      <w:bookmarkEnd w:id="125"/>
    </w:p>
    <w:p w14:paraId="1D4F18AB">
      <w:pPr>
        <w:spacing w:before="155" w:line="360"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r>
        <w:rPr>
          <w:rFonts w:hint="eastAsia" w:ascii="宋体" w:hAnsi="宋体" w:cs="宋体"/>
          <w:color w:val="auto"/>
          <w:spacing w:val="-5"/>
          <w:sz w:val="24"/>
          <w:szCs w:val="24"/>
          <w:highlight w:val="none"/>
          <w:lang w:eastAsia="zh-CN"/>
        </w:rPr>
        <w:t>《建设工程工程量清单计价标准》（GB/T50500-2024）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6BEEFEE6">
      <w:pPr>
        <w:keepNext w:val="0"/>
        <w:keepLines w:val="0"/>
        <w:pageBreakBefore w:val="0"/>
        <w:widowControl w:val="0"/>
        <w:kinsoku w:val="0"/>
        <w:wordWrap/>
        <w:overflowPunct/>
        <w:topLinePunct w:val="0"/>
        <w:autoSpaceDE w:val="0"/>
        <w:autoSpaceDN w:val="0"/>
        <w:bidi w:val="0"/>
        <w:adjustRightInd w:val="0"/>
        <w:snapToGrid w:val="0"/>
        <w:spacing w:before="38" w:line="360" w:lineRule="auto"/>
        <w:ind w:left="12" w:right="183" w:firstLine="475"/>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48658D1A">
      <w:pPr>
        <w:keepNext w:val="0"/>
        <w:keepLines w:val="0"/>
        <w:pageBreakBefore w:val="0"/>
        <w:widowControl w:val="0"/>
        <w:kinsoku w:val="0"/>
        <w:wordWrap/>
        <w:overflowPunct/>
        <w:topLinePunct w:val="0"/>
        <w:autoSpaceDE w:val="0"/>
        <w:autoSpaceDN w:val="0"/>
        <w:bidi w:val="0"/>
        <w:adjustRightInd w:val="0"/>
        <w:snapToGrid w:val="0"/>
        <w:spacing w:before="227" w:line="360" w:lineRule="auto"/>
        <w:ind w:left="48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13315E7E">
      <w:pPr>
        <w:keepNext w:val="0"/>
        <w:keepLines w:val="0"/>
        <w:pageBreakBefore w:val="0"/>
        <w:widowControl w:val="0"/>
        <w:kinsoku w:val="0"/>
        <w:wordWrap/>
        <w:overflowPunct/>
        <w:topLinePunct w:val="0"/>
        <w:autoSpaceDE w:val="0"/>
        <w:autoSpaceDN w:val="0"/>
        <w:bidi w:val="0"/>
        <w:adjustRightInd w:val="0"/>
        <w:snapToGrid w:val="0"/>
        <w:spacing w:before="156" w:line="360" w:lineRule="auto"/>
        <w:ind w:left="10" w:right="183"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48BD80C1">
      <w:pPr>
        <w:keepNext w:val="0"/>
        <w:keepLines w:val="0"/>
        <w:pageBreakBefore w:val="0"/>
        <w:widowControl w:val="0"/>
        <w:kinsoku w:val="0"/>
        <w:wordWrap/>
        <w:overflowPunct/>
        <w:topLinePunct w:val="0"/>
        <w:autoSpaceDE w:val="0"/>
        <w:autoSpaceDN w:val="0"/>
        <w:bidi w:val="0"/>
        <w:adjustRightInd w:val="0"/>
        <w:snapToGrid w:val="0"/>
        <w:spacing w:before="157" w:line="360" w:lineRule="auto"/>
        <w:ind w:left="12" w:right="183" w:firstLine="479"/>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w:t>
      </w:r>
      <w:r>
        <w:rPr>
          <w:rFonts w:hint="eastAsia" w:ascii="宋体" w:hAnsi="宋体" w:cs="宋体"/>
          <w:b/>
          <w:bCs/>
          <w:color w:val="auto"/>
          <w:spacing w:val="-12"/>
          <w:sz w:val="24"/>
          <w:szCs w:val="24"/>
          <w:highlight w:val="none"/>
          <w:lang w:eastAsia="zh-CN"/>
        </w:rPr>
        <w:t>二</w:t>
      </w:r>
      <w:r>
        <w:rPr>
          <w:rFonts w:hint="eastAsia" w:ascii="宋体" w:hAnsi="宋体" w:eastAsia="宋体" w:cs="宋体"/>
          <w:b/>
          <w:bCs/>
          <w:color w:val="auto"/>
          <w:spacing w:val="-12"/>
          <w:sz w:val="24"/>
          <w:szCs w:val="24"/>
          <w:highlight w:val="none"/>
        </w:rPr>
        <w:t>章</w:t>
      </w:r>
      <w:r>
        <w:rPr>
          <w:rFonts w:hint="eastAsia" w:ascii="宋体" w:hAnsi="宋体" w:cs="宋体"/>
          <w:b/>
          <w:bCs/>
          <w:color w:val="auto"/>
          <w:spacing w:val="-12"/>
          <w:sz w:val="24"/>
          <w:szCs w:val="24"/>
          <w:highlight w:val="none"/>
          <w:lang w:val="en-US" w:eastAsia="zh-CN"/>
        </w:rPr>
        <w:t xml:space="preserve"> </w:t>
      </w:r>
      <w:r>
        <w:rPr>
          <w:rFonts w:hint="eastAsia" w:ascii="宋体" w:hAnsi="宋体" w:eastAsia="宋体" w:cs="宋体"/>
          <w:b w:val="0"/>
          <w:bCs w:val="0"/>
          <w:color w:val="auto"/>
          <w:sz w:val="24"/>
          <w:szCs w:val="24"/>
          <w:lang w:val="en-US" w:eastAsia="zh-CN"/>
        </w:rPr>
        <w:t>二、</w:t>
      </w:r>
      <w:r>
        <w:rPr>
          <w:rFonts w:hint="eastAsia" w:ascii="宋体" w:hAnsi="宋体" w:eastAsia="宋体" w:cs="宋体"/>
          <w:b/>
          <w:bCs/>
          <w:color w:val="auto"/>
          <w:spacing w:val="-12"/>
          <w:sz w:val="24"/>
          <w:szCs w:val="24"/>
          <w:highlight w:val="none"/>
        </w:rPr>
        <w:t>“重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”）前28天。</w:t>
      </w:r>
    </w:p>
    <w:p w14:paraId="5669FBBA">
      <w:pPr>
        <w:keepNext w:val="0"/>
        <w:keepLines w:val="0"/>
        <w:pageBreakBefore w:val="0"/>
        <w:widowControl w:val="0"/>
        <w:kinsoku w:val="0"/>
        <w:wordWrap/>
        <w:overflowPunct/>
        <w:topLinePunct w:val="0"/>
        <w:autoSpaceDE w:val="0"/>
        <w:autoSpaceDN w:val="0"/>
        <w:bidi w:val="0"/>
        <w:adjustRightInd w:val="0"/>
        <w:snapToGrid w:val="0"/>
        <w:spacing w:before="33" w:line="360" w:lineRule="auto"/>
        <w:ind w:left="1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.3.1.1</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411FBBD">
      <w:pPr>
        <w:keepNext w:val="0"/>
        <w:keepLines w:val="0"/>
        <w:pageBreakBefore w:val="0"/>
        <w:widowControl w:val="0"/>
        <w:kinsoku w:val="0"/>
        <w:wordWrap/>
        <w:overflowPunct/>
        <w:topLinePunct w:val="0"/>
        <w:autoSpaceDE w:val="0"/>
        <w:autoSpaceDN w:val="0"/>
        <w:bidi w:val="0"/>
        <w:adjustRightInd w:val="0"/>
        <w:snapToGrid w:val="0"/>
        <w:spacing w:before="155" w:line="360" w:lineRule="auto"/>
        <w:ind w:left="48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008BBDDB">
      <w:pPr>
        <w:keepNext w:val="0"/>
        <w:keepLines w:val="0"/>
        <w:pageBreakBefore w:val="0"/>
        <w:widowControl w:val="0"/>
        <w:kinsoku w:val="0"/>
        <w:wordWrap/>
        <w:overflowPunct/>
        <w:topLinePunct w:val="0"/>
        <w:autoSpaceDE w:val="0"/>
        <w:autoSpaceDN w:val="0"/>
        <w:bidi w:val="0"/>
        <w:adjustRightInd w:val="0"/>
        <w:snapToGrid w:val="0"/>
        <w:spacing w:before="158" w:line="360" w:lineRule="auto"/>
        <w:ind w:left="10" w:right="183"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合同履行期间，当应予计算的实际工程量与招标工程量清单出现偏差或因工程变更引起已标价工程量清单项目的工程数量发生变化时，工程量偏差或变化在15%以</w:t>
      </w:r>
      <w:r>
        <w:rPr>
          <w:rFonts w:hint="eastAsia" w:ascii="宋体" w:hAnsi="宋体" w:eastAsia="宋体" w:cs="宋体"/>
          <w:color w:val="auto"/>
          <w:spacing w:val="-4"/>
          <w:sz w:val="24"/>
          <w:szCs w:val="24"/>
          <w:highlight w:val="none"/>
        </w:rPr>
        <w:t>内（含15%）的，其综合单价不予调整；工程量偏差或变化超过15%的，按照以下规定</w:t>
      </w:r>
      <w:r>
        <w:rPr>
          <w:rFonts w:hint="eastAsia" w:ascii="宋体" w:hAnsi="宋体" w:eastAsia="宋体" w:cs="宋体"/>
          <w:color w:val="auto"/>
          <w:spacing w:val="-3"/>
          <w:sz w:val="24"/>
          <w:szCs w:val="24"/>
          <w:highlight w:val="none"/>
        </w:rPr>
        <w:t>调整：</w:t>
      </w:r>
    </w:p>
    <w:p w14:paraId="7D2A974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12" w:firstLine="478"/>
        <w:jc w:val="both"/>
        <w:textAlignment w:val="baseline"/>
        <w:rPr>
          <w:rFonts w:hint="eastAsia" w:ascii="宋体" w:hAnsi="宋体" w:eastAsia="宋体" w:cs="宋体"/>
          <w:color w:val="auto"/>
          <w:sz w:val="24"/>
          <w:szCs w:val="24"/>
          <w:highlight w:val="none"/>
        </w:rPr>
      </w:pPr>
      <w:bookmarkStart w:id="126" w:name="bookmark142"/>
      <w:bookmarkEnd w:id="126"/>
      <w:r>
        <w:rPr>
          <w:rFonts w:hint="eastAsia" w:ascii="宋体" w:hAnsi="宋体" w:eastAsia="宋体" w:cs="宋体"/>
          <w:color w:val="auto"/>
          <w:spacing w:val="-3"/>
          <w:sz w:val="24"/>
          <w:szCs w:val="24"/>
          <w:highlight w:val="none"/>
        </w:rPr>
        <w:t>对于合理报价的清单项目，当工程量增加超过15%时，增加部分的工程量的综合单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3%；当工程量减少超过15%时，减少后剩余部分的工程量的综合单价以投标报价《分部分项工程和单价措施项目清单与计价表》中综合单价为基价调高3%</w:t>
      </w:r>
      <w:r>
        <w:rPr>
          <w:rFonts w:hint="eastAsia" w:ascii="宋体" w:hAnsi="宋体" w:eastAsia="宋体" w:cs="宋体"/>
          <w:color w:val="auto"/>
          <w:spacing w:val="-1"/>
          <w:sz w:val="24"/>
          <w:szCs w:val="24"/>
          <w:highlight w:val="none"/>
        </w:rPr>
        <w:t>。</w:t>
      </w:r>
    </w:p>
    <w:p w14:paraId="6CC66F44">
      <w:pPr>
        <w:spacing w:before="150" w:line="360" w:lineRule="auto"/>
        <w:ind w:left="13" w:right="108" w:firstLine="474"/>
        <w:rPr>
          <w:rFonts w:hint="eastAsia" w:ascii="宋体" w:hAnsi="宋体" w:eastAsia="宋体" w:cs="宋体"/>
          <w:b/>
          <w:bCs/>
          <w:color w:val="auto"/>
          <w:sz w:val="24"/>
          <w:szCs w:val="24"/>
          <w:highlight w:val="none"/>
        </w:rPr>
      </w:pPr>
      <w:bookmarkStart w:id="127" w:name="_Toc24043"/>
      <w:r>
        <w:rPr>
          <w:rFonts w:hint="eastAsia" w:ascii="宋体" w:hAnsi="宋体" w:eastAsia="宋体" w:cs="宋体"/>
          <w:b/>
          <w:bCs/>
          <w:color w:val="auto"/>
          <w:sz w:val="24"/>
          <w:szCs w:val="24"/>
          <w:highlight w:val="none"/>
        </w:rPr>
        <w:t>不正常报价的梳理和确认</w:t>
      </w:r>
      <w:bookmarkEnd w:id="127"/>
    </w:p>
    <w:p w14:paraId="0F0E66BC">
      <w:pPr>
        <w:spacing w:before="154" w:line="360" w:lineRule="auto"/>
        <w:ind w:left="14" w:right="64" w:firstLine="473"/>
        <w:rPr>
          <w:rFonts w:hint="eastAsia" w:ascii="宋体" w:hAnsi="宋体" w:eastAsia="宋体" w:cs="宋体"/>
          <w:color w:val="auto"/>
          <w:sz w:val="24"/>
          <w:szCs w:val="24"/>
          <w:highlight w:val="none"/>
        </w:rPr>
      </w:pPr>
      <w:r>
        <w:rPr>
          <w:rFonts w:hint="eastAsia" w:ascii="宋体" w:hAnsi="宋体" w:cs="宋体"/>
          <w:b w:val="0"/>
          <w:bCs w:val="0"/>
          <w:color w:val="auto"/>
          <w:spacing w:val="1"/>
          <w:sz w:val="24"/>
          <w:szCs w:val="24"/>
          <w:highlight w:val="none"/>
          <w:lang w:eastAsia="zh-CN"/>
        </w:rPr>
        <w:t>（</w:t>
      </w:r>
      <w:r>
        <w:rPr>
          <w:rFonts w:hint="eastAsia" w:ascii="宋体" w:hAnsi="宋体" w:cs="宋体"/>
          <w:b w:val="0"/>
          <w:bCs w:val="0"/>
          <w:color w:val="auto"/>
          <w:spacing w:val="1"/>
          <w:sz w:val="24"/>
          <w:szCs w:val="24"/>
          <w:highlight w:val="none"/>
          <w:lang w:val="en-US" w:eastAsia="zh-CN"/>
        </w:rPr>
        <w:t>1</w:t>
      </w:r>
      <w:r>
        <w:rPr>
          <w:rFonts w:hint="eastAsia" w:ascii="宋体" w:hAnsi="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合同订立期间，在不改变中标人的投标总价的前提下，招标人应对中标人的</w:t>
      </w:r>
      <w:r>
        <w:rPr>
          <w:rFonts w:hint="eastAsia" w:ascii="宋体" w:hAnsi="宋体" w:eastAsia="宋体" w:cs="宋体"/>
          <w:b w:val="0"/>
          <w:bCs w:val="0"/>
          <w:color w:val="auto"/>
          <w:spacing w:val="-3"/>
          <w:sz w:val="24"/>
          <w:szCs w:val="24"/>
          <w:highlight w:val="none"/>
        </w:rPr>
        <w:t>投标报价进行全面分析和整理，从而发现并提取其中可能存在的算术性错误、错漏项、不平衡报价等不正常报价，并修正其中的算术性错误。招</w:t>
      </w:r>
      <w:r>
        <w:rPr>
          <w:rFonts w:hint="eastAsia" w:ascii="宋体" w:hAnsi="宋体" w:eastAsia="宋体" w:cs="宋体"/>
          <w:color w:val="auto"/>
          <w:spacing w:val="-3"/>
          <w:sz w:val="24"/>
          <w:szCs w:val="24"/>
          <w:highlight w:val="none"/>
        </w:rPr>
        <w:t>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权编制本项目招标控制价的造价咨询单位实施。</w:t>
      </w:r>
    </w:p>
    <w:p w14:paraId="60493062">
      <w:pPr>
        <w:spacing w:before="121" w:line="360" w:lineRule="auto"/>
        <w:ind w:left="14" w:right="65" w:firstLine="473"/>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7BB0AF98">
      <w:pPr>
        <w:spacing w:before="157" w:line="360" w:lineRule="auto"/>
        <w:ind w:left="12" w:right="66" w:firstLine="476"/>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w:t>
      </w: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AF8E3BC">
      <w:pPr>
        <w:spacing w:before="121" w:line="360" w:lineRule="auto"/>
        <w:ind w:firstLine="488" w:firstLineChars="200"/>
        <w:rPr>
          <w:rFonts w:hint="eastAsia" w:ascii="宋体" w:hAnsi="宋体" w:eastAsia="宋体" w:cs="宋体"/>
          <w:color w:val="auto"/>
          <w:sz w:val="24"/>
          <w:szCs w:val="24"/>
          <w:highlight w:val="none"/>
        </w:rPr>
      </w:pPr>
      <w:r>
        <w:rPr>
          <w:rFonts w:hint="eastAsia" w:ascii="宋体" w:hAnsi="宋体" w:cs="宋体"/>
          <w:b w:val="0"/>
          <w:bCs w:val="0"/>
          <w:color w:val="auto"/>
          <w:spacing w:val="2"/>
          <w:sz w:val="24"/>
          <w:szCs w:val="24"/>
          <w:highlight w:val="none"/>
          <w:lang w:eastAsia="zh-CN"/>
        </w:rPr>
        <w:t>（</w:t>
      </w:r>
      <w:r>
        <w:rPr>
          <w:rFonts w:hint="eastAsia" w:ascii="宋体" w:hAnsi="宋体" w:cs="宋体"/>
          <w:b w:val="0"/>
          <w:bCs w:val="0"/>
          <w:color w:val="auto"/>
          <w:spacing w:val="2"/>
          <w:sz w:val="24"/>
          <w:szCs w:val="24"/>
          <w:highlight w:val="none"/>
          <w:lang w:val="en-US" w:eastAsia="zh-CN"/>
        </w:rPr>
        <w:t>4</w:t>
      </w:r>
      <w:r>
        <w:rPr>
          <w:rFonts w:hint="eastAsia" w:ascii="宋体" w:hAnsi="宋体" w:cs="宋体"/>
          <w:b w:val="0"/>
          <w:bCs w:val="0"/>
          <w:color w:val="auto"/>
          <w:spacing w:val="2"/>
          <w:sz w:val="24"/>
          <w:szCs w:val="24"/>
          <w:highlight w:val="none"/>
          <w:lang w:eastAsia="zh-CN"/>
        </w:rPr>
        <w:t>）</w:t>
      </w:r>
      <w:r>
        <w:rPr>
          <w:rFonts w:hint="eastAsia" w:ascii="宋体" w:hAnsi="宋体" w:eastAsia="宋体" w:cs="宋体"/>
          <w:color w:val="auto"/>
          <w:spacing w:val="2"/>
          <w:sz w:val="24"/>
          <w:szCs w:val="24"/>
          <w:highlight w:val="none"/>
        </w:rPr>
        <w:t>不平衡报价的认定。经修正算术性错误后的中标人已标价工程量清单中，对于投标报价中综合单价相对招标控制价《分部分项工程和单价措施项目清单与计价表》中对应综合单价的偏差大于±15%的清</w:t>
      </w:r>
      <w:r>
        <w:rPr>
          <w:rFonts w:hint="eastAsia" w:ascii="宋体" w:hAnsi="宋体" w:eastAsia="宋体" w:cs="宋体"/>
          <w:color w:val="auto"/>
          <w:spacing w:val="-3"/>
          <w:sz w:val="24"/>
          <w:szCs w:val="24"/>
          <w:highlight w:val="none"/>
        </w:rPr>
        <w:t>单项目，视为不平衡报价项目。</w:t>
      </w:r>
    </w:p>
    <w:p w14:paraId="48F72EBF">
      <w:pPr>
        <w:spacing w:before="146" w:line="360" w:lineRule="auto"/>
        <w:ind w:left="10" w:right="65" w:firstLine="478"/>
        <w:jc w:val="both"/>
        <w:rPr>
          <w:rFonts w:hint="eastAsia" w:ascii="宋体" w:hAnsi="宋体" w:eastAsia="宋体" w:cs="宋体"/>
          <w:color w:val="auto"/>
          <w:sz w:val="24"/>
          <w:szCs w:val="24"/>
          <w:highlight w:val="none"/>
        </w:rPr>
      </w:pPr>
      <w:r>
        <w:rPr>
          <w:rFonts w:hint="eastAsia" w:ascii="宋体" w:hAnsi="宋体" w:cs="宋体"/>
          <w:b w:val="0"/>
          <w:bCs w:val="0"/>
          <w:color w:val="auto"/>
          <w:spacing w:val="-3"/>
          <w:sz w:val="24"/>
          <w:szCs w:val="24"/>
          <w:highlight w:val="none"/>
          <w:lang w:eastAsia="zh-CN"/>
        </w:rPr>
        <w:t>（</w:t>
      </w:r>
      <w:r>
        <w:rPr>
          <w:rFonts w:hint="eastAsia" w:ascii="宋体" w:hAnsi="宋体" w:cs="宋体"/>
          <w:b w:val="0"/>
          <w:bCs w:val="0"/>
          <w:color w:val="auto"/>
          <w:spacing w:val="-3"/>
          <w:sz w:val="24"/>
          <w:szCs w:val="24"/>
          <w:highlight w:val="none"/>
          <w:lang w:val="en-US" w:eastAsia="zh-CN"/>
        </w:rPr>
        <w:t>5</w:t>
      </w:r>
      <w:r>
        <w:rPr>
          <w:rFonts w:hint="eastAsia" w:ascii="宋体" w:hAnsi="宋体" w:cs="宋体"/>
          <w:b w:val="0"/>
          <w:bCs w:val="0"/>
          <w:color w:val="auto"/>
          <w:spacing w:val="-3"/>
          <w:sz w:val="24"/>
          <w:szCs w:val="24"/>
          <w:highlight w:val="none"/>
          <w:lang w:eastAsia="zh-CN"/>
        </w:rPr>
        <w:t>）</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489EB373">
      <w:pPr>
        <w:spacing w:before="34" w:line="360" w:lineRule="auto"/>
        <w:ind w:left="12" w:right="65" w:firstLine="475"/>
        <w:rPr>
          <w:rFonts w:hint="eastAsia" w:ascii="宋体" w:hAnsi="宋体" w:eastAsia="宋体" w:cs="宋体"/>
          <w:b w:val="0"/>
          <w:bCs w:val="0"/>
          <w:color w:val="auto"/>
          <w:sz w:val="24"/>
          <w:szCs w:val="24"/>
          <w:highlight w:val="none"/>
        </w:rPr>
      </w:pPr>
      <w:r>
        <w:rPr>
          <w:rFonts w:hint="eastAsia" w:ascii="宋体" w:hAnsi="宋体" w:cs="宋体"/>
          <w:b w:val="0"/>
          <w:bCs w:val="0"/>
          <w:color w:val="auto"/>
          <w:spacing w:val="1"/>
          <w:sz w:val="24"/>
          <w:szCs w:val="24"/>
          <w:highlight w:val="none"/>
          <w:lang w:eastAsia="zh-CN"/>
        </w:rPr>
        <w:t>（</w:t>
      </w:r>
      <w:r>
        <w:rPr>
          <w:rFonts w:hint="eastAsia" w:ascii="宋体" w:hAnsi="宋体" w:cs="宋体"/>
          <w:b w:val="0"/>
          <w:bCs w:val="0"/>
          <w:color w:val="auto"/>
          <w:spacing w:val="1"/>
          <w:sz w:val="24"/>
          <w:szCs w:val="24"/>
          <w:highlight w:val="none"/>
          <w:lang w:val="en-US" w:eastAsia="zh-CN"/>
        </w:rPr>
        <w:t>6</w:t>
      </w:r>
      <w:r>
        <w:rPr>
          <w:rFonts w:hint="eastAsia" w:ascii="宋体" w:hAnsi="宋体" w:cs="宋体"/>
          <w:b w:val="0"/>
          <w:bCs w:val="0"/>
          <w:color w:val="auto"/>
          <w:spacing w:val="1"/>
          <w:sz w:val="24"/>
          <w:szCs w:val="24"/>
          <w:highlight w:val="none"/>
          <w:lang w:eastAsia="zh-CN"/>
        </w:rPr>
        <w:t>）</w:t>
      </w:r>
      <w:r>
        <w:rPr>
          <w:rFonts w:hint="eastAsia" w:ascii="宋体" w:hAnsi="宋体" w:eastAsia="宋体" w:cs="宋体"/>
          <w:b w:val="0"/>
          <w:bCs w:val="0"/>
          <w:color w:val="auto"/>
          <w:spacing w:val="1"/>
          <w:sz w:val="24"/>
          <w:szCs w:val="24"/>
          <w:highlight w:val="none"/>
        </w:rPr>
        <w:t>合同履行过程中，被认定为错漏项的清单项目，结算时按照“拟签订</w:t>
      </w:r>
      <w:r>
        <w:rPr>
          <w:rFonts w:hint="eastAsia" w:ascii="宋体" w:hAnsi="宋体" w:eastAsia="宋体" w:cs="宋体"/>
          <w:b w:val="0"/>
          <w:bCs w:val="0"/>
          <w:color w:val="auto"/>
          <w:spacing w:val="-6"/>
          <w:sz w:val="24"/>
          <w:szCs w:val="24"/>
          <w:highlight w:val="none"/>
        </w:rPr>
        <w:t>合同的主要条款</w:t>
      </w:r>
      <w:r>
        <w:rPr>
          <w:rFonts w:hint="eastAsia" w:ascii="宋体" w:hAnsi="宋体" w:eastAsia="宋体" w:cs="宋体"/>
          <w:b w:val="0"/>
          <w:bCs w:val="0"/>
          <w:color w:val="auto"/>
          <w:spacing w:val="-77"/>
          <w:sz w:val="24"/>
          <w:szCs w:val="24"/>
          <w:highlight w:val="none"/>
        </w:rPr>
        <w:t xml:space="preserve"> </w:t>
      </w:r>
      <w:r>
        <w:rPr>
          <w:rFonts w:hint="eastAsia" w:ascii="宋体" w:hAnsi="宋体" w:eastAsia="宋体" w:cs="宋体"/>
          <w:b w:val="0"/>
          <w:bCs w:val="0"/>
          <w:color w:val="auto"/>
          <w:spacing w:val="-6"/>
          <w:sz w:val="24"/>
          <w:szCs w:val="24"/>
          <w:highlight w:val="none"/>
        </w:rPr>
        <w:t>”规定处理。</w:t>
      </w:r>
    </w:p>
    <w:p w14:paraId="46FD6D81">
      <w:pPr>
        <w:spacing w:before="33" w:line="360" w:lineRule="auto"/>
        <w:ind w:left="12" w:right="38" w:firstLine="476"/>
        <w:jc w:val="both"/>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合同履行过程中，合同约定的调</w:t>
      </w:r>
      <w:r>
        <w:rPr>
          <w:rFonts w:hint="eastAsia" w:ascii="宋体" w:hAnsi="宋体" w:eastAsia="宋体" w:cs="宋体"/>
          <w:b w:val="0"/>
          <w:bCs w:val="0"/>
          <w:color w:val="auto"/>
          <w:spacing w:val="-1"/>
          <w:sz w:val="24"/>
          <w:szCs w:val="24"/>
          <w:highlight w:val="none"/>
        </w:rPr>
        <w:t>整因素（如工程量偏差、工程变更、项目特</w:t>
      </w:r>
      <w:r>
        <w:rPr>
          <w:rFonts w:hint="eastAsia" w:ascii="宋体" w:hAnsi="宋体" w:eastAsia="宋体" w:cs="宋体"/>
          <w:b w:val="0"/>
          <w:bCs w:val="0"/>
          <w:color w:val="auto"/>
          <w:spacing w:val="-4"/>
          <w:sz w:val="24"/>
          <w:szCs w:val="24"/>
          <w:highlight w:val="none"/>
        </w:rPr>
        <w:t>征不符、招标工程量清单缺项等）出现时，被认定为不平衡报价的清单项目以及</w:t>
      </w:r>
      <w:r>
        <w:rPr>
          <w:rFonts w:hint="eastAsia" w:ascii="宋体" w:hAnsi="宋体" w:eastAsia="宋体" w:cs="宋体"/>
          <w:b w:val="0"/>
          <w:bCs w:val="0"/>
          <w:color w:val="auto"/>
          <w:spacing w:val="-5"/>
          <w:sz w:val="24"/>
          <w:szCs w:val="24"/>
          <w:highlight w:val="none"/>
        </w:rPr>
        <w:t>采用被</w:t>
      </w:r>
      <w:r>
        <w:rPr>
          <w:rFonts w:hint="eastAsia" w:ascii="宋体" w:hAnsi="宋体" w:eastAsia="宋体" w:cs="宋体"/>
          <w:b w:val="0"/>
          <w:bCs w:val="0"/>
          <w:color w:val="auto"/>
          <w:spacing w:val="-3"/>
          <w:sz w:val="24"/>
          <w:szCs w:val="24"/>
          <w:highlight w:val="none"/>
        </w:rPr>
        <w:t>认定为不平衡报价的清单项目的价格作为取价（或参照取</w:t>
      </w:r>
      <w:r>
        <w:rPr>
          <w:rFonts w:hint="eastAsia" w:ascii="宋体" w:hAnsi="宋体" w:eastAsia="宋体" w:cs="宋体"/>
          <w:b w:val="0"/>
          <w:bCs w:val="0"/>
          <w:color w:val="auto"/>
          <w:spacing w:val="-4"/>
          <w:sz w:val="24"/>
          <w:szCs w:val="24"/>
          <w:highlight w:val="none"/>
        </w:rPr>
        <w:t>价）依据的变更、新增项目，</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pacing w:val="-3"/>
          <w:sz w:val="24"/>
          <w:szCs w:val="24"/>
          <w:highlight w:val="none"/>
        </w:rPr>
        <w:t>按照“拟签订合同的主要条款</w:t>
      </w:r>
      <w:r>
        <w:rPr>
          <w:rFonts w:hint="eastAsia" w:ascii="宋体" w:hAnsi="宋体" w:eastAsia="宋体" w:cs="宋体"/>
          <w:b w:val="0"/>
          <w:bCs w:val="0"/>
          <w:color w:val="auto"/>
          <w:spacing w:val="-86"/>
          <w:sz w:val="24"/>
          <w:szCs w:val="24"/>
          <w:highlight w:val="none"/>
        </w:rPr>
        <w:t xml:space="preserve"> </w:t>
      </w:r>
      <w:r>
        <w:rPr>
          <w:rFonts w:hint="eastAsia" w:ascii="宋体" w:hAnsi="宋体" w:eastAsia="宋体" w:cs="宋体"/>
          <w:b w:val="0"/>
          <w:bCs w:val="0"/>
          <w:color w:val="auto"/>
          <w:spacing w:val="-3"/>
          <w:sz w:val="24"/>
          <w:szCs w:val="24"/>
          <w:highlight w:val="none"/>
        </w:rPr>
        <w:t>”有关规定调整</w:t>
      </w:r>
      <w:r>
        <w:rPr>
          <w:rFonts w:hint="eastAsia" w:ascii="宋体" w:hAnsi="宋体" w:eastAsia="宋体" w:cs="宋体"/>
          <w:b w:val="0"/>
          <w:bCs w:val="0"/>
          <w:color w:val="auto"/>
          <w:spacing w:val="-4"/>
          <w:sz w:val="24"/>
          <w:szCs w:val="24"/>
          <w:highlight w:val="none"/>
        </w:rPr>
        <w:t>合同价款。</w:t>
      </w:r>
    </w:p>
    <w:p w14:paraId="73F4EF6F">
      <w:pPr>
        <w:spacing w:before="97" w:line="360"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对于不平衡报价的清单项目，其综合</w:t>
      </w:r>
      <w:r>
        <w:rPr>
          <w:rFonts w:hint="eastAsia" w:ascii="宋体" w:hAnsi="宋体" w:eastAsia="宋体" w:cs="宋体"/>
          <w:b/>
          <w:bCs/>
          <w:color w:val="auto"/>
          <w:spacing w:val="-3"/>
          <w:sz w:val="24"/>
          <w:szCs w:val="24"/>
          <w:highlight w:val="none"/>
        </w:rPr>
        <w:t>单价按照以下方法调整：</w:t>
      </w:r>
    </w:p>
    <w:p w14:paraId="045BB731">
      <w:pPr>
        <w:spacing w:before="36" w:line="360" w:lineRule="auto"/>
        <w:ind w:firstLine="462"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以招标控制价中《分部分项工程和单价措施项目清单与计价表》子目相对应综合单</w:t>
      </w:r>
      <w:r>
        <w:rPr>
          <w:rFonts w:hint="eastAsia" w:ascii="宋体" w:hAnsi="宋体" w:eastAsia="宋体" w:cs="宋体"/>
          <w:b/>
          <w:bCs/>
          <w:color w:val="auto"/>
          <w:spacing w:val="-3"/>
          <w:sz w:val="24"/>
          <w:szCs w:val="24"/>
          <w:highlight w:val="none"/>
        </w:rPr>
        <w:t>价×（1-中标下浮率）。</w:t>
      </w:r>
    </w:p>
    <w:p w14:paraId="098AF6A7">
      <w:pPr>
        <w:spacing w:before="36" w:line="360" w:lineRule="auto"/>
        <w:ind w:firstLine="462" w:firstLineChars="200"/>
        <w:rPr>
          <w:rFonts w:hint="eastAsia" w:ascii="宋体" w:hAnsi="宋体" w:eastAsia="宋体" w:cs="宋体"/>
          <w:b/>
          <w:bCs/>
          <w:color w:val="auto"/>
          <w:spacing w:val="-5"/>
          <w:sz w:val="24"/>
          <w:szCs w:val="24"/>
          <w:highlight w:val="none"/>
        </w:rPr>
      </w:pPr>
      <w:bookmarkStart w:id="128" w:name="_Toc18478"/>
      <w:bookmarkStart w:id="129" w:name="_Toc12035"/>
      <w:bookmarkStart w:id="130" w:name="_Toc13345"/>
      <w:r>
        <w:rPr>
          <w:rFonts w:hint="eastAsia" w:ascii="宋体" w:hAnsi="宋体" w:eastAsia="宋体" w:cs="宋体"/>
          <w:b/>
          <w:bCs/>
          <w:color w:val="auto"/>
          <w:spacing w:val="-5"/>
          <w:sz w:val="24"/>
          <w:szCs w:val="24"/>
          <w:highlight w:val="none"/>
        </w:rPr>
        <w:t>中标下浮率=[1-（中标价-中标</w:t>
      </w:r>
      <w:r>
        <w:rPr>
          <w:rFonts w:hint="eastAsia" w:ascii="宋体" w:hAnsi="宋体" w:cs="宋体"/>
          <w:b/>
          <w:bCs/>
          <w:color w:val="auto"/>
          <w:spacing w:val="-5"/>
          <w:sz w:val="24"/>
          <w:szCs w:val="24"/>
          <w:highlight w:val="none"/>
          <w:lang w:eastAsia="zh-CN"/>
        </w:rPr>
        <w:t>安全生产措施费</w:t>
      </w:r>
      <w:r>
        <w:rPr>
          <w:rFonts w:hint="eastAsia" w:ascii="宋体" w:hAnsi="宋体" w:eastAsia="宋体" w:cs="宋体"/>
          <w:b/>
          <w:bCs/>
          <w:color w:val="auto"/>
          <w:spacing w:val="-5"/>
          <w:sz w:val="24"/>
          <w:szCs w:val="24"/>
          <w:highlight w:val="none"/>
        </w:rPr>
        <w:t>-暂列金额-暂估价）/（</w:t>
      </w:r>
      <w:bookmarkEnd w:id="128"/>
      <w:bookmarkEnd w:id="129"/>
      <w:bookmarkStart w:id="131" w:name="_Toc15512"/>
      <w:bookmarkStart w:id="132" w:name="_Toc13602"/>
      <w:r>
        <w:rPr>
          <w:rFonts w:hint="eastAsia" w:ascii="宋体" w:hAnsi="宋体" w:eastAsia="宋体" w:cs="宋体"/>
          <w:b/>
          <w:bCs/>
          <w:color w:val="auto"/>
          <w:spacing w:val="-5"/>
          <w:sz w:val="24"/>
          <w:szCs w:val="24"/>
          <w:highlight w:val="none"/>
        </w:rPr>
        <w:t>招标控制价-控制价</w:t>
      </w:r>
      <w:r>
        <w:rPr>
          <w:rFonts w:hint="eastAsia" w:ascii="宋体" w:hAnsi="宋体" w:cs="宋体"/>
          <w:b/>
          <w:bCs/>
          <w:color w:val="auto"/>
          <w:spacing w:val="-5"/>
          <w:sz w:val="24"/>
          <w:szCs w:val="24"/>
          <w:highlight w:val="none"/>
          <w:lang w:eastAsia="zh-CN"/>
        </w:rPr>
        <w:t>安全生产措施费</w:t>
      </w:r>
      <w:r>
        <w:rPr>
          <w:rFonts w:hint="eastAsia" w:ascii="宋体" w:hAnsi="宋体" w:eastAsia="宋体" w:cs="宋体"/>
          <w:b/>
          <w:bCs/>
          <w:color w:val="auto"/>
          <w:spacing w:val="-5"/>
          <w:sz w:val="24"/>
          <w:szCs w:val="24"/>
          <w:highlight w:val="none"/>
        </w:rPr>
        <w:t>-暂列金额-暂估价）] ×100%</w:t>
      </w:r>
      <w:bookmarkEnd w:id="130"/>
      <w:bookmarkEnd w:id="131"/>
      <w:bookmarkEnd w:id="132"/>
    </w:p>
    <w:p w14:paraId="087DB077">
      <w:pPr>
        <w:spacing w:before="123" w:line="360"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5AD2B7B6">
      <w:pPr>
        <w:keepNext w:val="0"/>
        <w:keepLines w:val="0"/>
        <w:pageBreakBefore w:val="0"/>
        <w:widowControl w:val="0"/>
        <w:kinsoku w:val="0"/>
        <w:wordWrap/>
        <w:overflowPunct/>
        <w:topLinePunct w:val="0"/>
        <w:autoSpaceDE w:val="0"/>
        <w:autoSpaceDN w:val="0"/>
        <w:bidi w:val="0"/>
        <w:adjustRightInd w:val="0"/>
        <w:snapToGrid w:val="0"/>
        <w:spacing w:before="129" w:line="360" w:lineRule="auto"/>
        <w:ind w:left="12" w:right="179"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2.3.2.1</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4C86959B">
      <w:pPr>
        <w:keepNext w:val="0"/>
        <w:keepLines w:val="0"/>
        <w:pageBreakBefore w:val="0"/>
        <w:widowControl w:val="0"/>
        <w:kinsoku w:val="0"/>
        <w:wordWrap/>
        <w:overflowPunct/>
        <w:topLinePunct w:val="0"/>
        <w:autoSpaceDE w:val="0"/>
        <w:autoSpaceDN w:val="0"/>
        <w:bidi w:val="0"/>
        <w:adjustRightInd w:val="0"/>
        <w:snapToGrid w:val="0"/>
        <w:spacing w:before="154" w:line="360" w:lineRule="auto"/>
        <w:ind w:left="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758D90CB">
      <w:pPr>
        <w:keepNext w:val="0"/>
        <w:keepLines w:val="0"/>
        <w:pageBreakBefore w:val="0"/>
        <w:widowControl w:val="0"/>
        <w:kinsoku w:val="0"/>
        <w:wordWrap/>
        <w:overflowPunct/>
        <w:topLinePunct w:val="0"/>
        <w:autoSpaceDE w:val="0"/>
        <w:autoSpaceDN w:val="0"/>
        <w:bidi w:val="0"/>
        <w:adjustRightInd w:val="0"/>
        <w:snapToGrid w:val="0"/>
        <w:spacing w:before="153" w:line="360" w:lineRule="auto"/>
        <w:ind w:left="19" w:right="179" w:firstLine="468"/>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42E574F4">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78" w:line="360" w:lineRule="auto"/>
        <w:ind w:firstLine="242" w:firstLineChars="100"/>
        <w:textAlignment w:val="baseline"/>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33" w:name="bookmark143"/>
      <w:bookmarkEnd w:id="133"/>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b/>
          <w:bCs/>
          <w:color w:val="auto"/>
          <w:spacing w:val="-8"/>
          <w:sz w:val="24"/>
          <w:szCs w:val="24"/>
          <w:highlight w:val="none"/>
        </w:rPr>
        <w:t>4.2条被认定为不平衡报价的清单项目，</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本章2.3.2.1的</w:t>
      </w:r>
      <w:r>
        <w:rPr>
          <w:rFonts w:hint="eastAsia" w:ascii="宋体" w:hAnsi="宋体" w:eastAsia="宋体" w:cs="宋体"/>
          <w:b/>
          <w:bCs/>
          <w:color w:val="auto"/>
          <w:spacing w:val="-2"/>
          <w:sz w:val="24"/>
          <w:szCs w:val="24"/>
          <w:highlight w:val="none"/>
        </w:rPr>
        <w:t>方法调整。】</w:t>
      </w:r>
    </w:p>
    <w:p w14:paraId="72C396F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360" w:lineRule="auto"/>
        <w:ind w:firstLine="237"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条被认定为不平衡报价的清单项目，变更工程项目的单价按照本章2.3.2.1的方法调整。</w:t>
      </w:r>
    </w:p>
    <w:p w14:paraId="3371F31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38" w:line="360" w:lineRule="auto"/>
        <w:ind w:right="81" w:rightChars="0" w:firstLine="242" w:firstLineChars="100"/>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60D93F8C">
      <w:pPr>
        <w:keepNext w:val="0"/>
        <w:keepLines w:val="0"/>
        <w:pageBreakBefore w:val="0"/>
        <w:widowControl w:val="0"/>
        <w:kinsoku w:val="0"/>
        <w:wordWrap/>
        <w:overflowPunct/>
        <w:topLinePunct w:val="0"/>
        <w:autoSpaceDE w:val="0"/>
        <w:autoSpaceDN w:val="0"/>
        <w:bidi w:val="0"/>
        <w:adjustRightInd w:val="0"/>
        <w:snapToGrid w:val="0"/>
        <w:spacing w:before="126" w:line="360" w:lineRule="auto"/>
        <w:ind w:left="29" w:right="21" w:firstLine="50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cs="宋体"/>
          <w:b/>
          <w:bCs/>
          <w:color w:val="auto"/>
          <w:spacing w:val="-2"/>
          <w:sz w:val="24"/>
          <w:szCs w:val="24"/>
          <w:highlight w:val="none"/>
          <w:lang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金额-暂估价）/（招标控制价-控制价</w:t>
      </w:r>
      <w:r>
        <w:rPr>
          <w:rFonts w:hint="eastAsia" w:ascii="宋体" w:hAnsi="宋体" w:cs="宋体"/>
          <w:b/>
          <w:bCs/>
          <w:color w:val="auto"/>
          <w:spacing w:val="-3"/>
          <w:sz w:val="24"/>
          <w:szCs w:val="24"/>
          <w:highlight w:val="none"/>
          <w:lang w:eastAsia="zh-CN"/>
        </w:rPr>
        <w:t>安全生产措施费</w:t>
      </w:r>
      <w:r>
        <w:rPr>
          <w:rFonts w:hint="eastAsia" w:ascii="宋体" w:hAnsi="宋体" w:eastAsia="宋体" w:cs="宋体"/>
          <w:b/>
          <w:bCs/>
          <w:color w:val="auto"/>
          <w:spacing w:val="-3"/>
          <w:sz w:val="24"/>
          <w:szCs w:val="24"/>
          <w:highlight w:val="none"/>
        </w:rPr>
        <w:t>-暂列金额-暂估价）]×100%</w:t>
      </w:r>
    </w:p>
    <w:p w14:paraId="2DF91B2F">
      <w:pPr>
        <w:spacing w:before="145" w:line="360" w:lineRule="auto"/>
        <w:ind w:right="81"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已标价工程量清单中没有适用也没有类似于变更工程项目，且施工当月项目</w:t>
      </w:r>
      <w:r>
        <w:rPr>
          <w:rFonts w:hint="eastAsia" w:ascii="宋体" w:hAnsi="宋体" w:eastAsia="宋体" w:cs="宋体"/>
          <w:color w:val="auto"/>
          <w:spacing w:val="-1"/>
          <w:sz w:val="24"/>
          <w:szCs w:val="24"/>
          <w:highlight w:val="none"/>
        </w:rPr>
        <w:t>所在地工程造价管理机构发布的价格信息缺</w:t>
      </w:r>
      <w:r>
        <w:rPr>
          <w:rFonts w:hint="eastAsia" w:ascii="宋体" w:hAnsi="宋体" w:eastAsia="宋体" w:cs="宋体"/>
          <w:color w:val="auto"/>
          <w:spacing w:val="-2"/>
          <w:sz w:val="24"/>
          <w:szCs w:val="24"/>
          <w:highlight w:val="none"/>
        </w:rPr>
        <w:t>项的，由承包人根据变更工程资料、计量规</w:t>
      </w:r>
      <w:r>
        <w:rPr>
          <w:rFonts w:hint="eastAsia" w:ascii="宋体" w:hAnsi="宋体" w:eastAsia="宋体" w:cs="宋体"/>
          <w:color w:val="auto"/>
          <w:spacing w:val="-1"/>
          <w:sz w:val="24"/>
          <w:szCs w:val="24"/>
          <w:highlight w:val="none"/>
        </w:rPr>
        <w:t>则、计价办法和通过市场调查等取得有合法</w:t>
      </w:r>
      <w:r>
        <w:rPr>
          <w:rFonts w:hint="eastAsia" w:ascii="宋体" w:hAnsi="宋体" w:eastAsia="宋体" w:cs="宋体"/>
          <w:color w:val="auto"/>
          <w:spacing w:val="-2"/>
          <w:sz w:val="24"/>
          <w:szCs w:val="24"/>
          <w:highlight w:val="none"/>
        </w:rPr>
        <w:t>依据的市场价格提出变更工程项目的单价，</w:t>
      </w:r>
      <w:r>
        <w:rPr>
          <w:rFonts w:hint="eastAsia" w:ascii="宋体" w:hAnsi="宋体" w:eastAsia="宋体" w:cs="宋体"/>
          <w:color w:val="auto"/>
          <w:spacing w:val="-1"/>
          <w:sz w:val="24"/>
          <w:szCs w:val="24"/>
          <w:highlight w:val="none"/>
        </w:rPr>
        <w:t>报发包人确认后调整。</w:t>
      </w:r>
    </w:p>
    <w:p w14:paraId="0CAB6221">
      <w:pPr>
        <w:spacing w:before="156" w:line="360"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6749D3AD">
      <w:pPr>
        <w:spacing w:before="152" w:line="360" w:lineRule="auto"/>
        <w:ind w:left="49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cs="宋体"/>
          <w:color w:val="auto"/>
          <w:spacing w:val="-1"/>
          <w:sz w:val="24"/>
          <w:szCs w:val="24"/>
          <w:highlight w:val="none"/>
          <w:lang w:eastAsia="zh-CN"/>
        </w:rPr>
        <w:t>安全生产措施费</w:t>
      </w:r>
      <w:r>
        <w:rPr>
          <w:rFonts w:hint="eastAsia" w:ascii="宋体" w:hAnsi="宋体" w:eastAsia="宋体" w:cs="宋体"/>
          <w:color w:val="auto"/>
          <w:spacing w:val="-1"/>
          <w:sz w:val="24"/>
          <w:szCs w:val="24"/>
          <w:highlight w:val="none"/>
        </w:rPr>
        <w:t>应按照实际发生变化的措施项目计算。</w:t>
      </w:r>
    </w:p>
    <w:p w14:paraId="78BE01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（2）采用单价计算的措施项目费，应按照实际发生变化的措施项目，按本章</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rPr>
        <w:t>2.3.3.1子目的规定确定单价。</w:t>
      </w:r>
    </w:p>
    <w:p w14:paraId="24726CD1">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考虑中标下浮率因素，即调整金额＝按照实际变化调整后的金额×（1-中标下浮率）。</w:t>
      </w:r>
    </w:p>
    <w:p w14:paraId="0C8F5472">
      <w:pPr>
        <w:spacing w:before="157" w:line="360"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4375A2F2">
      <w:pPr>
        <w:spacing w:before="35" w:line="360"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5C347569">
      <w:pPr>
        <w:spacing w:before="155" w:line="36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CE11AE3">
      <w:pPr>
        <w:spacing w:before="78" w:line="360" w:lineRule="auto"/>
        <w:ind w:left="8" w:right="108" w:firstLine="480"/>
        <w:jc w:val="both"/>
        <w:rPr>
          <w:rFonts w:hint="eastAsia" w:ascii="宋体" w:hAnsi="宋体" w:eastAsia="宋体" w:cs="宋体"/>
          <w:color w:val="auto"/>
          <w:sz w:val="24"/>
          <w:szCs w:val="24"/>
          <w:highlight w:val="none"/>
        </w:rPr>
      </w:pPr>
      <w:bookmarkStart w:id="134" w:name="bookmark144"/>
      <w:bookmarkEnd w:id="134"/>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b/>
          <w:bCs/>
          <w:color w:val="auto"/>
          <w:sz w:val="24"/>
          <w:szCs w:val="24"/>
          <w:highlight w:val="none"/>
        </w:rPr>
        <w:t>2.3.3</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1C13CED3">
      <w:pPr>
        <w:spacing w:before="38" w:line="360"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669A639D">
      <w:pPr>
        <w:spacing w:before="152" w:line="360"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2.3.3.1</w:t>
      </w:r>
      <w:r>
        <w:rPr>
          <w:rFonts w:hint="eastAsia" w:ascii="宋体" w:hAnsi="宋体" w:eastAsia="宋体" w:cs="宋体"/>
          <w:color w:val="auto"/>
          <w:spacing w:val="-1"/>
          <w:sz w:val="24"/>
          <w:szCs w:val="24"/>
          <w:highlight w:val="none"/>
        </w:rPr>
        <w:t>子目的规定确定单价，并调整合同价款。</w:t>
      </w:r>
    </w:p>
    <w:p w14:paraId="32F2908E">
      <w:pPr>
        <w:spacing w:before="157"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4C129208">
      <w:pPr>
        <w:spacing w:before="156" w:line="360"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70D44CB1">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2.3.6</w:t>
      </w:r>
      <w:r>
        <w:rPr>
          <w:rFonts w:hint="eastAsia" w:ascii="宋体" w:hAnsi="宋体" w:eastAsia="宋体" w:cs="宋体"/>
          <w:bCs/>
          <w:snapToGrid w:val="0"/>
          <w:color w:val="auto"/>
          <w:kern w:val="0"/>
          <w:sz w:val="24"/>
          <w:szCs w:val="24"/>
          <w:highlight w:val="none"/>
        </w:rPr>
        <w:t xml:space="preserve"> 物价变化</w:t>
      </w:r>
    </w:p>
    <w:p w14:paraId="1796DBE4">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2.3.6.1</w:t>
      </w:r>
      <w:r>
        <w:rPr>
          <w:rFonts w:hint="eastAsia" w:ascii="宋体" w:hAnsi="宋体" w:eastAsia="宋体" w:cs="宋体"/>
          <w:bCs/>
          <w:snapToGrid w:val="0"/>
          <w:color w:val="auto"/>
          <w:kern w:val="0"/>
          <w:sz w:val="24"/>
          <w:szCs w:val="24"/>
          <w:highlight w:val="none"/>
        </w:rPr>
        <w:t xml:space="preserve"> 合同履行期间，项目所在地工程造价管理机构发布的动态人工调整系数发生变化时，如果承包人投标报价中人工费（</w:t>
      </w:r>
      <w:r>
        <w:rPr>
          <w:rFonts w:hint="eastAsia" w:ascii="宋体" w:hAnsi="宋体" w:eastAsia="宋体" w:cs="宋体"/>
          <w:snapToGrid w:val="0"/>
          <w:color w:val="auto"/>
          <w:kern w:val="0"/>
          <w:sz w:val="24"/>
          <w:szCs w:val="24"/>
          <w:highlight w:val="none"/>
        </w:rPr>
        <w:t>以下简称“中标人工费”</w:t>
      </w:r>
      <w:r>
        <w:rPr>
          <w:rFonts w:hint="eastAsia" w:ascii="宋体" w:hAnsi="宋体" w:eastAsia="宋体" w:cs="宋体"/>
          <w:bCs/>
          <w:snapToGrid w:val="0"/>
          <w:color w:val="auto"/>
          <w:kern w:val="0"/>
          <w:sz w:val="24"/>
          <w:szCs w:val="24"/>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FD33AB8">
      <w:pPr>
        <w:wordWrap w:val="0"/>
        <w:adjustRightInd w:val="0"/>
        <w:snapToGrid w:val="0"/>
        <w:spacing w:line="360" w:lineRule="auto"/>
        <w:ind w:firstLine="480" w:firstLineChars="200"/>
        <w:jc w:val="center"/>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结算人工费＝中标人工费×F</w:t>
      </w:r>
      <w:r>
        <w:rPr>
          <w:rFonts w:hint="eastAsia" w:ascii="宋体" w:hAnsi="宋体" w:eastAsia="宋体" w:cs="宋体"/>
          <w:bCs/>
          <w:snapToGrid w:val="0"/>
          <w:color w:val="auto"/>
          <w:kern w:val="0"/>
          <w:sz w:val="24"/>
          <w:szCs w:val="24"/>
          <w:highlight w:val="none"/>
          <w:vertAlign w:val="subscript"/>
        </w:rPr>
        <w:t>1</w:t>
      </w:r>
    </w:p>
    <w:p w14:paraId="749FB67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式中，F</w:t>
      </w:r>
      <w:r>
        <w:rPr>
          <w:rFonts w:hint="eastAsia" w:ascii="宋体" w:hAnsi="宋体" w:eastAsia="宋体" w:cs="宋体"/>
          <w:bCs/>
          <w:snapToGrid w:val="0"/>
          <w:color w:val="auto"/>
          <w:kern w:val="0"/>
          <w:sz w:val="24"/>
          <w:szCs w:val="24"/>
          <w:highlight w:val="none"/>
          <w:vertAlign w:val="subscript"/>
        </w:rPr>
        <w:t>1</w:t>
      </w:r>
      <w:r>
        <w:rPr>
          <w:rFonts w:hint="eastAsia" w:ascii="宋体" w:hAnsi="宋体" w:eastAsia="宋体" w:cs="宋体"/>
          <w:bCs/>
          <w:snapToGrid w:val="0"/>
          <w:color w:val="auto"/>
          <w:kern w:val="0"/>
          <w:sz w:val="24"/>
          <w:szCs w:val="24"/>
          <w:highlight w:val="none"/>
        </w:rPr>
        <w:t>为施工当月项目所在地工程造价管理机构发布的动态人工调整系数。</w:t>
      </w:r>
    </w:p>
    <w:p w14:paraId="3ECAE21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2.3.6.2</w:t>
      </w:r>
      <w:r>
        <w:rPr>
          <w:rFonts w:hint="eastAsia" w:ascii="宋体" w:hAnsi="宋体" w:eastAsia="宋体" w:cs="宋体"/>
          <w:snapToGrid w:val="0"/>
          <w:color w:val="auto"/>
          <w:kern w:val="0"/>
          <w:sz w:val="24"/>
          <w:szCs w:val="24"/>
          <w:highlight w:val="none"/>
        </w:rPr>
        <w:t xml:space="preserve"> 本招标项目约定，材料、工程设备单价涨跌风险幅度值A为</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5965E51E">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w:t>
      </w:r>
      <w:r>
        <w:rPr>
          <w:rFonts w:hint="eastAsia" w:ascii="宋体" w:hAnsi="宋体" w:eastAsia="宋体" w:cs="宋体"/>
          <w:snapToGrid w:val="0"/>
          <w:color w:val="auto"/>
          <w:kern w:val="0"/>
          <w:sz w:val="24"/>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19675428">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stroked="f" coordsize="21600,21600">
            <v:path/>
            <v:fill on="f" focussize="0,0"/>
            <v:stroke on="f"/>
            <v:imagedata r:id="rId11" o:title=""/>
            <o:lock v:ext="edit" grouping="f" rotation="f" text="f" aspectratio="t"/>
            <w10:wrap type="none"/>
            <w10:anchorlock/>
          </v:shape>
          <o:OLEObject Type="Embed" ProgID="Equation.KSEE3" ShapeID="_x0000_i1025" DrawAspect="Content" ObjectID="_1468075725" r:id="rId10">
            <o:LockedField>false</o:LockedField>
          </o:OLEObject>
        </w:object>
      </w:r>
    </w:p>
    <w:p w14:paraId="7FA0A61F">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stroked="f" coordsize="21600,21600">
            <v:path/>
            <v:fill on="f" focussize="0,0"/>
            <v:stroke on="f"/>
            <v:imagedata r:id="rId13" o:title=""/>
            <o:lock v:ext="edit" grouping="f" rotation="f" text="f" aspectratio="t"/>
            <w10:wrap type="none"/>
            <w10:anchorlock/>
          </v:shape>
          <o:OLEObject Type="Embed" ProgID="Equation.KSEE3" ShapeID="_x0000_i1026" DrawAspect="Content" ObjectID="_1468075726" r:id="rId12">
            <o:LockedField>false</o:LockedField>
          </o:OLEObject>
        </w:object>
      </w:r>
    </w:p>
    <w:p w14:paraId="1C2BE8C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．如果中标单价高于基准单价，该材料、工程设备的结算单价调整公式为：</w:t>
      </w:r>
    </w:p>
    <w:p w14:paraId="7E971E5E">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stroked="f" coordsize="21600,21600">
            <v:path/>
            <v:fill on="f" focussize="0,0"/>
            <v:stroke on="f"/>
            <v:imagedata r:id="rId15" o:title=""/>
            <o:lock v:ext="edit" grouping="f" rotation="f" text="f" aspectratio="t"/>
            <w10:wrap type="none"/>
            <w10:anchorlock/>
          </v:shape>
          <o:OLEObject Type="Embed" ProgID="Equation.KSEE3" ShapeID="_x0000_i1027" DrawAspect="Content" ObjectID="_1468075727" r:id="rId14">
            <o:LockedField>false</o:LockedField>
          </o:OLEObject>
        </w:object>
      </w:r>
    </w:p>
    <w:p w14:paraId="74181BBA">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stroked="f" coordsize="21600,21600">
            <v:path/>
            <v:fill on="f" focussize="0,0"/>
            <v:stroke on="f"/>
            <v:imagedata r:id="rId17" o:title=""/>
            <o:lock v:ext="edit" grouping="f" rotation="f" text="f" aspectratio="t"/>
            <w10:wrap type="none"/>
            <w10:anchorlock/>
          </v:shape>
          <o:OLEObject Type="Embed" ProgID="Equation.KSEE3" ShapeID="_x0000_i1028" DrawAspect="Content" ObjectID="_1468075728" r:id="rId16">
            <o:LockedField>false</o:LockedField>
          </o:OLEObject>
        </w:object>
      </w:r>
    </w:p>
    <w:p w14:paraId="581DB23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．如果中标单价等于基准单价，该材料、工程设备的结算单价调整公式为：</w:t>
      </w:r>
    </w:p>
    <w:p w14:paraId="1E92A74C">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stroked="f" coordsize="21600,21600">
            <v:path/>
            <v:fill on="f" focussize="0,0"/>
            <v:stroke on="f"/>
            <v:imagedata r:id="rId19" o:title=""/>
            <o:lock v:ext="edit" grouping="f" rotation="f" text="f" aspectratio="t"/>
            <w10:wrap type="none"/>
            <w10:anchorlock/>
          </v:shape>
          <o:OLEObject Type="Embed" ProgID="Equation.KSEE3" ShapeID="_x0000_i1029" DrawAspect="Content" ObjectID="_1468075729" r:id="rId18">
            <o:LockedField>false</o:LockedField>
          </o:OLEObject>
        </w:object>
      </w:r>
    </w:p>
    <w:p w14:paraId="7F2CBFBF">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21" o:title=""/>
            <o:lock v:ext="edit" grouping="f" rotation="f" text="f" aspectratio="t"/>
            <w10:wrap type="none"/>
            <w10:anchorlock/>
          </v:shape>
          <o:OLEObject Type="Embed" ProgID="Equation.KSEE3" ShapeID="_x0000_i1030" DrawAspect="Content" ObjectID="_1468075730" r:id="rId20">
            <o:LockedField>false</o:LockedField>
          </o:OLEObject>
        </w:object>
      </w:r>
    </w:p>
    <w:p w14:paraId="71C60D19">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以上公式中，</w:t>
      </w:r>
      <w:r>
        <w:rPr>
          <w:rFonts w:hint="eastAsia" w:ascii="宋体" w:hAnsi="宋体" w:eastAsia="宋体" w:cs="宋体"/>
          <w:bCs/>
          <w:snapToGrid w:val="0"/>
          <w:color w:val="auto"/>
          <w:kern w:val="0"/>
          <w:sz w:val="24"/>
          <w:szCs w:val="24"/>
          <w:highlight w:val="none"/>
        </w:rPr>
        <w:t>F</w:t>
      </w:r>
      <w:r>
        <w:rPr>
          <w:rFonts w:hint="eastAsia" w:ascii="宋体" w:hAnsi="宋体" w:eastAsia="宋体" w:cs="宋体"/>
          <w:bCs/>
          <w:snapToGrid w:val="0"/>
          <w:color w:val="auto"/>
          <w:kern w:val="0"/>
          <w:sz w:val="24"/>
          <w:szCs w:val="24"/>
          <w:highlight w:val="none"/>
          <w:vertAlign w:val="subscript"/>
        </w:rPr>
        <w:t>1</w:t>
      </w:r>
      <w:r>
        <w:rPr>
          <w:rFonts w:hint="eastAsia" w:ascii="宋体" w:hAnsi="宋体" w:eastAsia="宋体" w:cs="宋体"/>
          <w:bCs/>
          <w:snapToGrid w:val="0"/>
          <w:color w:val="auto"/>
          <w:kern w:val="0"/>
          <w:sz w:val="24"/>
          <w:szCs w:val="24"/>
          <w:highlight w:val="none"/>
        </w:rPr>
        <w:t>为中标单价；F</w:t>
      </w:r>
      <w:r>
        <w:rPr>
          <w:rFonts w:hint="eastAsia" w:ascii="宋体" w:hAnsi="宋体" w:eastAsia="宋体" w:cs="宋体"/>
          <w:bCs/>
          <w:snapToGrid w:val="0"/>
          <w:color w:val="auto"/>
          <w:kern w:val="0"/>
          <w:sz w:val="24"/>
          <w:szCs w:val="24"/>
          <w:highlight w:val="none"/>
          <w:vertAlign w:val="subscript"/>
        </w:rPr>
        <w:t>0</w:t>
      </w:r>
      <w:r>
        <w:rPr>
          <w:rFonts w:hint="eastAsia" w:ascii="宋体" w:hAnsi="宋体" w:eastAsia="宋体" w:cs="宋体"/>
          <w:bCs/>
          <w:snapToGrid w:val="0"/>
          <w:color w:val="auto"/>
          <w:kern w:val="0"/>
          <w:sz w:val="24"/>
          <w:szCs w:val="24"/>
          <w:highlight w:val="none"/>
        </w:rPr>
        <w:t>为基准单价； F</w:t>
      </w:r>
      <w:r>
        <w:rPr>
          <w:rFonts w:hint="eastAsia" w:ascii="宋体" w:hAnsi="宋体" w:eastAsia="宋体" w:cs="宋体"/>
          <w:bCs/>
          <w:snapToGrid w:val="0"/>
          <w:color w:val="auto"/>
          <w:kern w:val="0"/>
          <w:sz w:val="24"/>
          <w:szCs w:val="24"/>
          <w:highlight w:val="none"/>
          <w:vertAlign w:val="subscript"/>
        </w:rPr>
        <w:t>2</w:t>
      </w:r>
      <w:r>
        <w:rPr>
          <w:rFonts w:hint="eastAsia" w:ascii="宋体" w:hAnsi="宋体" w:eastAsia="宋体" w:cs="宋体"/>
          <w:bCs/>
          <w:snapToGrid w:val="0"/>
          <w:color w:val="auto"/>
          <w:kern w:val="0"/>
          <w:sz w:val="24"/>
          <w:szCs w:val="24"/>
          <w:highlight w:val="none"/>
        </w:rPr>
        <w:t>为施工当月项目所在地工程造价管理机构发布的材料、工程设备单价；A为合同约定的材料、工程设备单价涨跌风险幅度值。</w:t>
      </w:r>
    </w:p>
    <w:p w14:paraId="22AD4A40">
      <w:pPr>
        <w:wordWrap w:val="0"/>
        <w:adjustRightInd w:val="0"/>
        <w:snapToGrid w:val="0"/>
        <w:spacing w:line="360" w:lineRule="auto"/>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2.3.6.3</w:t>
      </w:r>
      <w:r>
        <w:rPr>
          <w:rFonts w:hint="eastAsia" w:ascii="宋体" w:hAnsi="宋体" w:eastAsia="宋体" w:cs="宋体"/>
          <w:snapToGrid w:val="0"/>
          <w:color w:val="auto"/>
          <w:kern w:val="0"/>
          <w:sz w:val="24"/>
          <w:szCs w:val="24"/>
          <w:highlight w:val="none"/>
        </w:rPr>
        <w:t xml:space="preserve"> 合同履行期间，当《发包人提供材料和工程设备一览表》（详见招标工程量清单）中的材料、工程设备单价发生变化时，由发包人按照实际变化调整，并列入合同价款。</w:t>
      </w:r>
    </w:p>
    <w:p w14:paraId="10AA281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2.3.6.4</w:t>
      </w:r>
      <w:r>
        <w:rPr>
          <w:rFonts w:hint="eastAsia" w:ascii="宋体" w:hAnsi="宋体" w:eastAsia="宋体" w:cs="宋体"/>
          <w:snapToGrid w:val="0"/>
          <w:color w:val="auto"/>
          <w:kern w:val="0"/>
          <w:sz w:val="24"/>
          <w:szCs w:val="24"/>
          <w:highlight w:val="none"/>
        </w:rPr>
        <w:t xml:space="preserve"> 本招标项目约定，施工机具台班单价涨跌风险幅度值B为</w:t>
      </w:r>
      <w:r>
        <w:rPr>
          <w:rFonts w:hint="eastAsia" w:ascii="宋体" w:hAnsi="宋体" w:eastAsia="宋体" w:cs="宋体"/>
          <w:snapToGrid w:val="0"/>
          <w:color w:val="auto"/>
          <w:kern w:val="0"/>
          <w:sz w:val="24"/>
          <w:szCs w:val="24"/>
          <w:highlight w:val="none"/>
          <w:u w:val="single"/>
        </w:rPr>
        <w:t>10%</w:t>
      </w:r>
      <w:r>
        <w:rPr>
          <w:rFonts w:hint="eastAsia" w:ascii="宋体" w:hAnsi="宋体" w:eastAsia="宋体" w:cs="宋体"/>
          <w:snapToGrid w:val="0"/>
          <w:color w:val="auto"/>
          <w:kern w:val="0"/>
          <w:sz w:val="24"/>
          <w:szCs w:val="24"/>
          <w:highlight w:val="none"/>
        </w:rPr>
        <w:t>。合同履行期间，当施工机具台班单价涨跌幅度等于或低于B值时，该施工机具台班单价不予调整；超过B值时，其超过部分可以调整。相关费用按有关规定进行相应调整。</w:t>
      </w:r>
    </w:p>
    <w:p w14:paraId="00FF551F">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a</w:t>
      </w:r>
      <w:r>
        <w:rPr>
          <w:rFonts w:hint="eastAsia" w:ascii="宋体" w:hAnsi="宋体" w:eastAsia="宋体" w:cs="宋体"/>
          <w:snapToGrid w:val="0"/>
          <w:color w:val="auto"/>
          <w:kern w:val="0"/>
          <w:sz w:val="24"/>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4D96B032">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23" o:title=""/>
            <o:lock v:ext="edit" grouping="f" rotation="f" text="f" aspectratio="t"/>
            <w10:wrap type="none"/>
            <w10:anchorlock/>
          </v:shape>
          <o:OLEObject Type="Embed" ProgID="Equation.KSEE3" ShapeID="_x0000_i1031" DrawAspect="Content" ObjectID="_1468075731" r:id="rId22">
            <o:LockedField>false</o:LockedField>
          </o:OLEObject>
        </w:object>
      </w:r>
    </w:p>
    <w:p w14:paraId="375826BF">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25" o:title=""/>
            <o:lock v:ext="edit" grouping="f" rotation="f" text="f" aspectratio="t"/>
            <w10:wrap type="none"/>
            <w10:anchorlock/>
          </v:shape>
          <o:OLEObject Type="Embed" ProgID="Equation.KSEE3" ShapeID="_x0000_i1032" DrawAspect="Content" ObjectID="_1468075732" r:id="rId24">
            <o:LockedField>false</o:LockedField>
          </o:OLEObject>
        </w:object>
      </w:r>
    </w:p>
    <w:p w14:paraId="06E1A7F6">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270CAD71">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27" o:title=""/>
            <o:lock v:ext="edit" grouping="f" rotation="f" text="f" aspectratio="t"/>
            <w10:wrap type="none"/>
            <w10:anchorlock/>
          </v:shape>
          <o:OLEObject Type="Embed" ProgID="Equation.KSEE3" ShapeID="_x0000_i1033" DrawAspect="Content" ObjectID="_1468075733" r:id="rId26">
            <o:LockedField>false</o:LockedField>
          </o:OLEObject>
        </w:object>
      </w:r>
    </w:p>
    <w:p w14:paraId="0CDCA315">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29" o:title=""/>
            <o:lock v:ext="edit" grouping="f" rotation="f" text="f" aspectratio="t"/>
            <w10:wrap type="none"/>
            <w10:anchorlock/>
          </v:shape>
          <o:OLEObject Type="Embed" ProgID="Equation.KSEE3" ShapeID="_x0000_i1034" DrawAspect="Content" ObjectID="_1468075734" r:id="rId28">
            <o:LockedField>false</o:LockedField>
          </o:OLEObject>
        </w:object>
      </w:r>
    </w:p>
    <w:p w14:paraId="21D616AC">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7DAE892">
      <w:pPr>
        <w:wordWrap w:val="0"/>
        <w:adjustRightInd w:val="0"/>
        <w:snapToGri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31" o:title=""/>
            <o:lock v:ext="edit" grouping="f" rotation="f" text="f" aspectratio="t"/>
            <w10:wrap type="none"/>
            <w10:anchorlock/>
          </v:shape>
          <o:OLEObject Type="Embed" ProgID="Equation.KSEE3" ShapeID="_x0000_i1035" DrawAspect="Content" ObjectID="_1468075735" r:id="rId30">
            <o:LockedField>false</o:LockedField>
          </o:OLEObject>
        </w:object>
      </w:r>
    </w:p>
    <w:p w14:paraId="2AA4D63A">
      <w:pPr>
        <w:wordWrap w:val="0"/>
        <w:adjustRightInd w:val="0"/>
        <w:spacing w:before="360" w:beforeLines="150" w:after="240" w:afterLines="100"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33" o:title=""/>
            <o:lock v:ext="edit" grouping="f" rotation="f" text="f" aspectratio="t"/>
            <w10:wrap type="none"/>
            <w10:anchorlock/>
          </v:shape>
          <o:OLEObject Type="Embed" ProgID="Equation.KSEE3" ShapeID="_x0000_i1036" DrawAspect="Content" ObjectID="_1468075736" r:id="rId32">
            <o:LockedField>false</o:LockedField>
          </o:OLEObject>
        </w:object>
      </w:r>
    </w:p>
    <w:p w14:paraId="7B8A8779">
      <w:pPr>
        <w:spacing w:before="39" w:line="360" w:lineRule="auto"/>
        <w:ind w:left="484"/>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以上公式中，</w:t>
      </w:r>
      <w:r>
        <w:rPr>
          <w:rFonts w:hint="eastAsia" w:ascii="宋体" w:hAnsi="宋体" w:eastAsia="宋体" w:cs="宋体"/>
          <w:bCs/>
          <w:snapToGrid w:val="0"/>
          <w:color w:val="auto"/>
          <w:kern w:val="0"/>
          <w:sz w:val="24"/>
          <w:szCs w:val="24"/>
          <w:highlight w:val="none"/>
        </w:rPr>
        <w:t>F</w:t>
      </w:r>
      <w:r>
        <w:rPr>
          <w:rFonts w:hint="eastAsia" w:ascii="宋体" w:hAnsi="宋体" w:eastAsia="宋体" w:cs="宋体"/>
          <w:bCs/>
          <w:snapToGrid w:val="0"/>
          <w:color w:val="auto"/>
          <w:kern w:val="0"/>
          <w:sz w:val="24"/>
          <w:szCs w:val="24"/>
          <w:highlight w:val="none"/>
          <w:vertAlign w:val="subscript"/>
        </w:rPr>
        <w:t>1</w:t>
      </w:r>
      <w:r>
        <w:rPr>
          <w:rFonts w:hint="eastAsia" w:ascii="宋体" w:hAnsi="宋体" w:eastAsia="宋体" w:cs="宋体"/>
          <w:bCs/>
          <w:snapToGrid w:val="0"/>
          <w:color w:val="auto"/>
          <w:kern w:val="0"/>
          <w:sz w:val="24"/>
          <w:szCs w:val="24"/>
          <w:highlight w:val="none"/>
        </w:rPr>
        <w:t>为中标单价；F</w:t>
      </w:r>
      <w:r>
        <w:rPr>
          <w:rFonts w:hint="eastAsia" w:ascii="宋体" w:hAnsi="宋体" w:eastAsia="宋体" w:cs="宋体"/>
          <w:bCs/>
          <w:snapToGrid w:val="0"/>
          <w:color w:val="auto"/>
          <w:kern w:val="0"/>
          <w:sz w:val="24"/>
          <w:szCs w:val="24"/>
          <w:highlight w:val="none"/>
          <w:vertAlign w:val="subscript"/>
        </w:rPr>
        <w:t>0</w:t>
      </w:r>
      <w:r>
        <w:rPr>
          <w:rFonts w:hint="eastAsia" w:ascii="宋体" w:hAnsi="宋体" w:eastAsia="宋体" w:cs="宋体"/>
          <w:bCs/>
          <w:snapToGrid w:val="0"/>
          <w:color w:val="auto"/>
          <w:kern w:val="0"/>
          <w:sz w:val="24"/>
          <w:szCs w:val="24"/>
          <w:highlight w:val="none"/>
        </w:rPr>
        <w:t>为基准单价；F</w:t>
      </w:r>
      <w:r>
        <w:rPr>
          <w:rFonts w:hint="eastAsia" w:ascii="宋体" w:hAnsi="宋体" w:eastAsia="宋体" w:cs="宋体"/>
          <w:bCs/>
          <w:snapToGrid w:val="0"/>
          <w:color w:val="auto"/>
          <w:kern w:val="0"/>
          <w:sz w:val="24"/>
          <w:szCs w:val="24"/>
          <w:highlight w:val="none"/>
          <w:vertAlign w:val="subscript"/>
        </w:rPr>
        <w:t>2</w:t>
      </w:r>
      <w:r>
        <w:rPr>
          <w:rFonts w:hint="eastAsia" w:ascii="宋体" w:hAnsi="宋体" w:eastAsia="宋体" w:cs="宋体"/>
          <w:bCs/>
          <w:snapToGrid w:val="0"/>
          <w:color w:val="auto"/>
          <w:kern w:val="0"/>
          <w:sz w:val="24"/>
          <w:szCs w:val="24"/>
          <w:highlight w:val="none"/>
        </w:rPr>
        <w:t>为施工当月项目所在地工程造价管理机构发布的施工机具台班单价；B为合同约定的施工机具台班单价涨跌风险幅度值。</w:t>
      </w:r>
    </w:p>
    <w:p w14:paraId="69865000">
      <w:pPr>
        <w:spacing w:before="39" w:line="360" w:lineRule="auto"/>
        <w:ind w:left="484"/>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597B14D5">
      <w:pPr>
        <w:spacing w:before="39" w:line="360" w:lineRule="auto"/>
        <w:ind w:left="484"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当暂估价项目的内容、标准、要求在项目实施过程中得以深化、明确、固定后，按以下原则发包：</w:t>
      </w:r>
    </w:p>
    <w:p w14:paraId="4AF1737B">
      <w:pPr>
        <w:spacing w:before="39" w:line="360" w:lineRule="auto"/>
        <w:ind w:left="484"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（1）暂估价项目按工程、货物（指材料或工程设备，下同）的类别分类汇总的金额，达到必须招标规模标准的，由中标人招标，招标人参与管理 ，确定专业工程承包人（或材料、工程设备供应商）和合同价格。</w:t>
      </w:r>
    </w:p>
    <w:p w14:paraId="29E59413">
      <w:pPr>
        <w:spacing w:before="39" w:line="360" w:lineRule="auto"/>
        <w:ind w:left="484"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1B39B772">
      <w:pPr>
        <w:spacing w:before="39" w:line="360" w:lineRule="auto"/>
        <w:ind w:left="484"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0F405792">
      <w:pPr>
        <w:spacing w:before="39" w:line="360" w:lineRule="auto"/>
        <w:ind w:left="484"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AC51B5F">
      <w:pPr>
        <w:spacing w:before="154" w:line="360" w:lineRule="auto"/>
        <w:ind w:left="7" w:right="57" w:firstLine="477"/>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lang w:eastAsia="zh-CN"/>
        </w:rPr>
        <w:t>（5）暂估价项目由其他承包人承包的，纳入中标人的管理和协调范围，由其他承包人向中标人承担质量、安全、文明施工、工期责任，中标人向招标人承担责任。</w:t>
      </w:r>
    </w:p>
    <w:p w14:paraId="0F068774">
      <w:pPr>
        <w:spacing w:before="154" w:line="360" w:lineRule="auto"/>
        <w:ind w:left="7" w:right="57" w:firstLine="477"/>
        <w:rPr>
          <w:rFonts w:hint="eastAsia" w:ascii="宋体" w:hAnsi="宋体" w:eastAsia="宋体" w:cs="宋体"/>
          <w:b w:val="0"/>
          <w:bCs w:val="0"/>
          <w:color w:val="auto"/>
          <w:spacing w:val="-2"/>
          <w:sz w:val="24"/>
          <w:szCs w:val="24"/>
          <w:highlight w:val="none"/>
          <w:lang w:eastAsia="zh-CN"/>
        </w:rPr>
      </w:pPr>
      <w:r>
        <w:rPr>
          <w:rFonts w:hint="eastAsia" w:ascii="宋体" w:hAnsi="宋体" w:eastAsia="宋体" w:cs="宋体"/>
          <w:b w:val="0"/>
          <w:bCs w:val="0"/>
          <w:color w:val="auto"/>
          <w:spacing w:val="-2"/>
          <w:sz w:val="24"/>
          <w:szCs w:val="24"/>
          <w:highlight w:val="none"/>
          <w:lang w:eastAsia="zh-CN"/>
        </w:rPr>
        <w:t>本招标项目以暂列金额形式列入招标工程量清单中的所需货物和服务的采购（以下统称“暂列金额项目”）若有发生，按照上述的规定确定货物（或服务）供应商和合同价格。暂列金额项目由其他承包人承包的，纳入中标人的管理和协调范围，由其他承包人向中标人承担质量、安全、文明施工、工期责任，中标人向招标人承担责任。</w:t>
      </w:r>
    </w:p>
    <w:p w14:paraId="4F45A505">
      <w:pPr>
        <w:spacing w:before="154" w:line="360" w:lineRule="auto"/>
        <w:ind w:left="7" w:right="57"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cs="宋体"/>
          <w:b w:val="0"/>
          <w:bCs w:val="0"/>
          <w:color w:val="auto"/>
          <w:spacing w:val="-2"/>
          <w:sz w:val="24"/>
          <w:szCs w:val="24"/>
          <w:highlight w:val="none"/>
          <w:lang w:eastAsia="zh-CN"/>
        </w:rPr>
        <w:t>暂估价按</w:t>
      </w:r>
      <w:r>
        <w:rPr>
          <w:rFonts w:hint="eastAsia" w:ascii="宋体" w:hAnsi="宋体" w:cs="宋体"/>
          <w:color w:val="auto"/>
          <w:spacing w:val="-9"/>
          <w:sz w:val="24"/>
          <w:szCs w:val="24"/>
          <w:highlight w:val="none"/>
          <w:lang w:eastAsia="zh-CN"/>
        </w:rPr>
        <w:t>上述</w:t>
      </w:r>
      <w:r>
        <w:rPr>
          <w:rFonts w:hint="eastAsia" w:ascii="宋体" w:hAnsi="宋体" w:eastAsia="宋体" w:cs="宋体"/>
          <w:color w:val="auto"/>
          <w:spacing w:val="-3"/>
          <w:sz w:val="24"/>
          <w:szCs w:val="24"/>
          <w:highlight w:val="none"/>
        </w:rPr>
        <w:t>规定确定专业工</w:t>
      </w:r>
      <w:r>
        <w:rPr>
          <w:rFonts w:hint="eastAsia" w:ascii="宋体" w:hAnsi="宋体" w:eastAsia="宋体" w:cs="宋体"/>
          <w:color w:val="auto"/>
          <w:spacing w:val="-1"/>
          <w:sz w:val="24"/>
          <w:szCs w:val="24"/>
          <w:highlight w:val="none"/>
        </w:rPr>
        <w:t>程承包人（或材料供应商、工程设备供应商）后，将专业工</w:t>
      </w:r>
      <w:r>
        <w:rPr>
          <w:rFonts w:hint="eastAsia" w:ascii="宋体" w:hAnsi="宋体" w:eastAsia="宋体" w:cs="宋体"/>
          <w:color w:val="auto"/>
          <w:spacing w:val="-2"/>
          <w:sz w:val="24"/>
          <w:szCs w:val="24"/>
          <w:highlight w:val="none"/>
        </w:rPr>
        <w:t>程合同价款（或材料单价、</w:t>
      </w:r>
      <w:r>
        <w:rPr>
          <w:rFonts w:hint="eastAsia" w:ascii="宋体" w:hAnsi="宋体" w:eastAsia="宋体" w:cs="宋体"/>
          <w:color w:val="auto"/>
          <w:spacing w:val="-1"/>
          <w:sz w:val="24"/>
          <w:szCs w:val="24"/>
          <w:highlight w:val="none"/>
        </w:rPr>
        <w:t>工程设备单价）取代相应暂估价，并调整合同价款。</w:t>
      </w:r>
    </w:p>
    <w:p w14:paraId="4846D3C2">
      <w:pPr>
        <w:spacing w:before="153" w:line="360" w:lineRule="auto"/>
        <w:ind w:left="8" w:right="2"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w:t>
      </w:r>
      <w:r>
        <w:rPr>
          <w:rFonts w:hint="eastAsia" w:ascii="宋体" w:hAnsi="宋体" w:cs="宋体"/>
          <w:color w:val="auto"/>
          <w:spacing w:val="-9"/>
          <w:sz w:val="24"/>
          <w:szCs w:val="24"/>
          <w:highlight w:val="none"/>
          <w:lang w:eastAsia="zh-CN"/>
        </w:rPr>
        <w:t>上述</w:t>
      </w:r>
      <w:r>
        <w:rPr>
          <w:rFonts w:hint="eastAsia" w:ascii="宋体" w:hAnsi="宋体" w:eastAsia="宋体" w:cs="宋体"/>
          <w:color w:val="auto"/>
          <w:spacing w:val="-3"/>
          <w:sz w:val="24"/>
          <w:szCs w:val="24"/>
          <w:highlight w:val="none"/>
        </w:rPr>
        <w:t>规定</w:t>
      </w:r>
      <w:r>
        <w:rPr>
          <w:rFonts w:hint="eastAsia" w:ascii="宋体" w:hAnsi="宋体" w:eastAsia="宋体" w:cs="宋体"/>
          <w:color w:val="auto"/>
          <w:spacing w:val="-5"/>
          <w:sz w:val="24"/>
          <w:szCs w:val="24"/>
          <w:highlight w:val="none"/>
        </w:rPr>
        <w:t>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125E37EF">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2.3.8</w:t>
      </w:r>
      <w:r>
        <w:rPr>
          <w:rFonts w:hint="eastAsia" w:ascii="宋体" w:hAnsi="宋体" w:eastAsia="宋体" w:cs="宋体"/>
          <w:color w:val="auto"/>
          <w:sz w:val="24"/>
          <w:szCs w:val="24"/>
        </w:rPr>
        <w:t xml:space="preserve"> 预算包干费按照分部分项的人工费与施工机具费之和及投标费率计取。本招标项目的预算包干内容包括：施工雨水、污水的排除；因地形影响造成的场内料具二次运输</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0米高以下的工程用水加压措施；施工材料堆放场地的整理；机电安装后的补洞(槽料费；工程成品保护费；施工中的临时停水停电；基础埋深 2 米以内挖土方的塌</w:t>
      </w:r>
      <w:r>
        <w:rPr>
          <w:rFonts w:hint="eastAsia" w:ascii="宋体" w:hAnsi="宋体" w:eastAsia="宋体" w:cs="宋体"/>
          <w:color w:val="auto"/>
          <w:sz w:val="24"/>
          <w:szCs w:val="24"/>
          <w:lang w:eastAsia="zh-CN"/>
        </w:rPr>
        <w:t>方；日间</w:t>
      </w:r>
      <w:r>
        <w:rPr>
          <w:rFonts w:hint="eastAsia" w:ascii="宋体" w:hAnsi="宋体" w:eastAsia="宋体" w:cs="宋体"/>
          <w:color w:val="auto"/>
          <w:sz w:val="24"/>
          <w:szCs w:val="24"/>
        </w:rPr>
        <w:t>照明施工增加费(不包括地下室和特殊工程)；完工清场后的垃圾外运；地上(地下)设</w:t>
      </w:r>
      <w:r>
        <w:rPr>
          <w:rFonts w:hint="eastAsia" w:ascii="宋体" w:hAnsi="宋体" w:eastAsia="宋体" w:cs="宋体"/>
          <w:color w:val="auto"/>
          <w:sz w:val="24"/>
          <w:szCs w:val="24"/>
          <w:lang w:eastAsia="zh-CN"/>
        </w:rPr>
        <w:t>施，</w:t>
      </w:r>
      <w:r>
        <w:rPr>
          <w:rFonts w:hint="eastAsia" w:ascii="宋体" w:hAnsi="宋体" w:eastAsia="宋体" w:cs="宋体"/>
          <w:color w:val="auto"/>
          <w:sz w:val="24"/>
          <w:szCs w:val="24"/>
        </w:rPr>
        <w:t>建筑物的临时保护设施费和二次加工基地设施费；雨季施工增加费</w:t>
      </w:r>
      <w:r>
        <w:rPr>
          <w:rFonts w:hint="eastAsia" w:ascii="宋体" w:hAnsi="宋体" w:eastAsia="宋体" w:cs="宋体"/>
          <w:color w:val="auto"/>
          <w:sz w:val="24"/>
          <w:szCs w:val="24"/>
          <w:lang w:eastAsia="zh-CN"/>
        </w:rPr>
        <w:t>；已完成及设备保护等。</w:t>
      </w:r>
    </w:p>
    <w:p w14:paraId="048EC117">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2.3.9</w:t>
      </w:r>
      <w:r>
        <w:rPr>
          <w:rFonts w:hint="eastAsia" w:ascii="宋体" w:hAnsi="宋体" w:eastAsia="宋体" w:cs="宋体"/>
          <w:color w:val="auto"/>
          <w:sz w:val="24"/>
          <w:szCs w:val="24"/>
        </w:rPr>
        <w:t xml:space="preserve">  其余事项（如不可抗力、索赔、现场签证等）的调整原则按照</w:t>
      </w:r>
      <w:r>
        <w:rPr>
          <w:rFonts w:hint="eastAsia" w:ascii="宋体" w:hAnsi="宋体" w:cs="宋体"/>
          <w:color w:val="auto"/>
          <w:sz w:val="24"/>
          <w:szCs w:val="24"/>
          <w:lang w:eastAsia="zh-CN"/>
        </w:rPr>
        <w:t>《建设工程工程量清单计价标准》（GB/T50500-2024）</w:t>
      </w:r>
      <w:r>
        <w:rPr>
          <w:rFonts w:hint="eastAsia" w:ascii="宋体" w:hAnsi="宋体" w:eastAsia="宋体" w:cs="宋体"/>
          <w:color w:val="auto"/>
          <w:sz w:val="24"/>
          <w:szCs w:val="24"/>
        </w:rPr>
        <w:t>有关规定执行。</w:t>
      </w:r>
    </w:p>
    <w:p w14:paraId="42247EF3">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2.4</w:t>
      </w:r>
      <w:r>
        <w:rPr>
          <w:rFonts w:hint="eastAsia" w:ascii="宋体" w:hAnsi="宋体" w:eastAsia="宋体" w:cs="宋体"/>
          <w:color w:val="auto"/>
          <w:sz w:val="24"/>
          <w:szCs w:val="24"/>
        </w:rPr>
        <w:t xml:space="preserve">  凡将引起合同价款调增的事项，承包人必须于拟实施 14 天前，将详细的报价书（含拟实施项目名称、变更部位、理由、预计造价等）报监理单位审核和发包人批准后方可实施。</w:t>
      </w:r>
    </w:p>
    <w:p w14:paraId="2E45EB35">
      <w:pPr>
        <w:spacing w:before="153" w:line="360"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6E1468D0">
      <w:pPr>
        <w:spacing w:before="154" w:line="360"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056A92AA">
      <w:pPr>
        <w:spacing w:before="155" w:line="360"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w:t>
      </w:r>
      <w:r>
        <w:rPr>
          <w:rFonts w:hint="eastAsia" w:ascii="宋体" w:hAnsi="宋体" w:cs="宋体"/>
          <w:color w:val="auto"/>
          <w:spacing w:val="-1"/>
          <w:sz w:val="24"/>
          <w:szCs w:val="24"/>
          <w:highlight w:val="none"/>
          <w:lang w:eastAsia="zh-CN"/>
        </w:rPr>
        <w:t>《建设工程工程量清单计价标准》（GB/T50500-2024）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5828236">
      <w:pPr>
        <w:spacing w:before="152" w:line="360"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pacing w:val="-1"/>
          <w:sz w:val="24"/>
          <w:szCs w:val="24"/>
          <w:highlight w:val="none"/>
        </w:rPr>
        <w:t>加的费用和（或）工期延误由承包人承担。</w:t>
      </w:r>
    </w:p>
    <w:p w14:paraId="74513C08">
      <w:pPr>
        <w:spacing w:before="152" w:line="360"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14:paraId="7AC0515E">
      <w:pPr>
        <w:spacing w:before="151" w:line="360" w:lineRule="auto"/>
        <w:ind w:left="476"/>
        <w:outlineLvl w:val="2"/>
        <w:rPr>
          <w:rFonts w:hint="eastAsia" w:ascii="宋体" w:hAnsi="宋体" w:eastAsia="宋体" w:cs="宋体"/>
          <w:b/>
          <w:bCs/>
          <w:color w:val="auto"/>
          <w:spacing w:val="-11"/>
          <w:sz w:val="24"/>
          <w:szCs w:val="24"/>
          <w:highlight w:val="none"/>
        </w:rPr>
      </w:pPr>
      <w:bookmarkStart w:id="135" w:name="_Toc1816"/>
      <w:bookmarkStart w:id="136" w:name="_Toc13494"/>
      <w:bookmarkStart w:id="137" w:name="_Toc10496"/>
      <w:r>
        <w:rPr>
          <w:rFonts w:hint="eastAsia" w:ascii="宋体" w:hAnsi="宋体" w:eastAsia="宋体" w:cs="宋体"/>
          <w:b/>
          <w:bCs/>
          <w:color w:val="auto"/>
          <w:spacing w:val="-11"/>
          <w:sz w:val="24"/>
          <w:szCs w:val="24"/>
          <w:highlight w:val="none"/>
        </w:rPr>
        <w:t>3. 工程付款办法</w:t>
      </w:r>
      <w:bookmarkEnd w:id="135"/>
      <w:bookmarkEnd w:id="136"/>
    </w:p>
    <w:p w14:paraId="3487595C">
      <w:pPr>
        <w:spacing w:before="155" w:line="360" w:lineRule="auto"/>
        <w:ind w:left="12" w:right="231" w:firstLine="476"/>
        <w:rPr>
          <w:rFonts w:hint="eastAsia" w:ascii="宋体" w:hAnsi="宋体" w:eastAsia="宋体" w:cs="宋体"/>
          <w:b/>
          <w:bCs/>
          <w:color w:val="auto"/>
          <w:spacing w:val="2"/>
          <w:sz w:val="24"/>
          <w:szCs w:val="24"/>
          <w:highlight w:val="none"/>
        </w:rPr>
      </w:pPr>
      <w:bookmarkStart w:id="138" w:name="_Toc5331"/>
      <w:r>
        <w:rPr>
          <w:rFonts w:hint="eastAsia" w:ascii="宋体" w:hAnsi="宋体" w:eastAsia="宋体" w:cs="宋体"/>
          <w:b/>
          <w:bCs/>
          <w:color w:val="auto"/>
          <w:spacing w:val="2"/>
          <w:sz w:val="24"/>
          <w:szCs w:val="24"/>
          <w:highlight w:val="none"/>
        </w:rPr>
        <w:t>3.1</w:t>
      </w:r>
      <w:r>
        <w:rPr>
          <w:rFonts w:hint="eastAsia" w:ascii="宋体" w:hAnsi="宋体" w:eastAsia="宋体" w:cs="宋体"/>
          <w:b/>
          <w:bCs/>
          <w:color w:val="auto"/>
          <w:spacing w:val="2"/>
          <w:sz w:val="24"/>
          <w:szCs w:val="24"/>
          <w:highlight w:val="none"/>
          <w:lang w:val="en-US" w:eastAsia="zh-CN"/>
        </w:rPr>
        <w:t xml:space="preserve"> </w:t>
      </w:r>
      <w:r>
        <w:rPr>
          <w:rFonts w:hint="eastAsia" w:ascii="宋体" w:hAnsi="宋体" w:eastAsia="宋体" w:cs="宋体"/>
          <w:b w:val="0"/>
          <w:bCs w:val="0"/>
          <w:color w:val="auto"/>
          <w:spacing w:val="2"/>
          <w:sz w:val="24"/>
          <w:szCs w:val="24"/>
          <w:highlight w:val="none"/>
        </w:rPr>
        <w:t>本项目</w:t>
      </w:r>
      <w:r>
        <w:rPr>
          <w:rFonts w:hint="eastAsia" w:ascii="宋体" w:hAnsi="宋体" w:eastAsia="宋体" w:cs="宋体"/>
          <w:b w:val="0"/>
          <w:bCs w:val="0"/>
          <w:color w:val="auto"/>
          <w:spacing w:val="2"/>
          <w:sz w:val="24"/>
          <w:szCs w:val="24"/>
          <w:highlight w:val="none"/>
          <w:u w:val="single"/>
        </w:rPr>
        <w:t>支付</w:t>
      </w:r>
      <w:r>
        <w:rPr>
          <w:rFonts w:hint="eastAsia" w:ascii="宋体" w:hAnsi="宋体" w:eastAsia="宋体" w:cs="宋体"/>
          <w:b w:val="0"/>
          <w:bCs w:val="0"/>
          <w:color w:val="auto"/>
          <w:spacing w:val="2"/>
          <w:sz w:val="24"/>
          <w:szCs w:val="24"/>
          <w:highlight w:val="none"/>
        </w:rPr>
        <w:t>施工预付款。</w:t>
      </w:r>
      <w:bookmarkEnd w:id="138"/>
    </w:p>
    <w:p w14:paraId="5312A588">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1"/>
          <w:sz w:val="24"/>
          <w:szCs w:val="24"/>
          <w:highlight w:val="none"/>
        </w:rPr>
        <w:t xml:space="preserve">3.2 </w:t>
      </w:r>
      <w:r>
        <w:rPr>
          <w:rStyle w:val="28"/>
          <w:rFonts w:hint="eastAsia" w:ascii="宋体" w:hAnsi="宋体" w:eastAsia="宋体" w:cs="宋体"/>
          <w:color w:val="auto"/>
          <w:kern w:val="0"/>
          <w:sz w:val="24"/>
          <w:szCs w:val="24"/>
          <w:highlight w:val="none"/>
        </w:rPr>
        <w:t>施工预付款必须专用于合同工程，并按以下原则支付和抵扣：</w:t>
      </w:r>
    </w:p>
    <w:p w14:paraId="087C47A4">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rPr>
        <w:t xml:space="preserve">3.2.1 </w:t>
      </w:r>
      <w:r>
        <w:rPr>
          <w:rStyle w:val="28"/>
          <w:rFonts w:hint="eastAsia" w:ascii="宋体" w:hAnsi="宋体" w:eastAsia="宋体" w:cs="宋体"/>
          <w:color w:val="auto"/>
          <w:kern w:val="0"/>
          <w:sz w:val="24"/>
          <w:szCs w:val="24"/>
          <w:highlight w:val="none"/>
        </w:rPr>
        <w:t>施工预付款支付比例为：按施工合同价的</w:t>
      </w:r>
      <w:r>
        <w:rPr>
          <w:rStyle w:val="28"/>
          <w:rFonts w:hint="eastAsia" w:ascii="宋体" w:hAnsi="宋体" w:eastAsia="宋体" w:cs="宋体"/>
          <w:b/>
          <w:bCs/>
          <w:color w:val="auto"/>
          <w:kern w:val="0"/>
          <w:sz w:val="24"/>
          <w:szCs w:val="24"/>
          <w:highlight w:val="green"/>
          <w:u w:val="single"/>
        </w:rPr>
        <w:t>30%</w:t>
      </w:r>
      <w:r>
        <w:rPr>
          <w:rStyle w:val="28"/>
          <w:rFonts w:hint="eastAsia" w:ascii="宋体" w:hAnsi="宋体" w:eastAsia="宋体" w:cs="宋体"/>
          <w:color w:val="auto"/>
          <w:kern w:val="0"/>
          <w:sz w:val="24"/>
          <w:szCs w:val="24"/>
          <w:highlight w:val="none"/>
        </w:rPr>
        <w:t>支付</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暂列金额、专业工程暂估价、</w:t>
      </w:r>
      <w:r>
        <w:rPr>
          <w:rStyle w:val="28"/>
          <w:rFonts w:hint="eastAsia" w:ascii="宋体" w:hAnsi="宋体" w:eastAsia="宋体" w:cs="宋体"/>
          <w:color w:val="auto"/>
          <w:kern w:val="0"/>
          <w:sz w:val="24"/>
          <w:szCs w:val="24"/>
          <w:highlight w:val="none"/>
          <w:lang w:val="en-US" w:eastAsia="zh-CN"/>
        </w:rPr>
        <w:t>安全生产措施费</w:t>
      </w:r>
      <w:r>
        <w:rPr>
          <w:rStyle w:val="28"/>
          <w:rFonts w:hint="eastAsia" w:ascii="宋体" w:hAnsi="宋体" w:eastAsia="宋体" w:cs="宋体"/>
          <w:color w:val="auto"/>
          <w:kern w:val="0"/>
          <w:sz w:val="24"/>
          <w:szCs w:val="24"/>
          <w:highlight w:val="none"/>
        </w:rPr>
        <w:t>除外</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w:t>
      </w:r>
    </w:p>
    <w:p w14:paraId="094A61DD">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baseline"/>
        <w:rPr>
          <w:rStyle w:val="28"/>
          <w:rFonts w:hint="eastAsia" w:ascii="宋体" w:hAnsi="宋体" w:eastAsia="宋体" w:cs="宋体"/>
          <w:color w:val="auto"/>
          <w:kern w:val="0"/>
          <w:sz w:val="24"/>
          <w:szCs w:val="24"/>
          <w:highlight w:val="none"/>
          <w:lang w:eastAsia="zh-CN"/>
        </w:rPr>
      </w:pPr>
      <w:r>
        <w:rPr>
          <w:rStyle w:val="28"/>
          <w:rFonts w:hint="eastAsia" w:ascii="宋体" w:hAnsi="宋体" w:eastAsia="宋体" w:cs="宋体"/>
          <w:b/>
          <w:bCs/>
          <w:color w:val="auto"/>
          <w:kern w:val="0"/>
          <w:sz w:val="24"/>
          <w:szCs w:val="24"/>
          <w:highlight w:val="none"/>
        </w:rPr>
        <w:t>3.2.2</w:t>
      </w:r>
      <w:r>
        <w:rPr>
          <w:rStyle w:val="28"/>
          <w:rFonts w:hint="eastAsia" w:ascii="宋体" w:hAnsi="宋体" w:eastAsia="宋体" w:cs="宋体"/>
          <w:color w:val="auto"/>
          <w:kern w:val="0"/>
          <w:sz w:val="24"/>
          <w:szCs w:val="24"/>
          <w:highlight w:val="none"/>
        </w:rPr>
        <w:t xml:space="preserve"> </w:t>
      </w:r>
      <w:r>
        <w:rPr>
          <w:rStyle w:val="28"/>
          <w:rFonts w:hint="eastAsia" w:ascii="宋体" w:hAnsi="宋体" w:eastAsia="宋体" w:cs="宋体"/>
          <w:b w:val="0"/>
          <w:bCs w:val="0"/>
          <w:color w:val="auto"/>
          <w:kern w:val="0"/>
          <w:sz w:val="24"/>
          <w:szCs w:val="24"/>
          <w:highlight w:val="none"/>
        </w:rPr>
        <w:t>本招标项目</w:t>
      </w:r>
      <w:r>
        <w:rPr>
          <w:rStyle w:val="28"/>
          <w:rFonts w:hint="eastAsia" w:ascii="宋体" w:hAnsi="宋体" w:eastAsia="宋体" w:cs="宋体"/>
          <w:b/>
          <w:bCs/>
          <w:color w:val="auto"/>
          <w:kern w:val="0"/>
          <w:sz w:val="24"/>
          <w:szCs w:val="24"/>
          <w:highlight w:val="none"/>
          <w:u w:val="single"/>
          <w:lang w:val="en-US" w:eastAsia="zh-CN" w:bidi="ar-SA"/>
        </w:rPr>
        <w:t>要求</w:t>
      </w:r>
      <w:r>
        <w:rPr>
          <w:rStyle w:val="28"/>
          <w:rFonts w:hint="eastAsia" w:ascii="宋体" w:hAnsi="宋体" w:eastAsia="宋体" w:cs="宋体"/>
          <w:b w:val="0"/>
          <w:bCs w:val="0"/>
          <w:color w:val="auto"/>
          <w:kern w:val="0"/>
          <w:sz w:val="24"/>
          <w:szCs w:val="24"/>
          <w:highlight w:val="none"/>
        </w:rPr>
        <w:t>承包人提</w:t>
      </w:r>
      <w:r>
        <w:rPr>
          <w:rStyle w:val="28"/>
          <w:rFonts w:hint="eastAsia" w:ascii="宋体" w:hAnsi="宋体" w:eastAsia="宋体" w:cs="宋体"/>
          <w:color w:val="auto"/>
          <w:kern w:val="0"/>
          <w:sz w:val="24"/>
          <w:szCs w:val="24"/>
          <w:highlight w:val="none"/>
        </w:rPr>
        <w:t>供与预付款等额的预付款保函</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rPr>
        <w:t>且预付款保函期限原则上不少于总工期的一半，且承包单位的预付款保函有效期应保证在扣回预付款前有效，未扣回预付款但保函过期的承包人应重新开具预付款保函。</w:t>
      </w:r>
    </w:p>
    <w:p w14:paraId="1083643C">
      <w:pPr>
        <w:keepNext w:val="0"/>
        <w:keepLines w:val="0"/>
        <w:widowControl/>
        <w:suppressLineNumbers w:val="0"/>
        <w:spacing w:line="360" w:lineRule="auto"/>
        <w:ind w:firstLine="482" w:firstLineChars="200"/>
        <w:jc w:val="left"/>
        <w:rPr>
          <w:rStyle w:val="28"/>
          <w:rFonts w:hint="eastAsia" w:ascii="宋体" w:hAnsi="宋体" w:eastAsia="宋体" w:cs="宋体"/>
          <w:b w:val="0"/>
          <w:bCs w:val="0"/>
          <w:color w:val="auto"/>
          <w:kern w:val="0"/>
          <w:sz w:val="24"/>
          <w:szCs w:val="24"/>
          <w:highlight w:val="none"/>
        </w:rPr>
      </w:pPr>
      <w:r>
        <w:rPr>
          <w:rStyle w:val="28"/>
          <w:rFonts w:hint="eastAsia" w:ascii="宋体" w:hAnsi="宋体" w:eastAsia="宋体" w:cs="宋体"/>
          <w:b/>
          <w:bCs/>
          <w:color w:val="auto"/>
          <w:kern w:val="0"/>
          <w:sz w:val="24"/>
          <w:szCs w:val="24"/>
          <w:highlight w:val="none"/>
        </w:rPr>
        <w:t>3.2.3</w:t>
      </w:r>
      <w:r>
        <w:rPr>
          <w:rStyle w:val="28"/>
          <w:rFonts w:hint="eastAsia" w:ascii="宋体" w:hAnsi="宋体" w:eastAsia="宋体" w:cs="宋体"/>
          <w:color w:val="auto"/>
          <w:kern w:val="0"/>
          <w:sz w:val="24"/>
          <w:szCs w:val="24"/>
          <w:highlight w:val="none"/>
        </w:rPr>
        <w:t xml:space="preserve"> </w:t>
      </w:r>
      <w:r>
        <w:rPr>
          <w:rStyle w:val="28"/>
          <w:rFonts w:hint="eastAsia" w:ascii="宋体" w:hAnsi="宋体" w:eastAsia="宋体" w:cs="宋体"/>
          <w:b w:val="0"/>
          <w:bCs w:val="0"/>
          <w:color w:val="auto"/>
          <w:kern w:val="0"/>
          <w:sz w:val="24"/>
          <w:szCs w:val="24"/>
          <w:highlight w:val="none"/>
        </w:rPr>
        <w:t>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116E5821">
      <w:pPr>
        <w:keepNext w:val="0"/>
        <w:keepLines w:val="0"/>
        <w:widowControl/>
        <w:suppressLineNumbers w:val="0"/>
        <w:spacing w:line="360" w:lineRule="auto"/>
        <w:ind w:firstLine="482" w:firstLineChars="200"/>
        <w:jc w:val="left"/>
        <w:rPr>
          <w:rStyle w:val="28"/>
          <w:rFonts w:hint="eastAsia" w:ascii="宋体" w:hAnsi="宋体" w:eastAsia="宋体" w:cs="宋体"/>
          <w:b w:val="0"/>
          <w:bCs w:val="0"/>
          <w:color w:val="auto"/>
          <w:kern w:val="0"/>
          <w:sz w:val="24"/>
          <w:szCs w:val="24"/>
          <w:highlight w:val="none"/>
          <w:lang w:eastAsia="zh-CN"/>
        </w:rPr>
      </w:pPr>
      <w:r>
        <w:rPr>
          <w:rStyle w:val="28"/>
          <w:rFonts w:hint="eastAsia" w:ascii="宋体" w:hAnsi="宋体" w:eastAsia="宋体" w:cs="宋体"/>
          <w:b/>
          <w:bCs/>
          <w:color w:val="auto"/>
          <w:kern w:val="0"/>
          <w:sz w:val="24"/>
          <w:szCs w:val="24"/>
          <w:highlight w:val="none"/>
          <w:lang w:val="en-US" w:eastAsia="zh-CN"/>
        </w:rPr>
        <w:t>3.2.4</w:t>
      </w:r>
      <w:r>
        <w:rPr>
          <w:rStyle w:val="28"/>
          <w:rFonts w:hint="eastAsia" w:ascii="宋体" w:hAnsi="宋体" w:eastAsia="宋体" w:cs="宋体"/>
          <w:b w:val="0"/>
          <w:bCs w:val="0"/>
          <w:color w:val="auto"/>
          <w:kern w:val="0"/>
          <w:sz w:val="24"/>
          <w:szCs w:val="24"/>
          <w:highlight w:val="none"/>
          <w:lang w:val="en-US" w:eastAsia="zh-CN"/>
        </w:rPr>
        <w:t xml:space="preserve"> </w:t>
      </w:r>
      <w:r>
        <w:rPr>
          <w:rStyle w:val="28"/>
          <w:rFonts w:hint="eastAsia" w:ascii="宋体" w:hAnsi="宋体" w:eastAsia="宋体" w:cs="宋体"/>
          <w:b w:val="0"/>
          <w:bCs w:val="0"/>
          <w:color w:val="auto"/>
          <w:kern w:val="0"/>
          <w:sz w:val="24"/>
          <w:szCs w:val="24"/>
          <w:highlight w:val="none"/>
          <w:lang w:eastAsia="zh-CN"/>
        </w:rPr>
        <w:t>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06B4A269">
      <w:pPr>
        <w:keepNext w:val="0"/>
        <w:keepLines w:val="0"/>
        <w:widowControl/>
        <w:suppressLineNumbers w:val="0"/>
        <w:spacing w:line="360" w:lineRule="auto"/>
        <w:ind w:firstLine="482" w:firstLineChars="200"/>
        <w:jc w:val="left"/>
        <w:rPr>
          <w:rFonts w:hint="eastAsia" w:ascii="宋体" w:hAnsi="宋体" w:eastAsia="宋体" w:cs="宋体"/>
          <w:snapToGrid w:val="0"/>
          <w:color w:val="auto"/>
          <w:kern w:val="0"/>
          <w:sz w:val="24"/>
          <w:szCs w:val="24"/>
          <w:highlight w:val="none"/>
        </w:rPr>
      </w:pPr>
      <w:r>
        <w:rPr>
          <w:rStyle w:val="28"/>
          <w:rFonts w:hint="eastAsia" w:ascii="宋体" w:hAnsi="宋体" w:eastAsia="宋体" w:cs="宋体"/>
          <w:b/>
          <w:bCs/>
          <w:color w:val="auto"/>
          <w:sz w:val="24"/>
          <w:szCs w:val="24"/>
          <w:highlight w:val="none"/>
        </w:rPr>
        <w:t>3.2.</w:t>
      </w:r>
      <w:r>
        <w:rPr>
          <w:rStyle w:val="28"/>
          <w:rFonts w:hint="eastAsia" w:ascii="宋体" w:hAnsi="宋体" w:eastAsia="宋体" w:cs="宋体"/>
          <w:b/>
          <w:bCs/>
          <w:color w:val="auto"/>
          <w:sz w:val="24"/>
          <w:szCs w:val="24"/>
          <w:highlight w:val="none"/>
          <w:lang w:val="en-US" w:eastAsia="zh-CN"/>
        </w:rPr>
        <w:t>5</w:t>
      </w:r>
      <w:r>
        <w:rPr>
          <w:rFonts w:hint="eastAsia" w:ascii="宋体" w:hAnsi="宋体" w:eastAsia="宋体" w:cs="宋体"/>
          <w:snapToGrid w:val="0"/>
          <w:color w:val="auto"/>
          <w:kern w:val="0"/>
          <w:sz w:val="24"/>
          <w:szCs w:val="24"/>
          <w:highlight w:val="none"/>
        </w:rPr>
        <w:t xml:space="preserve"> 预付款应从每支付期应支付给承包人的工程进度款中扣回，直到扣回的金额达到合同约定的预付款金额为止。</w:t>
      </w:r>
    </w:p>
    <w:p w14:paraId="103F4DE5">
      <w:pPr>
        <w:pStyle w:val="43"/>
        <w:keepNext w:val="0"/>
        <w:keepLines w:val="0"/>
        <w:pageBreakBefore w:val="0"/>
        <w:widowControl/>
        <w:kinsoku/>
        <w:wordWrap/>
        <w:overflowPunct/>
        <w:topLinePunct w:val="0"/>
        <w:autoSpaceDE/>
        <w:autoSpaceDN/>
        <w:bidi w:val="0"/>
        <w:adjustRightInd/>
        <w:spacing w:line="360" w:lineRule="auto"/>
        <w:ind w:firstLine="482" w:firstLineChars="200"/>
        <w:textAlignment w:val="baseline"/>
        <w:rPr>
          <w:rFonts w:hint="eastAsia" w:ascii="宋体" w:hAnsi="宋体" w:eastAsia="宋体" w:cs="宋体"/>
          <w:snapToGrid w:val="0"/>
          <w:color w:val="auto"/>
          <w:kern w:val="0"/>
          <w:sz w:val="24"/>
          <w:szCs w:val="24"/>
          <w:highlight w:val="none"/>
        </w:rPr>
      </w:pPr>
      <w:r>
        <w:rPr>
          <w:rStyle w:val="28"/>
          <w:rFonts w:hint="eastAsia" w:ascii="宋体" w:hAnsi="宋体" w:eastAsia="宋体" w:cs="宋体"/>
          <w:b/>
          <w:bCs/>
          <w:color w:val="auto"/>
          <w:kern w:val="1"/>
          <w:sz w:val="24"/>
          <w:szCs w:val="24"/>
          <w:highlight w:val="none"/>
        </w:rPr>
        <w:t xml:space="preserve">3.3 </w:t>
      </w:r>
      <w:r>
        <w:rPr>
          <w:rFonts w:hint="eastAsia" w:ascii="宋体" w:hAnsi="宋体" w:eastAsia="宋体" w:cs="宋体"/>
          <w:snapToGrid w:val="0"/>
          <w:color w:val="auto"/>
          <w:kern w:val="0"/>
          <w:sz w:val="24"/>
          <w:szCs w:val="24"/>
          <w:highlight w:val="none"/>
        </w:rPr>
        <w:t>施工过程中按月支付工程进度款：承包人每月按工程实际完成工程量（含变更及增加工程）申报，承包人必须将《已完成工程量报表》和《工程付款申请书》于当月26日前报监理单位核实。经监理单位审核、发包人审定后的工程进度款（指已经按照合同约定，扣除该支付期内因承包人违约而应扣除的管理费），于申报次月支付。</w:t>
      </w:r>
    </w:p>
    <w:p w14:paraId="52E7442D">
      <w:pPr>
        <w:pStyle w:val="43"/>
        <w:keepNext w:val="0"/>
        <w:keepLines w:val="0"/>
        <w:pageBreakBefore w:val="0"/>
        <w:kinsoku/>
        <w:overflowPunct/>
        <w:autoSpaceDE/>
        <w:autoSpaceDN/>
        <w:bidi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Style w:val="28"/>
          <w:rFonts w:hint="eastAsia" w:ascii="宋体" w:hAnsi="宋体" w:eastAsia="宋体" w:cs="宋体"/>
          <w:b/>
          <w:bCs/>
          <w:color w:val="auto"/>
          <w:kern w:val="1"/>
          <w:sz w:val="24"/>
          <w:szCs w:val="24"/>
          <w:highlight w:val="none"/>
          <w:lang w:val="en-US" w:eastAsia="zh-CN"/>
        </w:rPr>
        <w:t xml:space="preserve">3.4 </w:t>
      </w:r>
      <w:r>
        <w:rPr>
          <w:rFonts w:hint="eastAsia" w:ascii="宋体" w:hAnsi="宋体" w:eastAsia="宋体" w:cs="宋体"/>
          <w:snapToGrid w:val="0"/>
          <w:color w:val="auto"/>
          <w:kern w:val="0"/>
          <w:sz w:val="24"/>
          <w:szCs w:val="24"/>
          <w:highlight w:val="none"/>
        </w:rPr>
        <w:t>每月的工程进度款按</w:t>
      </w:r>
      <w:r>
        <w:rPr>
          <w:rFonts w:hint="eastAsia" w:ascii="宋体" w:hAnsi="宋体" w:eastAsia="宋体" w:cs="宋体"/>
          <w:snapToGrid w:val="0"/>
          <w:color w:val="auto"/>
          <w:kern w:val="0"/>
          <w:sz w:val="24"/>
          <w:szCs w:val="24"/>
          <w:highlight w:val="none"/>
          <w:lang w:eastAsia="zh-CN"/>
        </w:rPr>
        <w:t>工程实际完成工程量</w:t>
      </w:r>
      <w:r>
        <w:rPr>
          <w:rFonts w:hint="eastAsia" w:ascii="宋体" w:hAnsi="宋体" w:eastAsia="宋体" w:cs="宋体"/>
          <w:snapToGrid w:val="0"/>
          <w:color w:val="auto"/>
          <w:kern w:val="0"/>
          <w:sz w:val="24"/>
          <w:szCs w:val="24"/>
          <w:highlight w:val="none"/>
        </w:rPr>
        <w:t>的</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u w:val="single"/>
          <w:lang w:val="en-US" w:eastAsia="zh-CN"/>
        </w:rPr>
        <w:t>80%</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支付，工程</w:t>
      </w:r>
      <w:r>
        <w:rPr>
          <w:rFonts w:hint="eastAsia" w:ascii="宋体" w:hAnsi="宋体" w:eastAsia="宋体" w:cs="宋体"/>
          <w:snapToGrid w:val="0"/>
          <w:color w:val="auto"/>
          <w:kern w:val="0"/>
          <w:sz w:val="24"/>
          <w:szCs w:val="24"/>
          <w:highlight w:val="none"/>
          <w:lang w:eastAsia="zh-CN"/>
        </w:rPr>
        <w:t>进度</w:t>
      </w:r>
      <w:r>
        <w:rPr>
          <w:rFonts w:hint="eastAsia" w:ascii="宋体" w:hAnsi="宋体" w:eastAsia="宋体" w:cs="宋体"/>
          <w:snapToGrid w:val="0"/>
          <w:color w:val="auto"/>
          <w:kern w:val="0"/>
          <w:sz w:val="24"/>
          <w:szCs w:val="24"/>
          <w:highlight w:val="none"/>
        </w:rPr>
        <w:t>款中的作业工人工资款项由发包人单独足额拨付到承包人的工资专户</w:t>
      </w:r>
      <w:r>
        <w:rPr>
          <w:rFonts w:hint="eastAsia" w:ascii="宋体" w:hAnsi="宋体" w:eastAsia="宋体" w:cs="宋体"/>
          <w:snapToGrid w:val="0"/>
          <w:color w:val="auto"/>
          <w:kern w:val="0"/>
          <w:sz w:val="24"/>
          <w:szCs w:val="24"/>
          <w:highlight w:val="none"/>
          <w:lang w:eastAsia="zh-CN"/>
        </w:rPr>
        <w:t>。</w:t>
      </w:r>
    </w:p>
    <w:p w14:paraId="47F9458C">
      <w:pPr>
        <w:keepNext w:val="0"/>
        <w:keepLines w:val="0"/>
        <w:pageBreakBefore w:val="0"/>
        <w:kinsoku/>
        <w:overflowPunct/>
        <w:autoSpaceDE/>
        <w:autoSpaceDN/>
        <w:bidi w:val="0"/>
        <w:snapToGrid w:val="0"/>
        <w:spacing w:line="360" w:lineRule="auto"/>
        <w:ind w:firstLine="482" w:firstLineChars="200"/>
        <w:rPr>
          <w:rStyle w:val="28"/>
          <w:rFonts w:hint="eastAsia" w:ascii="宋体" w:hAnsi="宋体" w:eastAsia="宋体" w:cs="宋体"/>
          <w:b w:val="0"/>
          <w:bCs w:val="0"/>
          <w:color w:val="auto"/>
          <w:kern w:val="1"/>
          <w:sz w:val="24"/>
          <w:szCs w:val="24"/>
          <w:highlight w:val="none"/>
        </w:rPr>
      </w:pPr>
      <w:r>
        <w:rPr>
          <w:rStyle w:val="28"/>
          <w:rFonts w:hint="eastAsia" w:ascii="宋体" w:hAnsi="宋体" w:eastAsia="宋体" w:cs="宋体"/>
          <w:b/>
          <w:bCs/>
          <w:color w:val="auto"/>
          <w:kern w:val="1"/>
          <w:sz w:val="24"/>
          <w:szCs w:val="24"/>
          <w:highlight w:val="none"/>
        </w:rPr>
        <w:t>3.</w:t>
      </w:r>
      <w:r>
        <w:rPr>
          <w:rStyle w:val="28"/>
          <w:rFonts w:hint="eastAsia" w:ascii="宋体" w:hAnsi="宋体" w:eastAsia="宋体" w:cs="宋体"/>
          <w:b/>
          <w:bCs/>
          <w:color w:val="auto"/>
          <w:kern w:val="1"/>
          <w:sz w:val="24"/>
          <w:szCs w:val="24"/>
          <w:highlight w:val="none"/>
          <w:lang w:val="en-US" w:eastAsia="zh-CN"/>
        </w:rPr>
        <w:t>5</w:t>
      </w:r>
      <w:r>
        <w:rPr>
          <w:rStyle w:val="28"/>
          <w:rFonts w:hint="eastAsia" w:ascii="宋体" w:hAnsi="宋体" w:eastAsia="宋体" w:cs="宋体"/>
          <w:b w:val="0"/>
          <w:bCs w:val="0"/>
          <w:color w:val="auto"/>
          <w:kern w:val="1"/>
          <w:sz w:val="24"/>
          <w:szCs w:val="24"/>
          <w:highlight w:val="none"/>
          <w:lang w:val="en-US" w:eastAsia="zh-CN"/>
        </w:rPr>
        <w:t xml:space="preserve"> </w:t>
      </w:r>
      <w:r>
        <w:rPr>
          <w:rFonts w:hint="eastAsia" w:ascii="宋体" w:hAnsi="宋体" w:eastAsia="宋体" w:cs="宋体"/>
          <w:b w:val="0"/>
          <w:bCs w:val="0"/>
          <w:snapToGrid w:val="0"/>
          <w:color w:val="auto"/>
          <w:kern w:val="0"/>
          <w:sz w:val="24"/>
          <w:szCs w:val="24"/>
          <w:highlight w:val="none"/>
        </w:rPr>
        <w:t xml:space="preserve"> 措施项目费中的“安全生产措施费拨付按照《建设工程工程量清单计价标准》</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GB/T50500一2024</w:t>
      </w:r>
      <w:r>
        <w:rPr>
          <w:rFonts w:hint="eastAsia" w:ascii="宋体" w:hAnsi="宋体" w:eastAsia="宋体" w:cs="宋体"/>
          <w:b w:val="0"/>
          <w:bCs w:val="0"/>
          <w:snapToGrid w:val="0"/>
          <w:color w:val="auto"/>
          <w:kern w:val="0"/>
          <w:sz w:val="24"/>
          <w:szCs w:val="24"/>
          <w:highlight w:val="none"/>
          <w:lang w:eastAsia="zh-CN"/>
        </w:rPr>
        <w:t>）</w:t>
      </w:r>
      <w:r>
        <w:rPr>
          <w:rFonts w:hint="eastAsia" w:ascii="宋体" w:hAnsi="宋体" w:eastAsia="宋体" w:cs="宋体"/>
          <w:b w:val="0"/>
          <w:bCs w:val="0"/>
          <w:snapToGrid w:val="0"/>
          <w:color w:val="auto"/>
          <w:kern w:val="0"/>
          <w:sz w:val="24"/>
          <w:szCs w:val="24"/>
          <w:highlight w:val="none"/>
        </w:rPr>
        <w:t>执行，参照《关于印发&lt;广东省建设厅建筑工程安全防护、文明施工措施费用管理办法&gt;的通知》支付。承包人应在签订合同后，在项目开工、开通建设工程安措费专用账户、购买安全生产责任保险的前提下向发包人提交安全生产措施费中请，项目预付安全生产措施费总额的50%，其余部分应按照提前安排的原则进行分解，并与工程进度款同期支付。发承包双方在计算应付工程进度款时，不扣回预付款安全生产措施费。安全生产措施费必须专款专用，并由发包人单独拨付到承包人的建设工程安全生产措施费专用账户。</w:t>
      </w:r>
    </w:p>
    <w:p w14:paraId="541534BE">
      <w:pPr>
        <w:keepNext w:val="0"/>
        <w:keepLines w:val="0"/>
        <w:pageBreakBefore w:val="0"/>
        <w:kinsoku/>
        <w:overflowPunct/>
        <w:autoSpaceDE/>
        <w:autoSpaceDN/>
        <w:bidi w:val="0"/>
        <w:snapToGrid w:val="0"/>
        <w:spacing w:line="360" w:lineRule="auto"/>
        <w:ind w:firstLine="482" w:firstLineChars="200"/>
        <w:rPr>
          <w:rStyle w:val="28"/>
          <w:rFonts w:hint="eastAsia" w:ascii="宋体" w:hAnsi="宋体" w:eastAsia="宋体" w:cs="宋体"/>
          <w:b w:val="0"/>
          <w:bCs w:val="0"/>
          <w:color w:val="auto"/>
          <w:kern w:val="1"/>
          <w:sz w:val="24"/>
          <w:szCs w:val="24"/>
          <w:highlight w:val="none"/>
        </w:rPr>
      </w:pPr>
      <w:r>
        <w:rPr>
          <w:rStyle w:val="28"/>
          <w:rFonts w:hint="eastAsia" w:ascii="宋体" w:hAnsi="宋体" w:eastAsia="宋体" w:cs="宋体"/>
          <w:b/>
          <w:bCs/>
          <w:color w:val="auto"/>
          <w:kern w:val="1"/>
          <w:sz w:val="24"/>
          <w:szCs w:val="24"/>
          <w:highlight w:val="none"/>
        </w:rPr>
        <w:t>3.</w:t>
      </w:r>
      <w:r>
        <w:rPr>
          <w:rStyle w:val="28"/>
          <w:rFonts w:hint="eastAsia" w:ascii="宋体" w:hAnsi="宋体" w:eastAsia="宋体" w:cs="宋体"/>
          <w:b/>
          <w:bCs/>
          <w:color w:val="auto"/>
          <w:kern w:val="1"/>
          <w:sz w:val="24"/>
          <w:szCs w:val="24"/>
          <w:highlight w:val="none"/>
          <w:lang w:val="en-US" w:eastAsia="zh-CN"/>
        </w:rPr>
        <w:t xml:space="preserve">6 </w:t>
      </w:r>
      <w:r>
        <w:rPr>
          <w:rStyle w:val="28"/>
          <w:rFonts w:hint="eastAsia" w:ascii="宋体" w:hAnsi="宋体" w:eastAsia="宋体" w:cs="宋体"/>
          <w:b w:val="0"/>
          <w:bCs w:val="0"/>
          <w:color w:val="auto"/>
          <w:kern w:val="0"/>
          <w:sz w:val="24"/>
          <w:szCs w:val="24"/>
          <w:highlight w:val="none"/>
        </w:rPr>
        <w:t>变更工程造价必须经监理单位核实，并经发包人核定后方可支付。</w:t>
      </w:r>
    </w:p>
    <w:p w14:paraId="028F339B">
      <w:pPr>
        <w:keepNext w:val="0"/>
        <w:keepLines w:val="0"/>
        <w:pageBreakBefore w:val="0"/>
        <w:kinsoku/>
        <w:overflowPunct/>
        <w:autoSpaceDE/>
        <w:autoSpaceDN/>
        <w:bidi w:val="0"/>
        <w:snapToGrid w:val="0"/>
        <w:spacing w:line="360" w:lineRule="auto"/>
        <w:ind w:firstLine="482" w:firstLineChars="200"/>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Style w:val="28"/>
          <w:rFonts w:hint="eastAsia" w:ascii="宋体" w:hAnsi="宋体" w:eastAsia="宋体" w:cs="宋体"/>
          <w:b/>
          <w:bCs/>
          <w:color w:val="auto"/>
          <w:kern w:val="1"/>
          <w:sz w:val="24"/>
          <w:szCs w:val="24"/>
          <w:highlight w:val="none"/>
        </w:rPr>
        <w:t>3.</w:t>
      </w:r>
      <w:r>
        <w:rPr>
          <w:rStyle w:val="28"/>
          <w:rFonts w:hint="eastAsia" w:ascii="宋体" w:hAnsi="宋体" w:eastAsia="宋体" w:cs="宋体"/>
          <w:b/>
          <w:bCs/>
          <w:color w:val="auto"/>
          <w:kern w:val="1"/>
          <w:sz w:val="24"/>
          <w:szCs w:val="24"/>
          <w:highlight w:val="none"/>
          <w:lang w:val="en-US" w:eastAsia="zh-CN"/>
        </w:rPr>
        <w:t>7</w:t>
      </w:r>
      <w:r>
        <w:rPr>
          <w:rStyle w:val="28"/>
          <w:rFonts w:hint="eastAsia" w:ascii="宋体" w:hAnsi="宋体" w:eastAsia="宋体" w:cs="宋体"/>
          <w:b w:val="0"/>
          <w:bCs w:val="0"/>
          <w:color w:val="auto"/>
          <w:kern w:val="1"/>
          <w:sz w:val="24"/>
          <w:szCs w:val="24"/>
          <w:highlight w:val="none"/>
        </w:rPr>
        <w:t xml:space="preserve"> </w:t>
      </w:r>
      <w:r>
        <w:rPr>
          <w:rFonts w:hint="eastAsia" w:ascii="宋体" w:hAnsi="宋体" w:eastAsia="宋体" w:cs="宋体"/>
          <w:b w:val="0"/>
          <w:bCs w:val="0"/>
          <w:caps w:val="0"/>
          <w:smallCaps w:val="0"/>
          <w:snapToGrid w:val="0"/>
          <w:color w:val="auto"/>
          <w:spacing w:val="0"/>
          <w:kern w:val="0"/>
          <w:sz w:val="24"/>
          <w:szCs w:val="24"/>
          <w:highlight w:val="none"/>
          <w:lang w:eastAsia="zh-CN"/>
        </w:rPr>
        <w:t>结算审核完成后，于次月支付至审核价格的</w:t>
      </w:r>
      <w:r>
        <w:rPr>
          <w:rFonts w:hint="eastAsia" w:ascii="宋体" w:hAnsi="宋体" w:eastAsia="宋体" w:cs="宋体"/>
          <w:b w:val="0"/>
          <w:bCs w:val="0"/>
          <w:caps w:val="0"/>
          <w:smallCaps w:val="0"/>
          <w:snapToGrid w:val="0"/>
          <w:color w:val="auto"/>
          <w:spacing w:val="0"/>
          <w:kern w:val="0"/>
          <w:sz w:val="24"/>
          <w:szCs w:val="24"/>
          <w:highlight w:val="none"/>
          <w:u w:val="single"/>
          <w:lang w:eastAsia="zh-CN"/>
        </w:rPr>
        <w:t>97%</w:t>
      </w:r>
      <w:r>
        <w:rPr>
          <w:rFonts w:hint="eastAsia" w:ascii="宋体" w:hAnsi="宋体" w:eastAsia="宋体" w:cs="宋体"/>
          <w:b w:val="0"/>
          <w:bCs w:val="0"/>
          <w:caps w:val="0"/>
          <w:smallCaps w:val="0"/>
          <w:snapToGrid w:val="0"/>
          <w:color w:val="auto"/>
          <w:spacing w:val="0"/>
          <w:kern w:val="0"/>
          <w:sz w:val="24"/>
          <w:szCs w:val="24"/>
          <w:highlight w:val="none"/>
          <w:lang w:eastAsia="zh-CN"/>
        </w:rPr>
        <w:t>，剩余</w:t>
      </w:r>
      <w:r>
        <w:rPr>
          <w:rFonts w:hint="eastAsia" w:ascii="宋体" w:hAnsi="宋体" w:eastAsia="宋体" w:cs="宋体"/>
          <w:b w:val="0"/>
          <w:bCs w:val="0"/>
          <w:caps w:val="0"/>
          <w:smallCaps w:val="0"/>
          <w:snapToGrid w:val="0"/>
          <w:color w:val="auto"/>
          <w:spacing w:val="0"/>
          <w:kern w:val="0"/>
          <w:sz w:val="24"/>
          <w:szCs w:val="24"/>
          <w:highlight w:val="none"/>
          <w:u w:val="single"/>
          <w:lang w:eastAsia="zh-CN"/>
        </w:rPr>
        <w:t>3%</w:t>
      </w:r>
      <w:r>
        <w:rPr>
          <w:rFonts w:hint="eastAsia" w:ascii="宋体" w:hAnsi="宋体" w:eastAsia="宋体" w:cs="宋体"/>
          <w:b w:val="0"/>
          <w:bCs w:val="0"/>
          <w:caps w:val="0"/>
          <w:smallCaps w:val="0"/>
          <w:snapToGrid w:val="0"/>
          <w:color w:val="auto"/>
          <w:spacing w:val="0"/>
          <w:kern w:val="0"/>
          <w:sz w:val="24"/>
          <w:szCs w:val="24"/>
          <w:highlight w:val="none"/>
          <w:lang w:eastAsia="zh-CN"/>
        </w:rPr>
        <w:t>转为质量保证金；承包人提交了等额质量保证担保或质量保证保险的，于次月一次性结清合同价格。</w:t>
      </w:r>
    </w:p>
    <w:p w14:paraId="18C81B9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82" w:firstLineChars="200"/>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lang w:val="en-US" w:eastAsia="zh-CN"/>
        </w:rPr>
        <w:t>3.8</w:t>
      </w:r>
      <w:r>
        <w:rPr>
          <w:rFonts w:hint="eastAsia" w:ascii="宋体" w:hAnsi="宋体" w:eastAsia="宋体" w:cs="宋体"/>
          <w:b w:val="0"/>
          <w:bCs w:val="0"/>
          <w:caps w:val="0"/>
          <w:smallCaps w:val="0"/>
          <w:snapToGrid w:val="0"/>
          <w:color w:val="auto"/>
          <w:spacing w:val="0"/>
          <w:kern w:val="0"/>
          <w:sz w:val="24"/>
          <w:szCs w:val="24"/>
          <w:highlight w:val="none"/>
          <w:lang w:val="en-US" w:eastAsia="zh-CN"/>
        </w:rPr>
        <w:t xml:space="preserve"> 本工程缺陷责任期为 </w:t>
      </w:r>
      <w:r>
        <w:rPr>
          <w:rFonts w:hint="eastAsia" w:ascii="宋体" w:hAnsi="宋体" w:cs="宋体"/>
          <w:b w:val="0"/>
          <w:bCs w:val="0"/>
          <w:caps w:val="0"/>
          <w:smallCaps w:val="0"/>
          <w:snapToGrid w:val="0"/>
          <w:color w:val="auto"/>
          <w:spacing w:val="0"/>
          <w:kern w:val="0"/>
          <w:sz w:val="24"/>
          <w:szCs w:val="24"/>
          <w:highlight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lang w:val="en-US" w:eastAsia="zh-CN"/>
        </w:rPr>
        <w:t xml:space="preserve"> 年（自通过竣工验收之日起计）。缺陷责任期到期后，承包人向发包人申请退还质量保证金。发包人收到退还申请后，于 14 天内会同承包人进行核实。经双方核实且均无异议后，发包人在核实之日起 14 天内将应返保证金（或质量保证担保或质量保证保险）退还承包人。</w:t>
      </w:r>
    </w:p>
    <w:p w14:paraId="60E2A172">
      <w:pPr>
        <w:spacing w:before="151" w:line="360" w:lineRule="auto"/>
        <w:ind w:left="476"/>
        <w:outlineLvl w:val="2"/>
        <w:rPr>
          <w:rFonts w:hint="eastAsia" w:ascii="宋体" w:hAnsi="宋体" w:eastAsia="宋体" w:cs="宋体"/>
          <w:b/>
          <w:bCs/>
          <w:color w:val="auto"/>
          <w:spacing w:val="-11"/>
          <w:sz w:val="24"/>
          <w:szCs w:val="24"/>
          <w:highlight w:val="none"/>
        </w:rPr>
      </w:pPr>
      <w:bookmarkStart w:id="139" w:name="_Toc24375"/>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11"/>
          <w:sz w:val="24"/>
          <w:szCs w:val="24"/>
          <w:highlight w:val="none"/>
          <w:lang w:eastAsia="zh-CN"/>
        </w:rPr>
        <w:t>.</w:t>
      </w:r>
      <w:r>
        <w:rPr>
          <w:rFonts w:hint="eastAsia" w:ascii="宋体" w:hAnsi="宋体" w:eastAsia="宋体" w:cs="宋体"/>
          <w:b/>
          <w:bCs/>
          <w:color w:val="auto"/>
          <w:spacing w:val="-11"/>
          <w:sz w:val="24"/>
          <w:szCs w:val="24"/>
          <w:highlight w:val="none"/>
        </w:rPr>
        <w:t>其他专用合同条款</w:t>
      </w:r>
      <w:bookmarkEnd w:id="137"/>
      <w:bookmarkEnd w:id="139"/>
    </w:p>
    <w:p w14:paraId="66254D3B">
      <w:pPr>
        <w:keepNext w:val="0"/>
        <w:keepLines w:val="0"/>
        <w:pageBreakBefore w:val="0"/>
        <w:kinsoku/>
        <w:overflowPunct/>
        <w:topLinePunct w:val="0"/>
        <w:autoSpaceDE/>
        <w:autoSpaceDN/>
        <w:bidi w:val="0"/>
        <w:snapToGrid w:val="0"/>
        <w:spacing w:line="360" w:lineRule="auto"/>
        <w:ind w:firstLine="480" w:firstLineChars="200"/>
        <w:rPr>
          <w:rFonts w:hint="eastAsia" w:ascii="宋体" w:hAnsi="宋体" w:eastAsia="宋体" w:cs="宋体"/>
          <w:b w:val="0"/>
          <w:snapToGrid w:val="0"/>
          <w:color w:val="auto"/>
          <w:kern w:val="0"/>
          <w:sz w:val="24"/>
          <w:szCs w:val="24"/>
          <w:highlight w:val="none"/>
          <w:u w:val="single"/>
          <w:lang w:val="en-US" w:eastAsia="zh-CN" w:bidi="ar-SA"/>
        </w:rPr>
      </w:pPr>
      <w:r>
        <w:rPr>
          <w:rFonts w:hint="eastAsia" w:ascii="宋体" w:hAnsi="宋体" w:eastAsia="宋体" w:cs="宋体"/>
          <w:b w:val="0"/>
          <w:snapToGrid w:val="0"/>
          <w:color w:val="auto"/>
          <w:kern w:val="0"/>
          <w:sz w:val="24"/>
          <w:szCs w:val="24"/>
          <w:highlight w:val="none"/>
          <w:u w:val="single"/>
          <w:lang w:val="en-US" w:eastAsia="zh-CN" w:bidi="ar-SA"/>
        </w:rPr>
        <w:t>由招标人根据本工程实际情况和地方政策与中标人自行协商签定相关专用合同条款。</w:t>
      </w:r>
    </w:p>
    <w:p w14:paraId="6BE0A6DF">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val="0"/>
          <w:bCs w:val="0"/>
          <w:snapToGrid w:val="0"/>
          <w:color w:val="auto"/>
          <w:kern w:val="0"/>
          <w:sz w:val="24"/>
          <w:szCs w:val="24"/>
          <w:highlight w:val="none"/>
          <w:lang w:val="en-US" w:eastAsia="zh-CN"/>
        </w:rPr>
      </w:pPr>
      <w:bookmarkStart w:id="140" w:name="_Toc10299"/>
      <w:r>
        <w:rPr>
          <w:rFonts w:hint="eastAsia" w:ascii="宋体" w:hAnsi="宋体" w:eastAsia="宋体" w:cs="宋体"/>
          <w:b/>
          <w:bCs/>
          <w:snapToGrid w:val="0"/>
          <w:color w:val="auto"/>
          <w:kern w:val="0"/>
          <w:sz w:val="24"/>
          <w:szCs w:val="24"/>
          <w:highlight w:val="none"/>
          <w:lang w:val="en-US" w:eastAsia="zh-CN"/>
        </w:rPr>
        <w:t>4.1</w:t>
      </w:r>
      <w:r>
        <w:rPr>
          <w:rFonts w:hint="eastAsia" w:ascii="宋体" w:hAnsi="宋体" w:eastAsia="宋体" w:cs="宋体"/>
          <w:b w:val="0"/>
          <w:bCs w:val="0"/>
          <w:snapToGrid w:val="0"/>
          <w:color w:val="auto"/>
          <w:kern w:val="0"/>
          <w:sz w:val="24"/>
          <w:szCs w:val="24"/>
          <w:highlight w:val="none"/>
          <w:lang w:val="en-US" w:eastAsia="zh-CN"/>
        </w:rPr>
        <w:t>专业工程分包</w:t>
      </w:r>
      <w:bookmarkEnd w:id="140"/>
    </w:p>
    <w:p w14:paraId="4518D58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54F0C415">
      <w:pPr>
        <w:keepNext w:val="0"/>
        <w:keepLines w:val="0"/>
        <w:pageBreakBefore w:val="0"/>
        <w:widowControl/>
        <w:kinsoku/>
        <w:wordWrap w:val="0"/>
        <w:overflowPunct/>
        <w:topLinePunct w:val="0"/>
        <w:autoSpaceDE/>
        <w:autoSpaceDN/>
        <w:bidi w:val="0"/>
        <w:adjustRightInd w:val="0"/>
        <w:snapToGrid w:val="0"/>
        <w:spacing w:line="360" w:lineRule="auto"/>
        <w:ind w:firstLine="482" w:firstLineChars="200"/>
        <w:textAlignment w:val="baseline"/>
        <w:rPr>
          <w:rFonts w:hint="eastAsia" w:ascii="宋体" w:hAnsi="宋体" w:eastAsia="宋体" w:cs="宋体"/>
          <w:b w:val="0"/>
          <w:bCs w:val="0"/>
          <w:snapToGrid w:val="0"/>
          <w:color w:val="auto"/>
          <w:kern w:val="0"/>
          <w:sz w:val="24"/>
          <w:szCs w:val="24"/>
          <w:highlight w:val="none"/>
          <w:lang w:val="en-US" w:eastAsia="en-US"/>
        </w:rPr>
      </w:pPr>
      <w:bookmarkStart w:id="141" w:name="_Toc15504"/>
      <w:bookmarkStart w:id="142" w:name="_Toc4288"/>
      <w:bookmarkStart w:id="143" w:name="_Toc23958"/>
      <w:bookmarkStart w:id="144" w:name="_Toc7163"/>
      <w:bookmarkStart w:id="145" w:name="_Toc24421"/>
      <w:r>
        <w:rPr>
          <w:rFonts w:hint="eastAsia" w:ascii="宋体" w:hAnsi="宋体" w:eastAsia="宋体" w:cs="宋体"/>
          <w:b/>
          <w:bCs/>
          <w:snapToGrid w:val="0"/>
          <w:color w:val="auto"/>
          <w:kern w:val="0"/>
          <w:sz w:val="24"/>
          <w:szCs w:val="24"/>
          <w:highlight w:val="none"/>
          <w:lang w:val="en-US" w:eastAsia="zh-CN"/>
        </w:rPr>
        <w:t>4.2</w:t>
      </w:r>
      <w:r>
        <w:rPr>
          <w:rFonts w:hint="eastAsia" w:ascii="宋体" w:hAnsi="宋体" w:eastAsia="宋体" w:cs="宋体"/>
          <w:b w:val="0"/>
          <w:bCs w:val="0"/>
          <w:snapToGrid w:val="0"/>
          <w:color w:val="auto"/>
          <w:kern w:val="0"/>
          <w:sz w:val="24"/>
          <w:szCs w:val="24"/>
          <w:highlight w:val="none"/>
          <w:lang w:val="en-US" w:eastAsia="zh-CN"/>
        </w:rPr>
        <w:t xml:space="preserve"> </w:t>
      </w:r>
      <w:r>
        <w:rPr>
          <w:rFonts w:hint="eastAsia" w:ascii="宋体" w:hAnsi="宋体" w:eastAsia="宋体" w:cs="宋体"/>
          <w:b w:val="0"/>
          <w:bCs w:val="0"/>
          <w:snapToGrid w:val="0"/>
          <w:color w:val="auto"/>
          <w:kern w:val="0"/>
          <w:sz w:val="24"/>
          <w:szCs w:val="24"/>
          <w:highlight w:val="none"/>
          <w:lang w:val="en-US" w:eastAsia="en-US"/>
        </w:rPr>
        <w:t>工人工资支付专用账户</w:t>
      </w:r>
      <w:bookmarkEnd w:id="141"/>
      <w:bookmarkEnd w:id="142"/>
      <w:bookmarkEnd w:id="143"/>
      <w:bookmarkEnd w:id="144"/>
      <w:bookmarkEnd w:id="145"/>
    </w:p>
    <w:p w14:paraId="329FBC74">
      <w:pPr>
        <w:keepNext w:val="0"/>
        <w:keepLines w:val="0"/>
        <w:pageBreakBefore w:val="0"/>
        <w:kinsoku/>
        <w:wordWrap w:val="0"/>
        <w:overflowPunct/>
        <w:topLinePunct w:val="0"/>
        <w:bidi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24"/>
          <w:szCs w:val="24"/>
          <w:highlight w:val="none"/>
          <w:lang w:val="en-US" w:eastAsia="zh-CN" w:bidi="ar-SA"/>
        </w:rPr>
        <w:t>4.2</w:t>
      </w:r>
      <w:r>
        <w:rPr>
          <w:rFonts w:hint="eastAsia" w:ascii="宋体" w:hAnsi="宋体" w:eastAsia="宋体" w:cs="宋体"/>
          <w:b/>
          <w:bCs/>
          <w:snapToGrid w:val="0"/>
          <w:color w:val="auto"/>
          <w:kern w:val="0"/>
          <w:sz w:val="24"/>
          <w:szCs w:val="24"/>
          <w:highlight w:val="none"/>
          <w:lang w:val="en-US" w:eastAsia="en-US" w:bidi="ar-SA"/>
        </w:rPr>
        <w:t>.1</w:t>
      </w:r>
      <w:r>
        <w:rPr>
          <w:rFonts w:hint="eastAsia" w:ascii="宋体" w:hAnsi="宋体" w:eastAsia="宋体" w:cs="宋体"/>
          <w:b w:val="0"/>
          <w:bCs w:val="0"/>
          <w:snapToGrid w:val="0"/>
          <w:color w:val="auto"/>
          <w:kern w:val="0"/>
          <w:sz w:val="24"/>
          <w:szCs w:val="24"/>
          <w:highlight w:val="none"/>
          <w:lang w:val="en-US" w:eastAsia="en-US" w:bidi="ar-SA"/>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0AC4F2B9">
      <w:pPr>
        <w:keepNext w:val="0"/>
        <w:keepLines w:val="0"/>
        <w:pageBreakBefore w:val="0"/>
        <w:widowControl/>
        <w:suppressLineNumbers w:val="0"/>
        <w:kinsoku/>
        <w:overflowPunct/>
        <w:topLinePunct w:val="0"/>
        <w:bidi w:val="0"/>
        <w:spacing w:line="360" w:lineRule="auto"/>
        <w:ind w:firstLine="482"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strike w:val="0"/>
          <w:dstrike w:val="0"/>
          <w:snapToGrid w:val="0"/>
          <w:color w:val="auto"/>
          <w:kern w:val="0"/>
          <w:sz w:val="24"/>
          <w:szCs w:val="24"/>
          <w:highlight w:val="none"/>
          <w:lang w:val="en-US" w:eastAsia="zh-CN"/>
        </w:rPr>
        <w:t>4.2</w:t>
      </w:r>
      <w:r>
        <w:rPr>
          <w:rFonts w:hint="eastAsia" w:ascii="宋体" w:hAnsi="宋体" w:eastAsia="宋体" w:cs="宋体"/>
          <w:b/>
          <w:bCs/>
          <w:strike w:val="0"/>
          <w:dstrike w:val="0"/>
          <w:snapToGrid w:val="0"/>
          <w:color w:val="auto"/>
          <w:kern w:val="0"/>
          <w:sz w:val="24"/>
          <w:szCs w:val="24"/>
          <w:highlight w:val="none"/>
        </w:rPr>
        <w:t>.2</w:t>
      </w:r>
      <w:r>
        <w:rPr>
          <w:rFonts w:hint="eastAsia" w:ascii="宋体" w:hAnsi="宋体" w:eastAsia="宋体" w:cs="宋体"/>
          <w:color w:val="auto"/>
          <w:kern w:val="0"/>
          <w:sz w:val="24"/>
          <w:szCs w:val="24"/>
          <w:highlight w:val="none"/>
          <w:lang w:val="en-US" w:eastAsia="zh-CN" w:bidi="ar"/>
        </w:rPr>
        <w:t>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06B08C2F">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按韶关市人力资源和社会、保障局</w:t>
      </w:r>
      <w:r>
        <w:rPr>
          <w:rFonts w:hint="eastAsia" w:ascii="宋体" w:hAnsi="宋体" w:cs="宋体"/>
          <w:color w:val="auto"/>
          <w:kern w:val="0"/>
          <w:sz w:val="24"/>
          <w:szCs w:val="24"/>
          <w:highlight w:val="none"/>
          <w:lang w:val="en-US" w:eastAsia="zh-CN" w:bidi="ar"/>
        </w:rPr>
        <w:t>韶关市浈江区农业农村局</w:t>
      </w:r>
      <w:r>
        <w:rPr>
          <w:rFonts w:hint="eastAsia" w:ascii="宋体" w:hAnsi="宋体" w:eastAsia="宋体" w:cs="宋体"/>
          <w:color w:val="auto"/>
          <w:kern w:val="0"/>
          <w:sz w:val="24"/>
          <w:szCs w:val="24"/>
          <w:highlight w:val="none"/>
          <w:lang w:val="en-US" w:eastAsia="zh-CN" w:bidi="ar"/>
        </w:rPr>
        <w:t>、韶关市交通运输局、韶关市水务局、韶关市金融工作局、国家金融监督管理总局韶关监管分局关于印发《韶关市工程建设领域农民工工资保证金管理实施细则》的通知(韶人社规〔2023〕2号)及《韶关市工程建设领域农民工工资保证金管理实施细则》（韶法审〔2023〕19号）规定执行。承包人在签订工程施工承包合同后一个月内必须办妥该事项，并将办妥回执交发包人。</w:t>
      </w:r>
    </w:p>
    <w:p w14:paraId="1A663F32">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w:t>
      </w:r>
    </w:p>
    <w:p w14:paraId="2790A842">
      <w:pPr>
        <w:keepNext w:val="0"/>
        <w:keepLines w:val="0"/>
        <w:pageBreakBefore w:val="0"/>
        <w:widowControl/>
        <w:suppressLineNumbers w:val="0"/>
        <w:kinsoku/>
        <w:overflowPunct/>
        <w:topLinePunct w:val="0"/>
        <w:bidi w:val="0"/>
        <w:spacing w:line="360" w:lineRule="auto"/>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bCs/>
          <w:strike w:val="0"/>
          <w:dstrike w:val="0"/>
          <w:snapToGrid w:val="0"/>
          <w:color w:val="auto"/>
          <w:kern w:val="0"/>
          <w:sz w:val="24"/>
          <w:szCs w:val="24"/>
          <w:highlight w:val="none"/>
          <w:lang w:val="en-US" w:eastAsia="zh-CN"/>
        </w:rPr>
        <w:t>4.2</w:t>
      </w:r>
      <w:r>
        <w:rPr>
          <w:rFonts w:hint="eastAsia" w:ascii="宋体" w:hAnsi="宋体" w:eastAsia="宋体" w:cs="宋体"/>
          <w:b/>
          <w:bCs/>
          <w:strike w:val="0"/>
          <w:dstrike w:val="0"/>
          <w:snapToGrid w:val="0"/>
          <w:color w:val="auto"/>
          <w:kern w:val="0"/>
          <w:sz w:val="24"/>
          <w:szCs w:val="24"/>
          <w:highlight w:val="none"/>
        </w:rPr>
        <w:t>.3</w:t>
      </w:r>
      <w:r>
        <w:rPr>
          <w:rFonts w:hint="eastAsia" w:ascii="宋体" w:hAnsi="宋体" w:eastAsia="宋体" w:cs="宋体"/>
          <w:strike w:val="0"/>
          <w:dstrike w:val="0"/>
          <w:snapToGrid w:val="0"/>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bidi="ar"/>
        </w:rPr>
        <w:t>承包人应在工资专户开立后2个工作日内，将开户银行及其账号、开户协议等资料提交给发包人。</w:t>
      </w:r>
    </w:p>
    <w:p w14:paraId="6DEAE506">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（1）用人单位应当在建设项目动工前，在建设项目所在地商业银行设立工人工资支付专用账户。</w:t>
      </w:r>
    </w:p>
    <w:p w14:paraId="38E9A954">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（2）用人单位应当在用工之日起 15 日内为每一位工人办理个人银行账户。</w:t>
      </w:r>
    </w:p>
    <w:p w14:paraId="396A7095">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（3）用人单位应当指定专人负责建设项目施工现场台账管理，真实、准确记录工人名册、劳务合同、劳动合同、工程进度、工时台账、劳务承包款和工人工资支付等信息，并保存两年以上备查。</w:t>
      </w:r>
    </w:p>
    <w:p w14:paraId="4BC386CF">
      <w:pPr>
        <w:keepNext w:val="0"/>
        <w:keepLines w:val="0"/>
        <w:pageBreakBefore w:val="0"/>
        <w:widowControl/>
        <w:suppressLineNumbers w:val="0"/>
        <w:kinsoku/>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用人单位应当按照“及时支付，按实结算”的原则，在规定日期前通过银行工人工资支付专用账户将工人工资直接支付到工人的个人银行账户，并按月将工人工资支付明细表报施工总承包单位和建设单位备案。用人单位未建立、保存用工管理台账，或者伪造相关台账的，按照《广东省劳动保障监察条例》第五十条的规定，由人力资源社会保障部门责令改正，并可处以二千元以上二万元以下的人民币罚款。</w:t>
      </w:r>
    </w:p>
    <w:p w14:paraId="723ACB9A">
      <w:pPr>
        <w:keepNext w:val="0"/>
        <w:keepLines w:val="0"/>
        <w:pageBreakBefore w:val="0"/>
        <w:widowControl/>
        <w:suppressLineNumbers w:val="0"/>
        <w:kinsoku/>
        <w:overflowPunct/>
        <w:topLinePunct w:val="0"/>
        <w:bidi w:val="0"/>
        <w:spacing w:line="360" w:lineRule="auto"/>
        <w:ind w:firstLine="482" w:firstLineChars="200"/>
        <w:jc w:val="left"/>
        <w:rPr>
          <w:rStyle w:val="28"/>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bidi="ar"/>
        </w:rPr>
        <w:t xml:space="preserve">4.2.4 </w:t>
      </w:r>
      <w:r>
        <w:rPr>
          <w:rFonts w:hint="eastAsia" w:ascii="宋体" w:hAnsi="宋体" w:eastAsia="宋体" w:cs="宋体"/>
          <w:color w:val="auto"/>
          <w:kern w:val="0"/>
          <w:sz w:val="24"/>
          <w:szCs w:val="24"/>
          <w:highlight w:val="none"/>
          <w:lang w:val="en-US" w:eastAsia="zh-CN" w:bidi="ar"/>
        </w:rPr>
        <w:t>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59527E29">
      <w:pPr>
        <w:spacing w:before="151" w:line="360" w:lineRule="auto"/>
        <w:ind w:left="476"/>
        <w:outlineLvl w:val="2"/>
        <w:rPr>
          <w:rFonts w:hint="eastAsia" w:ascii="宋体" w:hAnsi="宋体" w:eastAsia="宋体" w:cs="宋体"/>
          <w:b/>
          <w:bCs/>
          <w:color w:val="auto"/>
          <w:spacing w:val="-11"/>
          <w:sz w:val="24"/>
          <w:szCs w:val="24"/>
          <w:highlight w:val="none"/>
        </w:rPr>
      </w:pPr>
      <w:bookmarkStart w:id="146" w:name="_Toc16211"/>
      <w:r>
        <w:rPr>
          <w:rFonts w:hint="eastAsia" w:ascii="宋体" w:hAnsi="宋体" w:eastAsia="宋体" w:cs="宋体"/>
          <w:b/>
          <w:bCs/>
          <w:color w:val="auto"/>
          <w:spacing w:val="-11"/>
          <w:sz w:val="24"/>
          <w:szCs w:val="24"/>
          <w:highlight w:val="none"/>
          <w:lang w:val="en-US" w:eastAsia="zh-CN"/>
        </w:rPr>
        <w:t>5.</w:t>
      </w:r>
      <w:r>
        <w:rPr>
          <w:rFonts w:hint="eastAsia" w:ascii="宋体" w:hAnsi="宋体" w:eastAsia="宋体" w:cs="宋体"/>
          <w:b/>
          <w:bCs/>
          <w:color w:val="auto"/>
          <w:spacing w:val="-11"/>
          <w:sz w:val="24"/>
          <w:szCs w:val="24"/>
          <w:highlight w:val="none"/>
        </w:rPr>
        <w:t>工期进度</w:t>
      </w:r>
      <w:bookmarkEnd w:id="146"/>
    </w:p>
    <w:p w14:paraId="0DF79A81">
      <w:pPr>
        <w:snapToGrid w:val="0"/>
        <w:spacing w:line="360" w:lineRule="auto"/>
        <w:ind w:firstLine="482" w:firstLineChars="200"/>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5</w:t>
      </w:r>
      <w:r>
        <w:rPr>
          <w:rStyle w:val="28"/>
          <w:rFonts w:hint="eastAsia" w:ascii="宋体" w:hAnsi="宋体" w:eastAsia="宋体" w:cs="宋体"/>
          <w:b/>
          <w:bCs/>
          <w:color w:val="auto"/>
          <w:kern w:val="0"/>
          <w:sz w:val="24"/>
          <w:szCs w:val="24"/>
          <w:highlight w:val="none"/>
        </w:rPr>
        <w:t>.1</w:t>
      </w:r>
      <w:r>
        <w:rPr>
          <w:rStyle w:val="28"/>
          <w:rFonts w:hint="eastAsia" w:ascii="宋体" w:hAnsi="宋体" w:eastAsia="宋体" w:cs="宋体"/>
          <w:color w:val="auto"/>
          <w:kern w:val="0"/>
          <w:sz w:val="24"/>
          <w:szCs w:val="24"/>
          <w:highlight w:val="none"/>
          <w:lang w:eastAsia="zh-CN"/>
        </w:rPr>
        <w:t>本工程施工招标工期为</w:t>
      </w:r>
      <w:r>
        <w:rPr>
          <w:rStyle w:val="28"/>
          <w:rFonts w:hint="eastAsia" w:ascii="宋体" w:hAnsi="宋体" w:cs="宋体"/>
          <w:color w:val="auto"/>
          <w:kern w:val="0"/>
          <w:sz w:val="24"/>
          <w:szCs w:val="24"/>
          <w:highlight w:val="yellow"/>
          <w:lang w:val="en-US" w:eastAsia="zh-CN"/>
        </w:rPr>
        <w:t>120</w:t>
      </w:r>
      <w:r>
        <w:rPr>
          <w:rStyle w:val="28"/>
          <w:rFonts w:hint="eastAsia" w:ascii="宋体" w:hAnsi="宋体" w:eastAsia="宋体" w:cs="宋体"/>
          <w:color w:val="auto"/>
          <w:kern w:val="0"/>
          <w:sz w:val="24"/>
          <w:szCs w:val="24"/>
          <w:highlight w:val="none"/>
          <w:lang w:eastAsia="zh-CN"/>
        </w:rPr>
        <w:t>个日历天。</w:t>
      </w:r>
      <w:r>
        <w:rPr>
          <w:rStyle w:val="28"/>
          <w:rFonts w:hint="eastAsia" w:ascii="宋体" w:hAnsi="宋体" w:eastAsia="宋体" w:cs="宋体"/>
          <w:color w:val="auto"/>
          <w:kern w:val="0"/>
          <w:sz w:val="24"/>
          <w:szCs w:val="24"/>
          <w:highlight w:val="none"/>
        </w:rPr>
        <w:t>承包人必须在招标工期内完成本工程招标范围内的全部内容。</w:t>
      </w:r>
    </w:p>
    <w:p w14:paraId="48C2A206">
      <w:pPr>
        <w:snapToGrid w:val="0"/>
        <w:spacing w:line="360" w:lineRule="auto"/>
        <w:ind w:firstLine="482" w:firstLineChars="200"/>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5</w:t>
      </w:r>
      <w:r>
        <w:rPr>
          <w:rStyle w:val="28"/>
          <w:rFonts w:hint="eastAsia" w:ascii="宋体" w:hAnsi="宋体" w:eastAsia="宋体" w:cs="宋体"/>
          <w:b/>
          <w:bCs/>
          <w:color w:val="auto"/>
          <w:kern w:val="0"/>
          <w:sz w:val="24"/>
          <w:szCs w:val="24"/>
          <w:highlight w:val="none"/>
        </w:rPr>
        <w:t>.2</w:t>
      </w:r>
      <w:r>
        <w:rPr>
          <w:rStyle w:val="28"/>
          <w:rFonts w:hint="eastAsia" w:ascii="宋体" w:hAnsi="宋体" w:eastAsia="宋体" w:cs="宋体"/>
          <w:color w:val="auto"/>
          <w:kern w:val="0"/>
          <w:sz w:val="24"/>
          <w:szCs w:val="24"/>
          <w:highlight w:val="none"/>
        </w:rPr>
        <w:t xml:space="preserve"> 施工工期从承包人收到监理单位签发的开工令之日起计，至竣工验收合格之日止。</w:t>
      </w:r>
    </w:p>
    <w:p w14:paraId="66091C97">
      <w:pPr>
        <w:snapToGrid w:val="0"/>
        <w:spacing w:line="360" w:lineRule="auto"/>
        <w:ind w:firstLine="482" w:firstLineChars="200"/>
        <w:rPr>
          <w:rFonts w:hint="eastAsia" w:ascii="宋体" w:hAnsi="宋体" w:eastAsia="宋体" w:cs="宋体"/>
          <w:color w:val="auto"/>
          <w:highlight w:val="none"/>
        </w:rPr>
      </w:pPr>
      <w:r>
        <w:rPr>
          <w:rStyle w:val="28"/>
          <w:rFonts w:hint="eastAsia" w:ascii="宋体" w:hAnsi="宋体" w:eastAsia="宋体" w:cs="宋体"/>
          <w:b/>
          <w:bCs/>
          <w:color w:val="auto"/>
          <w:kern w:val="0"/>
          <w:sz w:val="24"/>
          <w:szCs w:val="24"/>
          <w:highlight w:val="none"/>
          <w:lang w:val="en-US" w:eastAsia="zh-CN"/>
        </w:rPr>
        <w:t>5</w:t>
      </w:r>
      <w:r>
        <w:rPr>
          <w:rStyle w:val="28"/>
          <w:rFonts w:hint="eastAsia" w:ascii="宋体" w:hAnsi="宋体" w:eastAsia="宋体" w:cs="宋体"/>
          <w:b/>
          <w:bCs/>
          <w:color w:val="auto"/>
          <w:kern w:val="0"/>
          <w:sz w:val="24"/>
          <w:szCs w:val="24"/>
          <w:highlight w:val="none"/>
        </w:rPr>
        <w:t>.3</w:t>
      </w:r>
      <w:r>
        <w:rPr>
          <w:rStyle w:val="28"/>
          <w:rFonts w:hint="eastAsia" w:ascii="宋体" w:hAnsi="宋体" w:eastAsia="宋体" w:cs="宋体"/>
          <w:color w:val="auto"/>
          <w:kern w:val="0"/>
          <w:sz w:val="24"/>
          <w:szCs w:val="24"/>
          <w:highlight w:val="none"/>
        </w:rPr>
        <w:t xml:space="preserve"> 由于承包人原因造成工期延误的，承包人须在逾期第壹天起每天按合同价的</w:t>
      </w:r>
      <w:r>
        <w:rPr>
          <w:rStyle w:val="28"/>
          <w:rFonts w:hint="eastAsia" w:ascii="宋体" w:hAnsi="宋体" w:cs="宋体"/>
          <w:color w:val="auto"/>
          <w:kern w:val="0"/>
          <w:sz w:val="24"/>
          <w:szCs w:val="24"/>
          <w:highlight w:val="none"/>
          <w:lang w:val="en-US"/>
        </w:rPr>
        <w:t>1</w:t>
      </w:r>
      <w:r>
        <w:rPr>
          <w:rStyle w:val="28"/>
          <w:rFonts w:hint="eastAsia" w:ascii="宋体" w:hAnsi="宋体" w:eastAsia="宋体" w:cs="宋体"/>
          <w:color w:val="auto"/>
          <w:kern w:val="0"/>
          <w:sz w:val="24"/>
          <w:szCs w:val="24"/>
          <w:highlight w:val="none"/>
          <w:u w:val="single"/>
        </w:rPr>
        <w:t>‰</w:t>
      </w:r>
      <w:r>
        <w:rPr>
          <w:rStyle w:val="28"/>
          <w:rFonts w:hint="eastAsia" w:ascii="宋体" w:hAnsi="宋体" w:eastAsia="宋体" w:cs="宋体"/>
          <w:color w:val="auto"/>
          <w:kern w:val="0"/>
          <w:sz w:val="24"/>
          <w:szCs w:val="24"/>
          <w:highlight w:val="none"/>
        </w:rPr>
        <w:t>向招标人返纳逾期竣工违约金。</w:t>
      </w:r>
    </w:p>
    <w:p w14:paraId="6EE4C774">
      <w:pPr>
        <w:spacing w:before="151" w:line="360" w:lineRule="auto"/>
        <w:ind w:left="476"/>
        <w:outlineLvl w:val="2"/>
        <w:rPr>
          <w:rFonts w:hint="eastAsia" w:ascii="宋体" w:hAnsi="宋体" w:eastAsia="宋体" w:cs="宋体"/>
          <w:b/>
          <w:bCs/>
          <w:color w:val="auto"/>
          <w:spacing w:val="-11"/>
          <w:sz w:val="24"/>
          <w:szCs w:val="24"/>
          <w:highlight w:val="none"/>
          <w:lang w:val="en-US" w:eastAsia="zh-CN"/>
        </w:rPr>
      </w:pPr>
      <w:bookmarkStart w:id="147" w:name="_Toc4690"/>
      <w:r>
        <w:rPr>
          <w:rFonts w:hint="eastAsia" w:ascii="宋体" w:hAnsi="宋体" w:eastAsia="宋体" w:cs="宋体"/>
          <w:b/>
          <w:bCs/>
          <w:color w:val="auto"/>
          <w:spacing w:val="-11"/>
          <w:sz w:val="24"/>
          <w:szCs w:val="24"/>
          <w:highlight w:val="none"/>
          <w:lang w:val="en-US" w:eastAsia="zh-CN"/>
        </w:rPr>
        <w:t>6.项目管理机构</w:t>
      </w:r>
      <w:bookmarkEnd w:id="147"/>
    </w:p>
    <w:p w14:paraId="3B42F43D">
      <w:pPr>
        <w:snapToGrid w:val="0"/>
        <w:spacing w:line="360" w:lineRule="auto"/>
        <w:ind w:firstLine="482" w:firstLineChars="200"/>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6</w:t>
      </w:r>
      <w:r>
        <w:rPr>
          <w:rStyle w:val="28"/>
          <w:rFonts w:hint="eastAsia" w:ascii="宋体" w:hAnsi="宋体" w:eastAsia="宋体" w:cs="宋体"/>
          <w:b/>
          <w:bCs/>
          <w:color w:val="auto"/>
          <w:kern w:val="0"/>
          <w:sz w:val="24"/>
          <w:szCs w:val="24"/>
          <w:highlight w:val="none"/>
        </w:rPr>
        <w:t>.1</w:t>
      </w:r>
      <w:r>
        <w:rPr>
          <w:rStyle w:val="28"/>
          <w:rFonts w:hint="eastAsia" w:ascii="宋体" w:hAnsi="宋体" w:eastAsia="宋体" w:cs="宋体"/>
          <w:color w:val="auto"/>
          <w:kern w:val="0"/>
          <w:sz w:val="24"/>
          <w:szCs w:val="24"/>
          <w:highlight w:val="none"/>
        </w:rPr>
        <w:t xml:space="preserve"> 承包人派驻的项目管理班子成员必须为其投标文件确定的人员，否则发包人有权终止合同。</w:t>
      </w:r>
    </w:p>
    <w:p w14:paraId="5EDA436C">
      <w:pPr>
        <w:snapToGrid w:val="0"/>
        <w:spacing w:line="360" w:lineRule="auto"/>
        <w:ind w:firstLine="482" w:firstLineChars="200"/>
        <w:rPr>
          <w:rStyle w:val="28"/>
          <w:rFonts w:hint="eastAsia" w:ascii="宋体" w:hAnsi="宋体" w:eastAsia="宋体" w:cs="宋体"/>
          <w:b w:val="0"/>
          <w:bCs w:val="0"/>
          <w:color w:val="auto"/>
          <w:kern w:val="0"/>
          <w:sz w:val="24"/>
          <w:szCs w:val="24"/>
          <w:highlight w:val="none"/>
          <w:lang w:val="en-US" w:eastAsia="zh-CN"/>
        </w:rPr>
      </w:pPr>
      <w:bookmarkStart w:id="148" w:name="_Toc32659"/>
      <w:r>
        <w:rPr>
          <w:rStyle w:val="28"/>
          <w:rFonts w:hint="eastAsia" w:ascii="宋体" w:hAnsi="宋体" w:eastAsia="宋体" w:cs="宋体"/>
          <w:b/>
          <w:bCs/>
          <w:color w:val="auto"/>
          <w:kern w:val="0"/>
          <w:sz w:val="24"/>
          <w:szCs w:val="24"/>
          <w:highlight w:val="none"/>
          <w:lang w:val="en-US" w:eastAsia="zh-CN"/>
        </w:rPr>
        <w:t xml:space="preserve">6.2 </w:t>
      </w:r>
      <w:r>
        <w:rPr>
          <w:rStyle w:val="28"/>
          <w:rFonts w:hint="eastAsia" w:ascii="宋体" w:hAnsi="宋体" w:eastAsia="宋体" w:cs="宋体"/>
          <w:b w:val="0"/>
          <w:bCs w:val="0"/>
          <w:color w:val="auto"/>
          <w:kern w:val="0"/>
          <w:sz w:val="24"/>
          <w:szCs w:val="24"/>
          <w:highlight w:val="none"/>
          <w:lang w:val="en-US" w:eastAsia="zh-CN"/>
        </w:rPr>
        <w:t>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bookmarkEnd w:id="148"/>
    </w:p>
    <w:p w14:paraId="2990D52B">
      <w:pPr>
        <w:keepNext w:val="0"/>
        <w:keepLines w:val="0"/>
        <w:pageBreakBefore w:val="0"/>
        <w:widowControl w:val="0"/>
        <w:kinsoku w:val="0"/>
        <w:wordWrap/>
        <w:overflowPunct/>
        <w:topLinePunct w:val="0"/>
        <w:autoSpaceDE w:val="0"/>
        <w:autoSpaceDN w:val="0"/>
        <w:bidi w:val="0"/>
        <w:adjustRightInd w:val="0"/>
        <w:snapToGrid w:val="0"/>
        <w:spacing w:before="151" w:line="360" w:lineRule="auto"/>
        <w:ind w:left="476"/>
        <w:textAlignment w:val="baseline"/>
        <w:outlineLvl w:val="2"/>
        <w:rPr>
          <w:rFonts w:hint="eastAsia" w:ascii="宋体" w:hAnsi="宋体" w:eastAsia="宋体" w:cs="宋体"/>
          <w:b/>
          <w:bCs/>
          <w:color w:val="auto"/>
          <w:spacing w:val="-11"/>
          <w:sz w:val="24"/>
          <w:szCs w:val="24"/>
          <w:highlight w:val="none"/>
          <w:lang w:val="en-US" w:eastAsia="zh-CN"/>
        </w:rPr>
      </w:pPr>
      <w:bookmarkStart w:id="149" w:name="_Toc18634"/>
      <w:r>
        <w:rPr>
          <w:rFonts w:hint="eastAsia" w:ascii="宋体" w:hAnsi="宋体" w:eastAsia="宋体" w:cs="宋体"/>
          <w:b/>
          <w:bCs/>
          <w:color w:val="auto"/>
          <w:spacing w:val="-11"/>
          <w:sz w:val="24"/>
          <w:szCs w:val="24"/>
          <w:highlight w:val="none"/>
          <w:lang w:val="en-US" w:eastAsia="zh-CN"/>
        </w:rPr>
        <w:t>7.现场管理</w:t>
      </w:r>
      <w:bookmarkEnd w:id="149"/>
    </w:p>
    <w:p w14:paraId="1D79DC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Style w:val="28"/>
          <w:rFonts w:hint="eastAsia" w:ascii="宋体" w:hAnsi="宋体" w:eastAsia="宋体" w:cs="宋体"/>
          <w:b w:val="0"/>
          <w:bCs w:val="0"/>
          <w:color w:val="auto"/>
          <w:kern w:val="0"/>
          <w:sz w:val="24"/>
          <w:szCs w:val="24"/>
          <w:highlight w:val="none"/>
          <w:lang w:val="en-US" w:eastAsia="zh-CN"/>
        </w:rPr>
      </w:pPr>
      <w:bookmarkStart w:id="150" w:name="_Toc7562"/>
      <w:r>
        <w:rPr>
          <w:rStyle w:val="28"/>
          <w:rFonts w:hint="eastAsia" w:ascii="宋体" w:hAnsi="宋体" w:eastAsia="宋体" w:cs="宋体"/>
          <w:b/>
          <w:bCs/>
          <w:color w:val="auto"/>
          <w:kern w:val="0"/>
          <w:sz w:val="24"/>
          <w:szCs w:val="24"/>
          <w:highlight w:val="none"/>
          <w:lang w:val="en-US" w:eastAsia="zh-CN"/>
        </w:rPr>
        <w:t xml:space="preserve">7.1 </w:t>
      </w:r>
      <w:r>
        <w:rPr>
          <w:rStyle w:val="28"/>
          <w:rFonts w:hint="eastAsia" w:ascii="宋体" w:hAnsi="宋体" w:eastAsia="宋体" w:cs="宋体"/>
          <w:b w:val="0"/>
          <w:bCs w:val="0"/>
          <w:color w:val="auto"/>
          <w:kern w:val="0"/>
          <w:sz w:val="24"/>
          <w:szCs w:val="24"/>
          <w:highlight w:val="none"/>
          <w:lang w:val="en-US" w:eastAsia="zh-CN"/>
        </w:rPr>
        <w:t>承包人在施工期间应严格遵守国家、广东省、韶关市有关绿色施工、文明施工、噪音扬尘、消防爆破、环境卫生、渣土清运、防火和治安保卫等方面的规定，并建立相应规章制度和保障措施。否则由此造成的经济损失和法律责任，均由承包人承担。</w:t>
      </w:r>
      <w:bookmarkEnd w:id="150"/>
    </w:p>
    <w:p w14:paraId="58A9F9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7</w:t>
      </w:r>
      <w:r>
        <w:rPr>
          <w:rStyle w:val="28"/>
          <w:rFonts w:hint="eastAsia" w:ascii="宋体" w:hAnsi="宋体" w:eastAsia="宋体" w:cs="宋体"/>
          <w:b/>
          <w:bCs/>
          <w:color w:val="auto"/>
          <w:kern w:val="0"/>
          <w:sz w:val="24"/>
          <w:szCs w:val="24"/>
          <w:highlight w:val="none"/>
        </w:rPr>
        <w:t>.2</w:t>
      </w:r>
      <w:r>
        <w:rPr>
          <w:rStyle w:val="28"/>
          <w:rFonts w:hint="eastAsia" w:ascii="宋体" w:hAnsi="宋体" w:eastAsia="宋体" w:cs="宋体"/>
          <w:color w:val="auto"/>
          <w:kern w:val="0"/>
          <w:sz w:val="24"/>
          <w:szCs w:val="24"/>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49F65F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Style w:val="28"/>
          <w:rFonts w:hint="eastAsia" w:ascii="宋体" w:hAnsi="宋体" w:eastAsia="宋体" w:cs="宋体"/>
          <w:b/>
          <w:bCs/>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7</w:t>
      </w:r>
      <w:r>
        <w:rPr>
          <w:rStyle w:val="28"/>
          <w:rFonts w:hint="eastAsia" w:ascii="宋体" w:hAnsi="宋体" w:eastAsia="宋体" w:cs="宋体"/>
          <w:b/>
          <w:bCs/>
          <w:color w:val="auto"/>
          <w:kern w:val="0"/>
          <w:sz w:val="24"/>
          <w:szCs w:val="24"/>
          <w:highlight w:val="none"/>
        </w:rPr>
        <w:t>.3</w:t>
      </w:r>
      <w:r>
        <w:rPr>
          <w:rStyle w:val="28"/>
          <w:rFonts w:hint="eastAsia" w:ascii="宋体" w:hAnsi="宋体" w:eastAsia="宋体" w:cs="宋体"/>
          <w:color w:val="auto"/>
          <w:kern w:val="0"/>
          <w:sz w:val="24"/>
          <w:szCs w:val="24"/>
          <w:highlight w:val="none"/>
        </w:rPr>
        <w:t xml:space="preserve"> 为保证施工现场的环境卫生，承包人在本工程施工过程中，所有的车辆必须按发包人规定的行车路线行驶。</w:t>
      </w:r>
    </w:p>
    <w:p w14:paraId="493F356B">
      <w:pPr>
        <w:keepNext w:val="0"/>
        <w:keepLines w:val="0"/>
        <w:pageBreakBefore w:val="0"/>
        <w:widowControl w:val="0"/>
        <w:kinsoku w:val="0"/>
        <w:wordWrap/>
        <w:overflowPunct/>
        <w:topLinePunct w:val="0"/>
        <w:autoSpaceDE w:val="0"/>
        <w:autoSpaceDN w:val="0"/>
        <w:bidi w:val="0"/>
        <w:adjustRightInd w:val="0"/>
        <w:snapToGrid w:val="0"/>
        <w:spacing w:before="151" w:line="360" w:lineRule="auto"/>
        <w:ind w:left="476"/>
        <w:textAlignment w:val="baseline"/>
        <w:outlineLvl w:val="2"/>
        <w:rPr>
          <w:rFonts w:hint="eastAsia" w:ascii="宋体" w:hAnsi="宋体" w:eastAsia="宋体" w:cs="宋体"/>
          <w:b/>
          <w:bCs/>
          <w:color w:val="auto"/>
          <w:spacing w:val="-11"/>
          <w:sz w:val="24"/>
          <w:szCs w:val="24"/>
          <w:highlight w:val="none"/>
          <w:lang w:val="en-US" w:eastAsia="zh-CN"/>
        </w:rPr>
      </w:pPr>
      <w:bookmarkStart w:id="151" w:name="_Toc15027"/>
      <w:r>
        <w:rPr>
          <w:rFonts w:hint="eastAsia" w:ascii="宋体" w:hAnsi="宋体" w:eastAsia="宋体" w:cs="宋体"/>
          <w:b/>
          <w:bCs/>
          <w:color w:val="auto"/>
          <w:spacing w:val="-11"/>
          <w:sz w:val="24"/>
          <w:szCs w:val="24"/>
          <w:highlight w:val="none"/>
          <w:lang w:val="en-US" w:eastAsia="zh-CN"/>
        </w:rPr>
        <w:t>8.监督实施</w:t>
      </w:r>
      <w:bookmarkEnd w:id="151"/>
    </w:p>
    <w:p w14:paraId="2069F7E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textAlignment w:val="baseline"/>
        <w:rPr>
          <w:rStyle w:val="28"/>
          <w:rFonts w:hint="eastAsia" w:ascii="宋体" w:hAnsi="宋体" w:eastAsia="宋体" w:cs="宋体"/>
          <w:b/>
          <w:bCs/>
          <w:color w:val="auto"/>
          <w:kern w:val="0"/>
          <w:sz w:val="24"/>
          <w:szCs w:val="24"/>
          <w:highlight w:val="none"/>
        </w:rPr>
      </w:pPr>
      <w:r>
        <w:rPr>
          <w:rStyle w:val="28"/>
          <w:rFonts w:hint="eastAsia" w:ascii="宋体" w:hAnsi="宋体" w:eastAsia="宋体" w:cs="宋体"/>
          <w:color w:val="auto"/>
          <w:kern w:val="0"/>
          <w:sz w:val="24"/>
          <w:szCs w:val="24"/>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D104086">
      <w:pPr>
        <w:keepNext w:val="0"/>
        <w:keepLines w:val="0"/>
        <w:pageBreakBefore w:val="0"/>
        <w:widowControl w:val="0"/>
        <w:kinsoku w:val="0"/>
        <w:wordWrap/>
        <w:overflowPunct/>
        <w:topLinePunct w:val="0"/>
        <w:autoSpaceDE w:val="0"/>
        <w:autoSpaceDN w:val="0"/>
        <w:bidi w:val="0"/>
        <w:adjustRightInd w:val="0"/>
        <w:snapToGrid w:val="0"/>
        <w:spacing w:before="151" w:line="360" w:lineRule="auto"/>
        <w:ind w:left="476"/>
        <w:textAlignment w:val="baseline"/>
        <w:outlineLvl w:val="2"/>
        <w:rPr>
          <w:rFonts w:hint="eastAsia" w:ascii="宋体" w:hAnsi="宋体" w:eastAsia="宋体" w:cs="宋体"/>
          <w:b/>
          <w:bCs/>
          <w:color w:val="auto"/>
          <w:spacing w:val="-11"/>
          <w:sz w:val="24"/>
          <w:szCs w:val="24"/>
          <w:highlight w:val="none"/>
          <w:lang w:val="en-US" w:eastAsia="zh-CN"/>
        </w:rPr>
      </w:pPr>
      <w:bookmarkStart w:id="152" w:name="_Toc31222"/>
      <w:r>
        <w:rPr>
          <w:rFonts w:hint="eastAsia" w:ascii="宋体" w:hAnsi="宋体" w:eastAsia="宋体" w:cs="宋体"/>
          <w:b/>
          <w:bCs/>
          <w:color w:val="auto"/>
          <w:spacing w:val="-11"/>
          <w:sz w:val="24"/>
          <w:szCs w:val="24"/>
          <w:highlight w:val="none"/>
          <w:lang w:val="en-US" w:eastAsia="zh-CN"/>
        </w:rPr>
        <w:t>9.主材的采购和使用</w:t>
      </w:r>
      <w:bookmarkEnd w:id="152"/>
    </w:p>
    <w:p w14:paraId="22B81A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textAlignment w:val="baseline"/>
        <w:rPr>
          <w:rStyle w:val="28"/>
          <w:rFonts w:hint="eastAsia" w:ascii="宋体" w:hAnsi="宋体" w:eastAsia="宋体" w:cs="宋体"/>
          <w:b/>
          <w:bCs/>
          <w:color w:val="auto"/>
          <w:kern w:val="0"/>
          <w:sz w:val="24"/>
          <w:szCs w:val="24"/>
          <w:highlight w:val="none"/>
        </w:rPr>
      </w:pPr>
      <w:r>
        <w:rPr>
          <w:rStyle w:val="28"/>
          <w:rFonts w:hint="eastAsia" w:ascii="宋体" w:hAnsi="宋体" w:eastAsia="宋体" w:cs="宋体"/>
          <w:color w:val="auto"/>
          <w:kern w:val="0"/>
          <w:sz w:val="24"/>
          <w:szCs w:val="24"/>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7047A4A9">
      <w:pPr>
        <w:spacing w:before="151" w:line="360" w:lineRule="auto"/>
        <w:ind w:left="476"/>
        <w:outlineLvl w:val="2"/>
        <w:rPr>
          <w:rFonts w:hint="eastAsia" w:ascii="宋体" w:hAnsi="宋体" w:eastAsia="宋体" w:cs="宋体"/>
          <w:b/>
          <w:bCs/>
          <w:color w:val="auto"/>
          <w:spacing w:val="-11"/>
          <w:sz w:val="24"/>
          <w:szCs w:val="24"/>
          <w:highlight w:val="none"/>
          <w:lang w:val="en-US" w:eastAsia="zh-CN"/>
        </w:rPr>
      </w:pPr>
      <w:bookmarkStart w:id="153" w:name="_Toc15970"/>
      <w:r>
        <w:rPr>
          <w:rFonts w:hint="eastAsia" w:ascii="宋体" w:hAnsi="宋体" w:eastAsia="宋体" w:cs="宋体"/>
          <w:b/>
          <w:bCs/>
          <w:color w:val="auto"/>
          <w:spacing w:val="-11"/>
          <w:sz w:val="24"/>
          <w:szCs w:val="24"/>
          <w:highlight w:val="none"/>
          <w:lang w:val="en-US" w:eastAsia="zh-CN"/>
        </w:rPr>
        <w:t>10.竣工资料移交</w:t>
      </w:r>
      <w:bookmarkEnd w:id="153"/>
    </w:p>
    <w:p w14:paraId="04F7DEDF">
      <w:pPr>
        <w:widowControl w:val="0"/>
        <w:wordWrap w:val="0"/>
        <w:adjustRightInd w:val="0"/>
        <w:snapToGrid w:val="0"/>
        <w:spacing w:line="360" w:lineRule="auto"/>
        <w:ind w:firstLine="560"/>
        <w:textAlignment w:val="auto"/>
        <w:rPr>
          <w:rStyle w:val="28"/>
          <w:rFonts w:hint="eastAsia" w:ascii="宋体" w:hAnsi="宋体" w:eastAsia="宋体" w:cs="宋体"/>
          <w:b/>
          <w:bCs/>
          <w:color w:val="auto"/>
          <w:kern w:val="0"/>
          <w:sz w:val="24"/>
          <w:szCs w:val="24"/>
          <w:highlight w:val="none"/>
        </w:rPr>
      </w:pPr>
      <w:r>
        <w:rPr>
          <w:rFonts w:hint="eastAsia" w:ascii="宋体" w:hAnsi="宋体" w:eastAsia="宋体" w:cs="宋体"/>
          <w:bCs/>
          <w:snapToGrid w:val="0"/>
          <w:color w:val="auto"/>
          <w:kern w:val="0"/>
          <w:sz w:val="24"/>
          <w:szCs w:val="24"/>
          <w:highlight w:val="none"/>
        </w:rPr>
        <w:t>项目竣工验收时，</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人应向监理单位和</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人提供符合国家档案部门备案要求的，编制成册的竣工图及有关的技术档案资料（含声像档案）一式</w:t>
      </w:r>
      <w:r>
        <w:rPr>
          <w:rFonts w:hint="eastAsia" w:ascii="宋体" w:hAnsi="宋体" w:eastAsia="宋体" w:cs="宋体"/>
          <w:bCs/>
          <w:snapToGrid w:val="0"/>
          <w:color w:val="auto"/>
          <w:kern w:val="0"/>
          <w:sz w:val="24"/>
          <w:szCs w:val="24"/>
          <w:highlight w:val="none"/>
          <w:u w:val="single"/>
        </w:rPr>
        <w:t xml:space="preserve"> 八 </w:t>
      </w:r>
      <w:r>
        <w:rPr>
          <w:rFonts w:hint="eastAsia" w:ascii="宋体" w:hAnsi="宋体" w:eastAsia="宋体" w:cs="宋体"/>
          <w:bCs/>
          <w:snapToGrid w:val="0"/>
          <w:color w:val="auto"/>
          <w:kern w:val="0"/>
          <w:sz w:val="24"/>
          <w:szCs w:val="24"/>
          <w:highlight w:val="none"/>
        </w:rPr>
        <w:t>份。</w:t>
      </w:r>
    </w:p>
    <w:p w14:paraId="50AEAA6F">
      <w:pPr>
        <w:spacing w:before="151" w:line="360" w:lineRule="auto"/>
        <w:ind w:left="476"/>
        <w:outlineLvl w:val="2"/>
        <w:rPr>
          <w:rFonts w:hint="eastAsia" w:ascii="宋体" w:hAnsi="宋体" w:eastAsia="宋体" w:cs="宋体"/>
          <w:b/>
          <w:bCs/>
          <w:color w:val="auto"/>
          <w:spacing w:val="-11"/>
          <w:sz w:val="24"/>
          <w:szCs w:val="24"/>
          <w:highlight w:val="none"/>
          <w:lang w:val="en-US" w:eastAsia="zh-CN"/>
        </w:rPr>
      </w:pPr>
      <w:bookmarkStart w:id="154" w:name="_Toc26354"/>
      <w:r>
        <w:rPr>
          <w:rFonts w:hint="eastAsia" w:ascii="宋体" w:hAnsi="宋体" w:eastAsia="宋体" w:cs="宋体"/>
          <w:b/>
          <w:bCs/>
          <w:color w:val="auto"/>
          <w:spacing w:val="-11"/>
          <w:sz w:val="24"/>
          <w:szCs w:val="24"/>
          <w:highlight w:val="none"/>
          <w:lang w:val="en-US" w:eastAsia="zh-CN"/>
        </w:rPr>
        <w:t>11.质量保证</w:t>
      </w:r>
      <w:bookmarkEnd w:id="154"/>
    </w:p>
    <w:p w14:paraId="2D6C1920">
      <w:pPr>
        <w:snapToGrid w:val="0"/>
        <w:spacing w:line="360" w:lineRule="auto"/>
        <w:ind w:firstLine="560"/>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11</w:t>
      </w:r>
      <w:r>
        <w:rPr>
          <w:rStyle w:val="28"/>
          <w:rFonts w:hint="eastAsia" w:ascii="宋体" w:hAnsi="宋体" w:eastAsia="宋体" w:cs="宋体"/>
          <w:b/>
          <w:bCs/>
          <w:color w:val="auto"/>
          <w:kern w:val="0"/>
          <w:sz w:val="24"/>
          <w:szCs w:val="24"/>
          <w:highlight w:val="none"/>
        </w:rPr>
        <w:t>.1</w:t>
      </w:r>
      <w:r>
        <w:rPr>
          <w:rStyle w:val="28"/>
          <w:rFonts w:hint="eastAsia" w:ascii="宋体" w:hAnsi="宋体" w:eastAsia="宋体" w:cs="宋体"/>
          <w:color w:val="auto"/>
          <w:kern w:val="0"/>
          <w:sz w:val="24"/>
          <w:szCs w:val="24"/>
          <w:highlight w:val="none"/>
        </w:rPr>
        <w:t xml:space="preserve"> 本工程缺陷责任期为</w:t>
      </w:r>
      <w:r>
        <w:rPr>
          <w:rStyle w:val="28"/>
          <w:rFonts w:hint="eastAsia" w:ascii="宋体" w:hAnsi="宋体" w:eastAsia="宋体" w:cs="宋体"/>
          <w:color w:val="auto"/>
          <w:kern w:val="0"/>
          <w:sz w:val="24"/>
          <w:szCs w:val="24"/>
          <w:highlight w:val="none"/>
          <w:u w:val="single"/>
          <w:lang w:val="en-US" w:eastAsia="zh-CN"/>
        </w:rPr>
        <w:t xml:space="preserve"> </w:t>
      </w:r>
      <w:r>
        <w:rPr>
          <w:rStyle w:val="28"/>
          <w:rFonts w:hint="eastAsia" w:ascii="宋体" w:hAnsi="宋体" w:cs="宋体"/>
          <w:color w:val="auto"/>
          <w:kern w:val="0"/>
          <w:sz w:val="24"/>
          <w:szCs w:val="24"/>
          <w:highlight w:val="none"/>
          <w:u w:val="single"/>
          <w:lang w:val="en-US" w:eastAsia="zh-CN"/>
        </w:rPr>
        <w:t>1</w:t>
      </w:r>
      <w:r>
        <w:rPr>
          <w:rStyle w:val="28"/>
          <w:rFonts w:hint="eastAsia" w:ascii="宋体" w:hAnsi="宋体" w:eastAsia="宋体" w:cs="宋体"/>
          <w:color w:val="auto"/>
          <w:kern w:val="0"/>
          <w:sz w:val="24"/>
          <w:szCs w:val="24"/>
          <w:highlight w:val="none"/>
          <w:u w:val="single"/>
          <w:lang w:val="en-US" w:eastAsia="zh-CN"/>
        </w:rPr>
        <w:t xml:space="preserve"> </w:t>
      </w:r>
      <w:r>
        <w:rPr>
          <w:rStyle w:val="28"/>
          <w:rFonts w:hint="eastAsia" w:ascii="宋体" w:hAnsi="宋体" w:eastAsia="宋体" w:cs="宋体"/>
          <w:color w:val="auto"/>
          <w:kern w:val="0"/>
          <w:sz w:val="24"/>
          <w:szCs w:val="24"/>
          <w:highlight w:val="none"/>
        </w:rPr>
        <w:t>年（自通过竣工验收之日起计），在此期间预留金额为结算价</w:t>
      </w:r>
      <w:r>
        <w:rPr>
          <w:rStyle w:val="28"/>
          <w:rFonts w:hint="eastAsia" w:ascii="宋体" w:hAnsi="宋体" w:eastAsia="宋体" w:cs="宋体"/>
          <w:color w:val="auto"/>
          <w:kern w:val="0"/>
          <w:sz w:val="24"/>
          <w:szCs w:val="24"/>
          <w:highlight w:val="none"/>
          <w:u w:val="single"/>
        </w:rPr>
        <w:t xml:space="preserve">3% </w:t>
      </w:r>
      <w:r>
        <w:rPr>
          <w:rStyle w:val="28"/>
          <w:rFonts w:hint="eastAsia" w:ascii="宋体" w:hAnsi="宋体" w:eastAsia="宋体" w:cs="宋体"/>
          <w:color w:val="auto"/>
          <w:kern w:val="0"/>
          <w:sz w:val="24"/>
          <w:szCs w:val="24"/>
          <w:highlight w:val="none"/>
        </w:rPr>
        <w:t>的质量保证。</w:t>
      </w:r>
    </w:p>
    <w:p w14:paraId="00B22301">
      <w:pPr>
        <w:snapToGrid w:val="0"/>
        <w:spacing w:line="360" w:lineRule="auto"/>
        <w:ind w:firstLine="560"/>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11</w:t>
      </w:r>
      <w:r>
        <w:rPr>
          <w:rStyle w:val="28"/>
          <w:rFonts w:hint="eastAsia" w:ascii="宋体" w:hAnsi="宋体" w:eastAsia="宋体" w:cs="宋体"/>
          <w:b/>
          <w:bCs/>
          <w:color w:val="auto"/>
          <w:kern w:val="0"/>
          <w:sz w:val="24"/>
          <w:szCs w:val="24"/>
          <w:highlight w:val="none"/>
        </w:rPr>
        <w:t>.2</w:t>
      </w:r>
      <w:r>
        <w:rPr>
          <w:rStyle w:val="28"/>
          <w:rFonts w:hint="eastAsia" w:ascii="宋体" w:hAnsi="宋体" w:eastAsia="宋体" w:cs="宋体"/>
          <w:color w:val="auto"/>
          <w:kern w:val="0"/>
          <w:sz w:val="24"/>
          <w:szCs w:val="24"/>
          <w:highlight w:val="none"/>
        </w:rPr>
        <w:t xml:space="preserve"> 质量保证的形式包括质量保证金、质量保证担保、质量保证保险三种，由承包人自主选择。</w:t>
      </w:r>
    </w:p>
    <w:p w14:paraId="1819639E">
      <w:pPr>
        <w:snapToGrid w:val="0"/>
        <w:spacing w:line="360" w:lineRule="auto"/>
        <w:ind w:firstLine="480" w:firstLineChars="200"/>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（1）采用质量保证金形式的，在结清审定总造价时一次性扣留相应金额作为质量保证金。</w:t>
      </w:r>
    </w:p>
    <w:p w14:paraId="46CD3CA4">
      <w:pPr>
        <w:keepNext w:val="0"/>
        <w:keepLines w:val="0"/>
        <w:pageBreakBefore w:val="0"/>
        <w:widowControl w:val="0"/>
        <w:wordWrap/>
        <w:overflowPunct/>
        <w:topLinePunct w:val="0"/>
        <w:bidi w:val="0"/>
        <w:snapToGrid w:val="0"/>
        <w:spacing w:line="360" w:lineRule="auto"/>
        <w:ind w:firstLine="480" w:firstLineChars="20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（2）采用质量保证担保或质量保证保险的，承包人应在竣工验收时向发包人提交有效的</w:t>
      </w:r>
      <w:r>
        <w:rPr>
          <w:rFonts w:hint="eastAsia" w:ascii="宋体" w:hAnsi="宋体" w:eastAsia="宋体" w:cs="宋体"/>
          <w:b w:val="0"/>
          <w:bCs/>
          <w:caps w:val="0"/>
          <w:smallCaps w:val="0"/>
          <w:snapToGrid w:val="0"/>
          <w:color w:val="auto"/>
          <w:spacing w:val="0"/>
          <w:kern w:val="0"/>
          <w:sz w:val="24"/>
          <w:szCs w:val="24"/>
          <w:highlight w:val="none"/>
          <w:lang w:val="en-US" w:eastAsia="zh-CN"/>
        </w:rPr>
        <w:t>商业保函、</w:t>
      </w:r>
      <w:r>
        <w:rPr>
          <w:rStyle w:val="28"/>
          <w:rFonts w:hint="eastAsia" w:ascii="宋体" w:hAnsi="宋体" w:eastAsia="宋体" w:cs="宋体"/>
          <w:color w:val="auto"/>
          <w:kern w:val="0"/>
          <w:sz w:val="24"/>
          <w:szCs w:val="24"/>
          <w:highlight w:val="none"/>
        </w:rPr>
        <w:t>银行保函或保险合同（或保险单）原件，</w:t>
      </w:r>
      <w:r>
        <w:rPr>
          <w:rFonts w:hint="eastAsia" w:ascii="宋体" w:hAnsi="宋体" w:eastAsia="宋体" w:cs="宋体"/>
          <w:b w:val="0"/>
          <w:bCs/>
          <w:caps w:val="0"/>
          <w:smallCaps w:val="0"/>
          <w:snapToGrid w:val="0"/>
          <w:color w:val="auto"/>
          <w:spacing w:val="0"/>
          <w:kern w:val="0"/>
          <w:sz w:val="24"/>
          <w:szCs w:val="24"/>
          <w:highlight w:val="none"/>
          <w:lang w:val="en-US" w:eastAsia="zh-CN"/>
        </w:rPr>
        <w:t>商业保函、</w:t>
      </w:r>
      <w:r>
        <w:rPr>
          <w:rStyle w:val="28"/>
          <w:rFonts w:hint="eastAsia" w:ascii="宋体" w:hAnsi="宋体" w:eastAsia="宋体" w:cs="宋体"/>
          <w:color w:val="auto"/>
          <w:kern w:val="0"/>
          <w:sz w:val="24"/>
          <w:szCs w:val="24"/>
          <w:highlight w:val="none"/>
        </w:rPr>
        <w:t>银行保函或保险合同（或保险单）的有效期不得短于缺陷责任期。</w:t>
      </w:r>
    </w:p>
    <w:p w14:paraId="3227548F">
      <w:pPr>
        <w:keepNext w:val="0"/>
        <w:keepLines w:val="0"/>
        <w:pageBreakBefore w:val="0"/>
        <w:widowControl w:val="0"/>
        <w:wordWrap/>
        <w:overflowPunct/>
        <w:topLinePunct w:val="0"/>
        <w:bidi w:val="0"/>
        <w:snapToGrid w:val="0"/>
        <w:spacing w:line="360" w:lineRule="auto"/>
        <w:ind w:firstLine="56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11</w:t>
      </w:r>
      <w:r>
        <w:rPr>
          <w:rStyle w:val="28"/>
          <w:rFonts w:hint="eastAsia" w:ascii="宋体" w:hAnsi="宋体" w:eastAsia="宋体" w:cs="宋体"/>
          <w:b/>
          <w:bCs/>
          <w:color w:val="auto"/>
          <w:kern w:val="0"/>
          <w:sz w:val="24"/>
          <w:szCs w:val="24"/>
          <w:highlight w:val="none"/>
        </w:rPr>
        <w:t>.3</w:t>
      </w:r>
      <w:r>
        <w:rPr>
          <w:rStyle w:val="28"/>
          <w:rFonts w:hint="eastAsia" w:ascii="宋体" w:hAnsi="宋体" w:eastAsia="宋体" w:cs="宋体"/>
          <w:color w:val="auto"/>
          <w:kern w:val="0"/>
          <w:sz w:val="24"/>
          <w:szCs w:val="24"/>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29808AF0">
      <w:pPr>
        <w:keepNext w:val="0"/>
        <w:keepLines w:val="0"/>
        <w:pageBreakBefore w:val="0"/>
        <w:widowControl w:val="0"/>
        <w:wordWrap/>
        <w:overflowPunct/>
        <w:topLinePunct w:val="0"/>
        <w:bidi w:val="0"/>
        <w:snapToGrid w:val="0"/>
        <w:spacing w:line="360" w:lineRule="auto"/>
        <w:ind w:firstLine="560"/>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由他人原因造成的缺陷，发包人负责组织维修，承包人不承担费用，且发包人不得从质量保证中扣除费用。</w:t>
      </w:r>
    </w:p>
    <w:p w14:paraId="5965070B">
      <w:pPr>
        <w:keepNext w:val="0"/>
        <w:keepLines w:val="0"/>
        <w:pageBreakBefore w:val="0"/>
        <w:widowControl w:val="0"/>
        <w:wordWrap/>
        <w:overflowPunct/>
        <w:topLinePunct w:val="0"/>
        <w:bidi w:val="0"/>
        <w:snapToGrid w:val="0"/>
        <w:spacing w:line="360" w:lineRule="auto"/>
        <w:ind w:firstLine="560"/>
        <w:textAlignment w:val="baseline"/>
        <w:rPr>
          <w:rStyle w:val="28"/>
          <w:rFonts w:hint="eastAsia" w:ascii="宋体" w:hAnsi="宋体" w:eastAsia="宋体" w:cs="宋体"/>
          <w:b/>
          <w:bCs/>
          <w:color w:val="auto"/>
          <w:kern w:val="0"/>
          <w:sz w:val="24"/>
          <w:szCs w:val="24"/>
          <w:highlight w:val="none"/>
        </w:rPr>
      </w:pPr>
      <w:r>
        <w:rPr>
          <w:rStyle w:val="28"/>
          <w:rFonts w:hint="eastAsia" w:ascii="宋体" w:hAnsi="宋体" w:eastAsia="宋体" w:cs="宋体"/>
          <w:b/>
          <w:bCs/>
          <w:color w:val="auto"/>
          <w:kern w:val="0"/>
          <w:sz w:val="24"/>
          <w:szCs w:val="24"/>
          <w:highlight w:val="none"/>
          <w:lang w:val="en-US" w:eastAsia="zh-CN"/>
        </w:rPr>
        <w:t>11</w:t>
      </w:r>
      <w:r>
        <w:rPr>
          <w:rStyle w:val="28"/>
          <w:rFonts w:hint="eastAsia" w:ascii="宋体" w:hAnsi="宋体" w:eastAsia="宋体" w:cs="宋体"/>
          <w:b/>
          <w:bCs/>
          <w:color w:val="auto"/>
          <w:kern w:val="0"/>
          <w:sz w:val="24"/>
          <w:szCs w:val="24"/>
          <w:highlight w:val="none"/>
        </w:rPr>
        <w:t>.4</w:t>
      </w:r>
      <w:r>
        <w:rPr>
          <w:rStyle w:val="28"/>
          <w:rFonts w:hint="eastAsia" w:ascii="宋体" w:hAnsi="宋体" w:eastAsia="宋体" w:cs="宋体"/>
          <w:color w:val="auto"/>
          <w:kern w:val="0"/>
          <w:sz w:val="24"/>
          <w:szCs w:val="24"/>
          <w:highlight w:val="none"/>
        </w:rPr>
        <w:t xml:space="preserve"> 缺陷责任期内，承包人应认真履行合同约定的责任。缺陷责任期到期后，承包人向发包人申请退还质量保证，发包人应按照《建设工程质量保证金管理办法》有关规定将质量保证退还给承包人。</w:t>
      </w:r>
    </w:p>
    <w:p w14:paraId="4BB5AE0B">
      <w:pPr>
        <w:keepNext w:val="0"/>
        <w:keepLines w:val="0"/>
        <w:pageBreakBefore w:val="0"/>
        <w:widowControl w:val="0"/>
        <w:wordWrap/>
        <w:overflowPunct/>
        <w:topLinePunct w:val="0"/>
        <w:bidi w:val="0"/>
        <w:snapToGrid w:val="0"/>
        <w:spacing w:before="151" w:line="360" w:lineRule="auto"/>
        <w:ind w:left="476"/>
        <w:textAlignment w:val="baseline"/>
        <w:outlineLvl w:val="2"/>
        <w:rPr>
          <w:rFonts w:hint="eastAsia" w:ascii="宋体" w:hAnsi="宋体" w:eastAsia="宋体" w:cs="宋体"/>
          <w:b/>
          <w:bCs/>
          <w:color w:val="auto"/>
          <w:spacing w:val="-11"/>
          <w:sz w:val="24"/>
          <w:szCs w:val="24"/>
          <w:highlight w:val="none"/>
          <w:lang w:val="en-US" w:eastAsia="zh-CN"/>
        </w:rPr>
      </w:pPr>
      <w:bookmarkStart w:id="155" w:name="_Toc22137"/>
      <w:r>
        <w:rPr>
          <w:rFonts w:hint="eastAsia" w:ascii="宋体" w:hAnsi="宋体" w:eastAsia="宋体" w:cs="宋体"/>
          <w:b/>
          <w:bCs/>
          <w:color w:val="auto"/>
          <w:spacing w:val="-11"/>
          <w:sz w:val="24"/>
          <w:szCs w:val="24"/>
          <w:highlight w:val="none"/>
          <w:lang w:val="en-US" w:eastAsia="zh-CN"/>
        </w:rPr>
        <w:t>12.不良行为处理</w:t>
      </w:r>
      <w:bookmarkEnd w:id="155"/>
    </w:p>
    <w:p w14:paraId="4AD01F6A">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承包人及其有关人员有下列行为之一的，发包人应及时向建设行政主管部门报告。除按照有关法律、法规进行处罚外，不良行为将计入企业及有关个人诚信档案，并在</w:t>
      </w:r>
      <w:r>
        <w:rPr>
          <w:rStyle w:val="28"/>
          <w:rFonts w:hint="eastAsia" w:ascii="宋体" w:hAnsi="宋体" w:cs="宋体"/>
          <w:color w:val="auto"/>
          <w:kern w:val="0"/>
          <w:sz w:val="24"/>
          <w:szCs w:val="24"/>
          <w:highlight w:val="none"/>
        </w:rPr>
        <w:t>韶关市浈江区农业农村局</w:t>
      </w:r>
      <w:r>
        <w:rPr>
          <w:rStyle w:val="28"/>
          <w:rFonts w:hint="eastAsia" w:ascii="宋体" w:hAnsi="宋体" w:eastAsia="宋体" w:cs="宋体"/>
          <w:color w:val="auto"/>
          <w:kern w:val="0"/>
          <w:sz w:val="24"/>
          <w:szCs w:val="24"/>
          <w:highlight w:val="none"/>
        </w:rPr>
        <w:t>网站（http://zgj.sg.gov.cn）公示。</w:t>
      </w:r>
    </w:p>
    <w:p w14:paraId="4737BE63">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bookmarkStart w:id="156" w:name="_Toc3225"/>
      <w:r>
        <w:rPr>
          <w:rStyle w:val="28"/>
          <w:rFonts w:hint="eastAsia" w:ascii="宋体" w:hAnsi="宋体" w:eastAsia="宋体" w:cs="宋体"/>
          <w:color w:val="auto"/>
          <w:kern w:val="0"/>
          <w:sz w:val="24"/>
          <w:szCs w:val="24"/>
          <w:highlight w:val="none"/>
        </w:rPr>
        <w:t>（1）转包、违法分包或违反投标承诺分包工程的；</w:t>
      </w:r>
      <w:bookmarkEnd w:id="156"/>
    </w:p>
    <w:p w14:paraId="3275ABEB">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（2）非原参加投标中标的项目经理负责组织施工或在实施过程中擅自更换项目经理的、项目的其他主要管理人员与中标文件确定的人员不相符的；</w:t>
      </w:r>
    </w:p>
    <w:p w14:paraId="3D1785EA">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（3）投标文件确定的大型机械设备没有进入施工现场的；</w:t>
      </w:r>
    </w:p>
    <w:p w14:paraId="5D61A032">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（4）与建设单位、监理单位串通，签认虚假工程量或工程造价的；</w:t>
      </w:r>
    </w:p>
    <w:p w14:paraId="2EAD16B6">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（5）项目经理施工现场管理不到位的；</w:t>
      </w:r>
    </w:p>
    <w:p w14:paraId="29479E38">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（6）项目经理在非本人资格证书注册单位从事工程项目施工管理的；</w:t>
      </w:r>
    </w:p>
    <w:p w14:paraId="28F14C98">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（7）项目经理同时承担超过一项工程项目的；</w:t>
      </w:r>
    </w:p>
    <w:p w14:paraId="2CD62E71">
      <w:pPr>
        <w:pStyle w:val="44"/>
        <w:keepNext w:val="0"/>
        <w:keepLines w:val="0"/>
        <w:pageBreakBefore w:val="0"/>
        <w:widowControl w:val="0"/>
        <w:wordWrap/>
        <w:overflowPunct/>
        <w:topLinePunct w:val="0"/>
        <w:bidi w:val="0"/>
        <w:snapToGrid w:val="0"/>
        <w:spacing w:line="360" w:lineRule="auto"/>
        <w:ind w:firstLine="480" w:firstLineChars="200"/>
        <w:jc w:val="left"/>
        <w:textAlignment w:val="baseline"/>
        <w:rPr>
          <w:rStyle w:val="28"/>
          <w:rFonts w:hint="eastAsia" w:ascii="宋体" w:hAnsi="宋体" w:eastAsia="宋体" w:cs="宋体"/>
          <w:b/>
          <w:bCs/>
          <w:color w:val="auto"/>
          <w:kern w:val="0"/>
          <w:sz w:val="24"/>
          <w:szCs w:val="24"/>
          <w:highlight w:val="none"/>
        </w:rPr>
      </w:pPr>
      <w:r>
        <w:rPr>
          <w:rStyle w:val="28"/>
          <w:rFonts w:hint="eastAsia" w:ascii="宋体" w:hAnsi="宋体" w:eastAsia="宋体" w:cs="宋体"/>
          <w:color w:val="auto"/>
          <w:kern w:val="0"/>
          <w:sz w:val="24"/>
          <w:szCs w:val="24"/>
          <w:highlight w:val="none"/>
        </w:rPr>
        <w:t>（8）违反有关法律、法规、规章规定的其它行为。</w:t>
      </w:r>
    </w:p>
    <w:p w14:paraId="741A8F65">
      <w:pPr>
        <w:keepNext w:val="0"/>
        <w:keepLines w:val="0"/>
        <w:pageBreakBefore w:val="0"/>
        <w:widowControl w:val="0"/>
        <w:wordWrap/>
        <w:overflowPunct/>
        <w:topLinePunct w:val="0"/>
        <w:bidi w:val="0"/>
        <w:snapToGrid w:val="0"/>
        <w:spacing w:before="151" w:line="360" w:lineRule="auto"/>
        <w:ind w:left="476"/>
        <w:textAlignment w:val="baseline"/>
        <w:outlineLvl w:val="2"/>
        <w:rPr>
          <w:rFonts w:hint="eastAsia" w:ascii="宋体" w:hAnsi="宋体" w:eastAsia="宋体" w:cs="宋体"/>
          <w:b/>
          <w:bCs/>
          <w:color w:val="auto"/>
          <w:spacing w:val="-11"/>
          <w:sz w:val="24"/>
          <w:szCs w:val="24"/>
          <w:highlight w:val="none"/>
          <w:lang w:val="en-US" w:eastAsia="zh-CN"/>
        </w:rPr>
      </w:pPr>
      <w:bookmarkStart w:id="157" w:name="_Toc11310"/>
      <w:r>
        <w:rPr>
          <w:rFonts w:hint="eastAsia" w:ascii="宋体" w:hAnsi="宋体" w:eastAsia="宋体" w:cs="宋体"/>
          <w:b/>
          <w:bCs/>
          <w:color w:val="auto"/>
          <w:spacing w:val="-11"/>
          <w:sz w:val="24"/>
          <w:szCs w:val="24"/>
          <w:highlight w:val="none"/>
          <w:lang w:val="en-US" w:eastAsia="zh-CN"/>
        </w:rPr>
        <w:t>13.信用评价条款内容</w:t>
      </w:r>
      <w:bookmarkEnd w:id="157"/>
    </w:p>
    <w:p w14:paraId="08E3C827">
      <w:pPr>
        <w:pStyle w:val="46"/>
        <w:keepNext w:val="0"/>
        <w:keepLines w:val="0"/>
        <w:pageBreakBefore w:val="0"/>
        <w:widowControl w:val="0"/>
        <w:wordWrap/>
        <w:overflowPunct/>
        <w:topLinePunct w:val="0"/>
        <w:bidi w:val="0"/>
        <w:snapToGrid w:val="0"/>
        <w:spacing w:line="360" w:lineRule="auto"/>
        <w:ind w:firstLine="560"/>
        <w:textAlignment w:val="baseline"/>
        <w:rPr>
          <w:rStyle w:val="28"/>
          <w:rFonts w:hint="eastAsia" w:ascii="宋体" w:hAnsi="宋体" w:eastAsia="宋体" w:cs="宋体"/>
          <w:b/>
          <w:bCs/>
          <w:color w:val="auto"/>
          <w:sz w:val="24"/>
          <w:szCs w:val="24"/>
          <w:highlight w:val="none"/>
        </w:rPr>
      </w:pPr>
      <w:r>
        <w:rPr>
          <w:rStyle w:val="28"/>
          <w:rFonts w:hint="eastAsia" w:ascii="宋体" w:hAnsi="宋体" w:eastAsia="宋体" w:cs="宋体"/>
          <w:color w:val="auto"/>
          <w:kern w:val="0"/>
          <w:sz w:val="24"/>
          <w:szCs w:val="24"/>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1D8A759F">
      <w:pPr>
        <w:spacing w:before="151" w:line="360" w:lineRule="auto"/>
        <w:ind w:left="476"/>
        <w:outlineLvl w:val="2"/>
        <w:rPr>
          <w:rFonts w:hint="eastAsia" w:ascii="宋体" w:hAnsi="宋体" w:eastAsia="宋体" w:cs="宋体"/>
          <w:b/>
          <w:bCs/>
          <w:color w:val="auto"/>
          <w:spacing w:val="-11"/>
          <w:sz w:val="24"/>
          <w:szCs w:val="24"/>
          <w:highlight w:val="none"/>
          <w:lang w:val="en-US" w:eastAsia="zh-CN"/>
        </w:rPr>
      </w:pPr>
      <w:bookmarkStart w:id="158" w:name="_Toc24160"/>
      <w:r>
        <w:rPr>
          <w:rFonts w:hint="eastAsia" w:ascii="宋体" w:hAnsi="宋体" w:eastAsia="宋体" w:cs="宋体"/>
          <w:b/>
          <w:bCs/>
          <w:color w:val="auto"/>
          <w:spacing w:val="-11"/>
          <w:sz w:val="24"/>
          <w:szCs w:val="24"/>
          <w:highlight w:val="none"/>
          <w:lang w:val="en-US" w:eastAsia="zh-CN"/>
        </w:rPr>
        <w:t>14.其他事项</w:t>
      </w:r>
      <w:bookmarkEnd w:id="158"/>
    </w:p>
    <w:p w14:paraId="3115ED4E">
      <w:pPr>
        <w:snapToGrid w:val="0"/>
        <w:spacing w:line="360" w:lineRule="auto"/>
        <w:ind w:firstLine="560"/>
        <w:rPr>
          <w:rStyle w:val="28"/>
          <w:rFonts w:hint="eastAsia" w:ascii="宋体" w:hAnsi="宋体" w:eastAsia="宋体" w:cs="宋体"/>
          <w:b w:val="0"/>
          <w:bCs w:val="0"/>
          <w:color w:val="auto"/>
          <w:kern w:val="0"/>
          <w:sz w:val="24"/>
          <w:szCs w:val="24"/>
          <w:highlight w:val="none"/>
          <w:lang w:val="en-US" w:eastAsia="zh-CN"/>
        </w:rPr>
      </w:pPr>
      <w:bookmarkStart w:id="159" w:name="_Toc6606"/>
      <w:r>
        <w:rPr>
          <w:rStyle w:val="28"/>
          <w:rFonts w:hint="eastAsia" w:ascii="宋体" w:hAnsi="宋体" w:eastAsia="宋体" w:cs="宋体"/>
          <w:b/>
          <w:bCs/>
          <w:color w:val="auto"/>
          <w:kern w:val="0"/>
          <w:sz w:val="24"/>
          <w:szCs w:val="24"/>
          <w:highlight w:val="none"/>
          <w:lang w:val="en-US" w:eastAsia="zh-CN"/>
        </w:rPr>
        <w:t>14.1</w:t>
      </w:r>
      <w:r>
        <w:rPr>
          <w:rStyle w:val="28"/>
          <w:rFonts w:hint="eastAsia" w:ascii="宋体" w:hAnsi="宋体" w:eastAsia="宋体" w:cs="宋体"/>
          <w:b w:val="0"/>
          <w:bCs w:val="0"/>
          <w:color w:val="auto"/>
          <w:kern w:val="0"/>
          <w:sz w:val="24"/>
          <w:szCs w:val="24"/>
          <w:highlight w:val="none"/>
          <w:lang w:val="en-US" w:eastAsia="zh-CN"/>
        </w:rPr>
        <w:t>危险性较大的分部分项工程安全管理约定</w:t>
      </w:r>
      <w:bookmarkEnd w:id="159"/>
    </w:p>
    <w:p w14:paraId="2A1DE2E0">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4EB927DA">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职责。</w:t>
      </w:r>
    </w:p>
    <w:p w14:paraId="5FB4C497">
      <w:pPr>
        <w:pStyle w:val="47"/>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lang w:val="en-US" w:eastAsia="zh-CN"/>
        </w:rPr>
        <w:t xml:space="preserve"> </w:t>
      </w:r>
      <w:r>
        <w:rPr>
          <w:rFonts w:hint="eastAsia" w:ascii="宋体" w:hAnsi="宋体" w:eastAsia="宋体" w:cs="宋体"/>
          <w:color w:val="auto"/>
          <w:sz w:val="24"/>
          <w:szCs w:val="24"/>
          <w:highlight w:val="none"/>
          <w:shd w:val="clear" w:color="auto" w:fill="FFFFFF"/>
        </w:rPr>
        <w:t>中标人在工程实施过程中，按照国家、省、市的相关规定制定相关的专项安全施工方案（如高支模、基坑支护、沉井等），编制专项施工方案报监理人、招标人审批后方可开展专项工程的施工。</w:t>
      </w:r>
    </w:p>
    <w:p w14:paraId="1A9CC532">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 xml:space="preserve">3 </w:t>
      </w:r>
      <w:r>
        <w:rPr>
          <w:rFonts w:hint="eastAsia" w:ascii="宋体" w:hAnsi="宋体" w:eastAsia="宋体" w:cs="宋体"/>
          <w:color w:val="auto"/>
          <w:sz w:val="24"/>
          <w:szCs w:val="24"/>
          <w:highlight w:val="none"/>
          <w:shd w:val="clear" w:color="auto" w:fill="FFFFFF"/>
        </w:rPr>
        <w:t>中标人须按照《韶关市建筑垃圾管理条例》（2021年5月1日起施行），将弃土运至招标人指定的场所，否则招标人有权要求中标人无条件将弃土从违约弃土点运至招标人指定的场所并扣除违约金</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u w:val="single"/>
          <w:shd w:val="clear" w:color="auto" w:fill="FFFFFF"/>
          <w:lang w:val="en-US" w:eastAsia="zh-CN"/>
        </w:rPr>
        <w:t>1</w:t>
      </w:r>
      <w:r>
        <w:rPr>
          <w:rFonts w:hint="eastAsia" w:ascii="宋体" w:hAnsi="宋体" w:eastAsia="宋体" w:cs="宋体"/>
          <w:color w:val="auto"/>
          <w:sz w:val="24"/>
          <w:szCs w:val="24"/>
          <w:highlight w:val="none"/>
          <w:u w:val="single"/>
          <w:shd w:val="clear" w:color="auto" w:fill="FFFFFF"/>
        </w:rPr>
        <w:t xml:space="preserve"> </w:t>
      </w:r>
      <w:r>
        <w:rPr>
          <w:rFonts w:hint="eastAsia" w:ascii="宋体" w:hAnsi="宋体" w:eastAsia="宋体" w:cs="宋体"/>
          <w:color w:val="auto"/>
          <w:sz w:val="24"/>
          <w:szCs w:val="24"/>
          <w:highlight w:val="none"/>
          <w:shd w:val="clear" w:color="auto" w:fill="FFFFFF"/>
        </w:rPr>
        <w:t>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3A03F7EC">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 xml:space="preserve">.4 </w:t>
      </w:r>
      <w:r>
        <w:rPr>
          <w:rFonts w:hint="eastAsia" w:ascii="宋体" w:hAnsi="宋体" w:eastAsia="宋体" w:cs="宋体"/>
          <w:color w:val="auto"/>
          <w:sz w:val="24"/>
          <w:szCs w:val="24"/>
          <w:highlight w:val="none"/>
          <w:shd w:val="clear" w:color="auto" w:fill="FFFFFF"/>
        </w:rPr>
        <w:t>工程竣工验收后15日内，中标人应按城建档案馆的要求（质量、数量），将编制成册的施工档案资料（含声像档案和电子档案）提供给招标人、城建档案馆、住建管理局、管养单位及监理单位，并承担档案涉及的所有费用（制作标准和相关要求按城建档案馆的有关规定执行）。中标人提交符合城建档案馆要求的竣工资料经招标人确认签收后，即可办理工程结算手续。</w:t>
      </w:r>
    </w:p>
    <w:p w14:paraId="2F8AA3A1">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.5</w:t>
      </w:r>
      <w:r>
        <w:rPr>
          <w:rFonts w:hint="eastAsia" w:ascii="宋体" w:hAnsi="宋体" w:eastAsia="宋体" w:cs="宋体"/>
          <w:color w:val="auto"/>
          <w:sz w:val="24"/>
          <w:szCs w:val="24"/>
          <w:highlight w:val="none"/>
          <w:shd w:val="clear" w:color="auto" w:fill="FFFFFF"/>
        </w:rPr>
        <w:t>（一）用人单位应当在建设项目动工前，在建设项目所在地</w:t>
      </w:r>
      <w:r>
        <w:rPr>
          <w:rFonts w:hint="eastAsia" w:ascii="宋体" w:hAnsi="宋体" w:eastAsia="宋体" w:cs="宋体"/>
          <w:color w:val="auto"/>
          <w:sz w:val="24"/>
          <w:szCs w:val="24"/>
          <w:highlight w:val="none"/>
          <w:shd w:val="clear" w:color="auto" w:fill="FFFFFF"/>
          <w:lang w:val="en-US" w:eastAsia="zh-CN"/>
        </w:rPr>
        <w:t>符合招标人要求的</w:t>
      </w:r>
      <w:r>
        <w:rPr>
          <w:rFonts w:hint="eastAsia" w:ascii="宋体" w:hAnsi="宋体" w:eastAsia="宋体" w:cs="宋体"/>
          <w:color w:val="auto"/>
          <w:sz w:val="24"/>
          <w:szCs w:val="24"/>
          <w:highlight w:val="none"/>
          <w:shd w:val="clear" w:color="auto" w:fill="FFFFFF"/>
        </w:rPr>
        <w:t>银行设立工人工资支付专用账户。</w:t>
      </w:r>
    </w:p>
    <w:p w14:paraId="5016D732">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（二）用人单位应当在用工之日起15日内为每一位工人办理个人银行账户。</w:t>
      </w:r>
    </w:p>
    <w:p w14:paraId="74FFA9FF">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01DE5A3A">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5E4A3B28">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2D4A3138">
      <w:pPr>
        <w:pStyle w:val="47"/>
        <w:snapToGrid w:val="0"/>
        <w:spacing w:line="360"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val="0"/>
          <w:bCs w:val="0"/>
          <w:snapToGrid w:val="0"/>
          <w:color w:val="auto"/>
          <w:kern w:val="0"/>
          <w:sz w:val="24"/>
          <w:szCs w:val="24"/>
          <w:highlight w:val="none"/>
        </w:rPr>
        <w:t>（五）每次申请工程进度款要提供上期工人工资发放明细表、上期工人工资发放公示等材料，并将应付工程款的30%（且不低于当月应发工人工资的金额）作为工人工资拨入到中标人设立的工人工资支付专用账户。</w:t>
      </w:r>
    </w:p>
    <w:p w14:paraId="218F46E4">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 xml:space="preserve">.6 </w:t>
      </w:r>
      <w:r>
        <w:rPr>
          <w:rFonts w:hint="eastAsia" w:ascii="宋体" w:hAnsi="宋体" w:eastAsia="宋体" w:cs="宋体"/>
          <w:color w:val="auto"/>
          <w:sz w:val="24"/>
          <w:szCs w:val="24"/>
          <w:highlight w:val="none"/>
          <w:shd w:val="clear" w:color="auto" w:fill="FFFFFF"/>
        </w:rPr>
        <w:t>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w:t>
      </w:r>
    </w:p>
    <w:p w14:paraId="779CA89A">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.7</w:t>
      </w:r>
      <w:r>
        <w:rPr>
          <w:rFonts w:hint="eastAsia" w:ascii="宋体" w:hAnsi="宋体" w:eastAsia="宋体" w:cs="宋体"/>
          <w:color w:val="auto"/>
          <w:sz w:val="24"/>
          <w:szCs w:val="24"/>
          <w:highlight w:val="none"/>
          <w:shd w:val="clear" w:color="auto" w:fill="FFFFFF"/>
        </w:rPr>
        <w:t>中标人中标后必须按规定及时缴交工人工资保证金、环保噪声排污费等。</w:t>
      </w:r>
    </w:p>
    <w:p w14:paraId="2B656A07">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工程质量保修期按《中华人民共和国建筑法》、《建设工程质量管理条例》等相关规定实施。</w:t>
      </w:r>
    </w:p>
    <w:p w14:paraId="1F8C4C70">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rPr>
        <w:t xml:space="preserve"> 如项目实施过程中发生了工程变更及工程签证，中标人需根据招标人发布的《工程变更管理办法》和《工程签证管理办法》完善工程变更签证相关程序。其纳入变更管理属于需要进一步办理审批的，应按照规定程序办理变更审批手续。因施工单位主要责任造成的工程变更调整原则上不予审批，由施工单位自行承担相关责任和费用</w:t>
      </w:r>
    </w:p>
    <w:p w14:paraId="76931FEE">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 xml:space="preserve"> 中标人需按相关规定要求，设置本工程符合相关要求的永久性标牌及规划公示牌，投标人在投标报价时综合考虑在报价内，招标人不另行支付该部分费用。</w:t>
      </w:r>
    </w:p>
    <w:p w14:paraId="2E7C11D8">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 xml:space="preserve"> 中标人应在项目所在地住建管理部门办理诚信登记，招标人将严格按住建管理部门诚信登记管理办法对中标人履约情况进行考核。</w:t>
      </w:r>
    </w:p>
    <w:p w14:paraId="06290D19">
      <w:pPr>
        <w:pStyle w:val="47"/>
        <w:snapToGrid w:val="0"/>
        <w:spacing w:line="360" w:lineRule="auto"/>
        <w:ind w:firstLine="482"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 xml:space="preserve"> 中标人应按住房和城乡建设管理局、人力资源和社会保障局等职能部门对用工实名制的相关规定,落实工人及相关软硬件设施要求。</w:t>
      </w:r>
    </w:p>
    <w:p w14:paraId="07DBD9B4">
      <w:pPr>
        <w:pStyle w:val="47"/>
        <w:snapToGrid w:val="0"/>
        <w:spacing w:line="360" w:lineRule="auto"/>
        <w:ind w:firstLine="482" w:firstLineChars="200"/>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 xml:space="preserve"> 如采用银行保函方式缴纳履约保证金，在保函到期前一个月，中标人须主动办理续期手续或提交新的银行保函；如中标人未及时主动办理续期手续或提交新的银行保函，招标人有权按履约保证金金额的扣留进度款（工人工资除外）作为</w:t>
      </w:r>
      <w:r>
        <w:rPr>
          <w:rFonts w:hint="eastAsia" w:ascii="宋体" w:hAnsi="宋体" w:eastAsia="宋体" w:cs="宋体"/>
          <w:b w:val="0"/>
          <w:bCs w:val="0"/>
          <w:color w:val="auto"/>
          <w:sz w:val="24"/>
          <w:szCs w:val="24"/>
          <w:highlight w:val="none"/>
          <w:shd w:val="clear" w:color="auto" w:fill="FFFFFF"/>
        </w:rPr>
        <w:t>履约保证金，直至中标人提交新的银行保函或达到履约保证金退还条件。</w:t>
      </w:r>
    </w:p>
    <w:p w14:paraId="2697BB51">
      <w:pPr>
        <w:pStyle w:val="47"/>
        <w:snapToGrid w:val="0"/>
        <w:spacing w:line="360" w:lineRule="auto"/>
        <w:ind w:firstLine="482" w:firstLineChars="200"/>
        <w:rPr>
          <w:rFonts w:hint="eastAsia" w:ascii="宋体" w:hAnsi="宋体" w:eastAsia="宋体" w:cs="宋体"/>
          <w:bCs/>
          <w:color w:val="auto"/>
          <w:sz w:val="24"/>
          <w:szCs w:val="24"/>
          <w:highlight w:val="none"/>
          <w:lang w:bidi="ar"/>
        </w:rPr>
      </w:pP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.1</w:t>
      </w:r>
      <w:r>
        <w:rPr>
          <w:rFonts w:hint="eastAsia" w:ascii="宋体" w:hAnsi="宋体" w:eastAsia="宋体" w:cs="宋体"/>
          <w:b/>
          <w:bCs/>
          <w:color w:val="auto"/>
          <w:sz w:val="24"/>
          <w:szCs w:val="24"/>
          <w:highlight w:val="none"/>
          <w:shd w:val="clear" w:color="auto" w:fill="FFFFFF"/>
          <w:lang w:val="en-US" w:eastAsia="zh-CN"/>
        </w:rPr>
        <w:t>4</w:t>
      </w:r>
      <w:r>
        <w:rPr>
          <w:rFonts w:hint="eastAsia" w:ascii="宋体" w:hAnsi="宋体" w:eastAsia="宋体" w:cs="宋体"/>
          <w:b/>
          <w:bCs/>
          <w:color w:val="auto"/>
          <w:sz w:val="24"/>
          <w:szCs w:val="24"/>
          <w:highlight w:val="none"/>
          <w:shd w:val="clear" w:color="auto" w:fill="FFFFFF"/>
        </w:rPr>
        <w:t xml:space="preserve"> </w:t>
      </w:r>
      <w:r>
        <w:rPr>
          <w:rFonts w:hint="eastAsia" w:ascii="宋体" w:hAnsi="宋体" w:eastAsia="宋体" w:cs="宋体"/>
          <w:color w:val="auto"/>
          <w:sz w:val="24"/>
          <w:szCs w:val="24"/>
          <w:highlight w:val="none"/>
          <w:lang w:val="zh-CN"/>
        </w:rPr>
        <w:t>依据人力资源社会保障部等十部门印发的《工程建设领域农民工工资专用账户管理暂行办法》（人社部发〔2021〕53号）</w:t>
      </w:r>
      <w:r>
        <w:rPr>
          <w:rFonts w:hint="eastAsia" w:ascii="宋体" w:hAnsi="宋体" w:eastAsia="宋体" w:cs="宋体"/>
          <w:b w:val="0"/>
          <w:bCs w:val="0"/>
          <w:color w:val="auto"/>
          <w:sz w:val="24"/>
          <w:szCs w:val="24"/>
          <w:highlight w:val="none"/>
          <w:shd w:val="clear" w:color="auto" w:fill="FFFFFF"/>
        </w:rPr>
        <w:t>文件规定，中标人中标后，须到银行设立工人工资支付专用账户，用于支付工人工资。发包人支付工程款时，将按工程款（不含工人工资）和工人工资两部分分开支付，工人工资支付至专用账户。中标人应建立劳动用工管理台</w:t>
      </w:r>
      <w:r>
        <w:rPr>
          <w:rFonts w:hint="eastAsia" w:ascii="宋体" w:hAnsi="宋体" w:eastAsia="宋体" w:cs="宋体"/>
          <w:b w:val="0"/>
          <w:bCs w:val="0"/>
          <w:color w:val="auto"/>
          <w:sz w:val="24"/>
          <w:szCs w:val="24"/>
          <w:highlight w:val="none"/>
          <w:lang w:bidi="ar"/>
        </w:rPr>
        <w:t>账，并按</w:t>
      </w:r>
      <w:r>
        <w:rPr>
          <w:rFonts w:hint="eastAsia" w:ascii="宋体" w:hAnsi="宋体" w:eastAsia="宋体" w:cs="宋体"/>
          <w:bCs/>
          <w:color w:val="auto"/>
          <w:sz w:val="24"/>
          <w:szCs w:val="24"/>
          <w:highlight w:val="none"/>
          <w:lang w:bidi="ar"/>
        </w:rPr>
        <w:t>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7DBFC297">
      <w:pPr>
        <w:pStyle w:val="4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bidi="ar"/>
        </w:rPr>
      </w:pPr>
      <w:r>
        <w:rPr>
          <w:rFonts w:hint="eastAsia" w:ascii="宋体" w:hAnsi="宋体" w:eastAsia="宋体" w:cs="宋体"/>
          <w:color w:val="auto"/>
          <w:sz w:val="24"/>
          <w:szCs w:val="24"/>
          <w:highlight w:val="none"/>
          <w:lang w:val="zh-CN"/>
        </w:rPr>
        <w:t>根据韶关市人力资源和社会保障局</w:t>
      </w: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zh-CN"/>
        </w:rPr>
        <w:t>韶关市浈江区农业农村局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韶关市交通运输局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韶关市水务局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韶关市金融工作局</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国家金融监督管理总局韶关监管分局关于印发《韶关市工程建设领域农民工工资保证金管理实施细则》的通知(韶人社</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lang w:val="zh-CN"/>
        </w:rPr>
        <w:t>号)</w:t>
      </w:r>
      <w:r>
        <w:rPr>
          <w:rFonts w:hint="eastAsia" w:ascii="宋体" w:hAnsi="宋体" w:eastAsia="宋体" w:cs="宋体"/>
          <w:bCs/>
          <w:color w:val="auto"/>
          <w:sz w:val="24"/>
          <w:szCs w:val="24"/>
          <w:highlight w:val="none"/>
          <w:lang w:bidi="ar"/>
        </w:rPr>
        <w:t>文件规定，中标人中标后，应将工人工资保证金存入银行专用存款账户。逾期未交纳的，招标人将扣留与本项目工人工资保证金等额的工程款（工人工资除外），直至中标人按《韶关市建设领域施工企业工人工资支付保证金管理办法》相关文件要求缴纳工人工资保证金。在中标人未按要求缴纳工人工资保证金期间，招标人扣留的工程款将作为工人工资保证金的预备资金，招标人有权将该部分资金用于处理该项目工人工资拖欠等情况的问题。</w:t>
      </w:r>
    </w:p>
    <w:p w14:paraId="7FE0AE4E">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w:t>
      </w:r>
      <w:r>
        <w:rPr>
          <w:rFonts w:hint="eastAsia" w:ascii="宋体" w:hAnsi="宋体" w:eastAsia="宋体" w:cs="宋体"/>
          <w:color w:val="auto"/>
          <w:sz w:val="24"/>
          <w:szCs w:val="24"/>
          <w:highlight w:val="none"/>
          <w:lang w:bidi="ar"/>
        </w:rPr>
        <w:t>所垫付的民工工资2倍向发包人支付违约金。</w:t>
      </w:r>
    </w:p>
    <w:p w14:paraId="31E0E50A">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5</w:t>
      </w:r>
      <w:r>
        <w:rPr>
          <w:rFonts w:hint="eastAsia" w:ascii="宋体" w:hAnsi="宋体" w:eastAsia="宋体" w:cs="宋体"/>
          <w:color w:val="auto"/>
          <w:sz w:val="24"/>
          <w:szCs w:val="24"/>
          <w:highlight w:val="none"/>
          <w:lang w:bidi="ar"/>
        </w:rPr>
        <w:t>中标人应当确保施工扬尘污染防治措施费用和用工实名管理费用专款专用，在财务管理中单独列出施工扬尘污染防治措施费用和用工实名管理费用使用清单报招标人备案核查。</w:t>
      </w:r>
    </w:p>
    <w:p w14:paraId="0690062A">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6</w:t>
      </w:r>
      <w:r>
        <w:rPr>
          <w:rFonts w:hint="eastAsia" w:ascii="宋体" w:hAnsi="宋体" w:eastAsia="宋体" w:cs="宋体"/>
          <w:color w:val="auto"/>
          <w:sz w:val="24"/>
          <w:szCs w:val="24"/>
          <w:highlight w:val="none"/>
          <w:lang w:bidi="ar"/>
        </w:rPr>
        <w:t>中标人需按相关规定要求，设置本工程符合相关要求的永久性标牌及规划公示牌，投标人在投标报价时综合考虑在报价内，招标人不另行支付该部分费用。</w:t>
      </w:r>
    </w:p>
    <w:p w14:paraId="213B30B1">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17</w:t>
      </w:r>
      <w:r>
        <w:rPr>
          <w:rFonts w:hint="eastAsia" w:ascii="宋体" w:hAnsi="宋体" w:eastAsia="宋体" w:cs="宋体"/>
          <w:color w:val="auto"/>
          <w:sz w:val="24"/>
          <w:szCs w:val="24"/>
          <w:highlight w:val="none"/>
          <w:lang w:bidi="ar"/>
        </w:rPr>
        <w:t xml:space="preserve"> 中标人须为招标人、监理、全过程造价咨询单位提供现场办公管理的便利。按工程需要配置办公室、会议室、监理休息室及办公家具、生活设施，配备满足工程监理工作需要的办公设备（电脑、打印机、复印机、传真机、办公用品等）。中标人不得以任何理由提出任何费用及补偿要求。</w:t>
      </w:r>
    </w:p>
    <w:p w14:paraId="47EF9142">
      <w:pPr>
        <w:pStyle w:val="47"/>
        <w:wordWrap w:val="0"/>
        <w:adjustRightInd w:val="0"/>
        <w:snapToGrid w:val="0"/>
        <w:spacing w:line="360" w:lineRule="auto"/>
        <w:ind w:firstLine="560"/>
        <w:rPr>
          <w:rFonts w:hint="eastAsia" w:ascii="宋体" w:hAnsi="宋体" w:eastAsia="宋体" w:cs="宋体"/>
          <w:color w:val="auto"/>
          <w:sz w:val="24"/>
          <w:szCs w:val="24"/>
          <w:highlight w:val="yellow"/>
          <w:lang w:bidi="ar"/>
        </w:rPr>
      </w:pPr>
      <w:r>
        <w:rPr>
          <w:rFonts w:hint="eastAsia" w:ascii="宋体" w:hAnsi="宋体" w:eastAsia="宋体" w:cs="宋体"/>
          <w:b/>
          <w:bCs/>
          <w:color w:val="auto"/>
          <w:sz w:val="24"/>
          <w:szCs w:val="24"/>
          <w:highlight w:val="yellow"/>
          <w:lang w:bidi="ar"/>
        </w:rPr>
        <w:t>1</w:t>
      </w:r>
      <w:r>
        <w:rPr>
          <w:rFonts w:hint="eastAsia" w:ascii="宋体" w:hAnsi="宋体" w:eastAsia="宋体" w:cs="宋体"/>
          <w:b/>
          <w:bCs/>
          <w:color w:val="auto"/>
          <w:sz w:val="24"/>
          <w:szCs w:val="24"/>
          <w:highlight w:val="yellow"/>
          <w:lang w:val="en-US" w:eastAsia="zh-CN" w:bidi="ar"/>
        </w:rPr>
        <w:t>4</w:t>
      </w:r>
      <w:r>
        <w:rPr>
          <w:rFonts w:hint="eastAsia" w:ascii="宋体" w:hAnsi="宋体" w:eastAsia="宋体" w:cs="宋体"/>
          <w:color w:val="auto"/>
          <w:sz w:val="24"/>
          <w:szCs w:val="24"/>
          <w:highlight w:val="yellow"/>
          <w:lang w:bidi="ar"/>
        </w:rPr>
        <w:t>.</w:t>
      </w:r>
      <w:r>
        <w:rPr>
          <w:rFonts w:hint="eastAsia" w:ascii="宋体" w:hAnsi="宋体" w:eastAsia="宋体" w:cs="宋体"/>
          <w:b/>
          <w:bCs/>
          <w:color w:val="auto"/>
          <w:sz w:val="24"/>
          <w:szCs w:val="24"/>
          <w:highlight w:val="yellow"/>
          <w:lang w:val="en-US" w:eastAsia="zh-CN" w:bidi="ar"/>
        </w:rPr>
        <w:t xml:space="preserve">18 </w:t>
      </w:r>
      <w:r>
        <w:rPr>
          <w:rFonts w:hint="eastAsia" w:ascii="宋体" w:hAnsi="宋体" w:eastAsia="宋体" w:cs="宋体"/>
          <w:color w:val="auto"/>
          <w:sz w:val="24"/>
          <w:szCs w:val="24"/>
          <w:highlight w:val="yellow"/>
          <w:lang w:bidi="ar"/>
        </w:rPr>
        <w:t>中标人需在签订合同后5个工作日内向招标人免费提交投标文件</w:t>
      </w:r>
      <w:r>
        <w:rPr>
          <w:rFonts w:hint="eastAsia" w:hAnsi="宋体" w:cs="宋体"/>
          <w:color w:val="auto"/>
          <w:sz w:val="24"/>
          <w:szCs w:val="24"/>
          <w:highlight w:val="yellow"/>
          <w:lang w:val="en-US" w:eastAsia="zh-CN" w:bidi="ar"/>
        </w:rPr>
        <w:t>一</w:t>
      </w:r>
      <w:r>
        <w:rPr>
          <w:rFonts w:hint="eastAsia" w:ascii="宋体" w:hAnsi="宋体" w:eastAsia="宋体" w:cs="宋体"/>
          <w:color w:val="auto"/>
          <w:sz w:val="24"/>
          <w:szCs w:val="24"/>
          <w:highlight w:val="yellow"/>
          <w:lang w:bidi="ar"/>
        </w:rPr>
        <w:t>份。</w:t>
      </w:r>
    </w:p>
    <w:p w14:paraId="7F122DCE">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19</w:t>
      </w:r>
      <w:r>
        <w:rPr>
          <w:rFonts w:hint="eastAsia" w:ascii="宋体" w:hAnsi="宋体" w:eastAsia="宋体" w:cs="宋体"/>
          <w:color w:val="auto"/>
          <w:sz w:val="24"/>
          <w:szCs w:val="24"/>
          <w:highlight w:val="none"/>
          <w:lang w:bidi="ar"/>
        </w:rPr>
        <w:t xml:space="preserve"> 中标人中标后招标人将对项目经理、法人代表或其授权委托人进行廉政谈话。</w:t>
      </w:r>
    </w:p>
    <w:p w14:paraId="3A5AA915">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 xml:space="preserve">20 </w:t>
      </w:r>
      <w:r>
        <w:rPr>
          <w:rFonts w:hint="eastAsia" w:ascii="宋体" w:hAnsi="宋体" w:eastAsia="宋体" w:cs="宋体"/>
          <w:color w:val="auto"/>
          <w:sz w:val="24"/>
          <w:szCs w:val="24"/>
          <w:highlight w:val="none"/>
          <w:lang w:bidi="ar"/>
        </w:rPr>
        <w:t>中标人应已详细了解本项目的前期工作，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637AE7C6">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14.21</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如因招标人原因（自然灾害等不可抗力因素除外），工程不能按期开工，或开工后全部停滞，工期按相关规定予以顺延。停工发生后，若可复工时，中标人应在收到招标人发出的复工通知书后3日内开始复工。</w:t>
      </w:r>
    </w:p>
    <w:p w14:paraId="4FB1DB02">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w:t>
      </w: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中标人须为招标人提供现场管理的交通便利（开工至质保期满）。中标人不得以任何理由提出任何费用及补偿要求。</w:t>
      </w:r>
    </w:p>
    <w:p w14:paraId="0094380E">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中标人必须做好施工场地地下地上管线和邻近建筑物、构筑物（包括文物保护建筑）、名树名木（如有）的保护工作。</w:t>
      </w:r>
    </w:p>
    <w:p w14:paraId="40EBCD59">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color w:val="auto"/>
          <w:sz w:val="24"/>
          <w:szCs w:val="24"/>
          <w:highlight w:val="none"/>
          <w:lang w:bidi="ar"/>
        </w:rPr>
        <w:t>中标单位必须在中标通知书发出之日起一个月内完成现场临时设施（施工用水用电、围蔽、板房、洗车槽、相关公示牌等）施工，因中标人原因导致逾期的，逾期第壹天起每天按2000元作违约处理。</w:t>
      </w:r>
    </w:p>
    <w:p w14:paraId="2AB83CB4">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.2</w:t>
      </w:r>
      <w:r>
        <w:rPr>
          <w:rFonts w:hint="eastAsia" w:ascii="宋体" w:hAnsi="宋体" w:eastAsia="宋体" w:cs="宋体"/>
          <w:b/>
          <w:bCs/>
          <w:color w:val="auto"/>
          <w:sz w:val="24"/>
          <w:szCs w:val="24"/>
          <w:highlight w:val="none"/>
          <w:lang w:val="en-US" w:eastAsia="zh-CN" w:bidi="ar"/>
        </w:rPr>
        <w:t xml:space="preserve">5 </w:t>
      </w:r>
      <w:r>
        <w:rPr>
          <w:rFonts w:hint="eastAsia" w:ascii="宋体" w:hAnsi="宋体" w:eastAsia="宋体" w:cs="宋体"/>
          <w:color w:val="auto"/>
          <w:sz w:val="24"/>
          <w:szCs w:val="24"/>
          <w:highlight w:val="none"/>
          <w:lang w:bidi="ar"/>
        </w:rPr>
        <w:t>为保证施工现场的环境卫生，中标人在本工程施工过程中，所有的车辆必须按招标人规定的行车路线行驶。并负责施工现场及受施工影响周边道路的卫生。</w:t>
      </w:r>
    </w:p>
    <w:p w14:paraId="19A125B9">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26</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招标人有权根据本项目建设的实际情况调整建设规模或减少建设内容，如出现因特殊原因取消某子项目的建设，则该子项目未完成的工作内容及费用相应扣减，中标人应在投标报价中综合考虑该因素，中标后不得因此向招标人提出额外的费用补偿或索赔</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并且必须按调整后的规模及内容完成工程建设。</w:t>
      </w:r>
    </w:p>
    <w:p w14:paraId="3E78A10A">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 xml:space="preserve">27 </w:t>
      </w:r>
      <w:r>
        <w:rPr>
          <w:rFonts w:hint="eastAsia" w:ascii="宋体" w:hAnsi="宋体" w:eastAsia="宋体" w:cs="宋体"/>
          <w:color w:val="auto"/>
          <w:sz w:val="24"/>
          <w:szCs w:val="24"/>
          <w:highlight w:val="none"/>
          <w:lang w:bidi="ar"/>
        </w:rPr>
        <w:t>中标人在施工过程中应及时发现现场缺项漏项变更签证等影响造价的事项，应及时跟招标人报告（书面、微信等），</w:t>
      </w:r>
      <w:r>
        <w:rPr>
          <w:rFonts w:hint="eastAsia" w:ascii="宋体" w:hAnsi="宋体" w:eastAsia="宋体" w:cs="宋体"/>
          <w:color w:val="auto"/>
          <w:sz w:val="24"/>
          <w:szCs w:val="24"/>
          <w:highlight w:val="none"/>
          <w:lang w:eastAsia="zh-CN" w:bidi="ar"/>
        </w:rPr>
        <w:t>并按照招标人的程序确认后才能进行施工，</w:t>
      </w:r>
      <w:r>
        <w:rPr>
          <w:rFonts w:hint="eastAsia" w:ascii="宋体" w:hAnsi="宋体" w:eastAsia="宋体" w:cs="宋体"/>
          <w:color w:val="auto"/>
          <w:sz w:val="24"/>
          <w:szCs w:val="24"/>
          <w:highlight w:val="none"/>
          <w:lang w:bidi="ar"/>
        </w:rPr>
        <w:t>若因中标人不及时报告</w:t>
      </w:r>
      <w:r>
        <w:rPr>
          <w:rFonts w:hint="eastAsia" w:ascii="宋体" w:hAnsi="宋体" w:eastAsia="宋体" w:cs="宋体"/>
          <w:color w:val="auto"/>
          <w:sz w:val="24"/>
          <w:szCs w:val="24"/>
          <w:highlight w:val="none"/>
          <w:lang w:eastAsia="zh-CN" w:bidi="ar"/>
        </w:rPr>
        <w:t>擅自施工，</w:t>
      </w:r>
      <w:r>
        <w:rPr>
          <w:rFonts w:hint="eastAsia" w:ascii="宋体" w:hAnsi="宋体" w:eastAsia="宋体" w:cs="宋体"/>
          <w:color w:val="auto"/>
          <w:sz w:val="24"/>
          <w:szCs w:val="24"/>
          <w:highlight w:val="none"/>
          <w:lang w:bidi="ar"/>
        </w:rPr>
        <w:t>导致的不良后果，由中标人承担。</w:t>
      </w:r>
    </w:p>
    <w:p w14:paraId="218631BC">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28</w:t>
      </w:r>
      <w:r>
        <w:rPr>
          <w:rFonts w:hint="eastAsia" w:ascii="宋体" w:hAnsi="宋体" w:eastAsia="宋体" w:cs="宋体"/>
          <w:color w:val="auto"/>
          <w:sz w:val="24"/>
          <w:szCs w:val="24"/>
          <w:highlight w:val="none"/>
          <w:lang w:val="en-US" w:eastAsia="zh-CN" w:bidi="ar"/>
        </w:rPr>
        <w:t xml:space="preserve"> 因项目用地的不可控因素，造成建设用地延期交付，导致产生的费用不予补偿，仅顺延工期。</w:t>
      </w:r>
    </w:p>
    <w:p w14:paraId="0122210F">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 xml:space="preserve">29 </w:t>
      </w:r>
      <w:r>
        <w:rPr>
          <w:rFonts w:hint="eastAsia" w:ascii="宋体" w:hAnsi="宋体" w:eastAsia="宋体" w:cs="宋体"/>
          <w:color w:val="auto"/>
          <w:sz w:val="24"/>
          <w:szCs w:val="24"/>
          <w:highlight w:val="none"/>
          <w:lang w:val="en-US" w:eastAsia="zh-CN" w:bidi="ar"/>
        </w:rPr>
        <w:t>中标人须参与图纸会审并及时提出涉及设计修改或变更方面的相关方案或意见，否则由此造成的后果由中标人自行负责。</w:t>
      </w:r>
    </w:p>
    <w:p w14:paraId="4D9B5367">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14.30</w:t>
      </w:r>
      <w:r>
        <w:rPr>
          <w:rFonts w:hint="eastAsia" w:ascii="宋体" w:hAnsi="宋体" w:eastAsia="宋体" w:cs="宋体"/>
          <w:color w:val="auto"/>
          <w:sz w:val="24"/>
          <w:szCs w:val="24"/>
          <w:highlight w:val="none"/>
          <w:lang w:val="en-US" w:eastAsia="zh-CN" w:bidi="ar"/>
        </w:rPr>
        <w:t xml:space="preserve"> 对于招标工程量清单、招标控制价发生的以下事项，招标人有权在合同签订前按以下原则进行修订：</w:t>
      </w:r>
    </w:p>
    <w:p w14:paraId="2F1CC493">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14.30.1</w:t>
      </w:r>
      <w:r>
        <w:rPr>
          <w:rFonts w:hint="eastAsia" w:ascii="宋体" w:hAnsi="宋体" w:eastAsia="宋体" w:cs="宋体"/>
          <w:color w:val="auto"/>
          <w:sz w:val="24"/>
          <w:szCs w:val="24"/>
          <w:highlight w:val="none"/>
          <w:lang w:val="en-US" w:eastAsia="zh-CN" w:bidi="ar"/>
        </w:rPr>
        <w:t xml:space="preserve"> 招标工程量清单描述有误：招标人有权修正工程量清单描述错误部分，工程量清单综合单价以投标人报价为准。</w:t>
      </w:r>
    </w:p>
    <w:p w14:paraId="306D7085">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14.30.2</w:t>
      </w:r>
      <w:r>
        <w:rPr>
          <w:rFonts w:hint="eastAsia" w:ascii="宋体" w:hAnsi="宋体" w:eastAsia="宋体" w:cs="宋体"/>
          <w:color w:val="auto"/>
          <w:sz w:val="24"/>
          <w:szCs w:val="24"/>
          <w:highlight w:val="none"/>
          <w:lang w:val="en-US" w:eastAsia="zh-CN" w:bidi="ar"/>
        </w:rPr>
        <w:t xml:space="preserve"> 招标工程量计量错误：以实际发生工程量为准，工程量清单综合单价以投标人报价为准。</w:t>
      </w:r>
    </w:p>
    <w:p w14:paraId="3BD7B859">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14.30.3</w:t>
      </w:r>
      <w:r>
        <w:rPr>
          <w:rFonts w:hint="eastAsia" w:ascii="宋体" w:hAnsi="宋体" w:eastAsia="宋体" w:cs="宋体"/>
          <w:color w:val="auto"/>
          <w:sz w:val="24"/>
          <w:szCs w:val="24"/>
          <w:highlight w:val="none"/>
          <w:lang w:val="en-US" w:eastAsia="zh-CN" w:bidi="ar"/>
        </w:rPr>
        <w:t xml:space="preserve"> 相同子目综合单价在不同单位工程中单价不一致：以投标报价低价为准。</w:t>
      </w:r>
    </w:p>
    <w:p w14:paraId="794E9A50">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 xml:space="preserve">14.30.4 </w:t>
      </w:r>
      <w:r>
        <w:rPr>
          <w:rFonts w:hint="eastAsia" w:ascii="宋体" w:hAnsi="宋体" w:eastAsia="宋体" w:cs="宋体"/>
          <w:color w:val="auto"/>
          <w:sz w:val="24"/>
          <w:szCs w:val="24"/>
          <w:highlight w:val="none"/>
          <w:lang w:val="en-US" w:eastAsia="zh-CN" w:bidi="ar"/>
        </w:rPr>
        <w:t>招标工程量清单漏项（图纸有而清单漏项）：按工程量按实计算，综合单价以招标人委托的第三方造价咨询公司按本项目招标控制价编制原则编制，并按投标总价下浮率下浮计算。</w:t>
      </w:r>
    </w:p>
    <w:p w14:paraId="62728CEE">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14.31</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施工合同签订备案后，承包人应一个月内将安全防护、文明施工措施项目费、工人工资保证金、工程排污费等涉及办理</w:t>
      </w:r>
      <w:r>
        <w:rPr>
          <w:rFonts w:hint="eastAsia" w:hAnsi="宋体" w:cs="宋体"/>
          <w:color w:val="auto"/>
          <w:sz w:val="24"/>
          <w:szCs w:val="24"/>
          <w:highlight w:val="none"/>
          <w:lang w:eastAsia="zh-CN" w:bidi="ar"/>
        </w:rPr>
        <w:t>市政公用工程</w:t>
      </w:r>
      <w:r>
        <w:rPr>
          <w:rFonts w:hint="eastAsia" w:ascii="宋体" w:hAnsi="宋体" w:eastAsia="宋体" w:cs="宋体"/>
          <w:color w:val="auto"/>
          <w:sz w:val="24"/>
          <w:szCs w:val="24"/>
          <w:highlight w:val="none"/>
          <w:lang w:bidi="ar"/>
        </w:rPr>
        <w:t>施工许可证的缴费项目，缴纳至相应管理部门，办结相关手续，并提供缴费凭据等相关资料复印件给发包人，到商业银行办理安全防护、文明施工措施费及工人工资专用账户，同时承包人应向发包人提供符合韶关市相关行业行政主管部门规定的有效劳务分包合同。</w:t>
      </w:r>
    </w:p>
    <w:p w14:paraId="7002201C">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val="en-US" w:eastAsia="zh-CN" w:bidi="ar"/>
        </w:rPr>
        <w:t>14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 xml:space="preserve">32 </w:t>
      </w:r>
      <w:r>
        <w:rPr>
          <w:rFonts w:hint="eastAsia" w:ascii="宋体" w:hAnsi="宋体" w:eastAsia="宋体" w:cs="宋体"/>
          <w:color w:val="auto"/>
          <w:sz w:val="24"/>
          <w:szCs w:val="24"/>
          <w:highlight w:val="none"/>
          <w:lang w:bidi="ar"/>
        </w:rPr>
        <w:t>承包人应充分考虑施工对接情况，为本工程的其他参建单位提供工作便利、配合及服务（如水源、电源接口等），并有针对性地组织施工；承包人与为本工程的其他参建单位就协调、配合、服务等不能达成一致的，由监理工程师协调，并遵照监理工程师指令执行；承包人应负责统筹安排本工程范围内的各项工程的协调与配合，确保工程建设有序进行。承包人由此增加的费用应认为已包括在承包人的投标报价之中，发包人不另行支付。</w:t>
      </w:r>
    </w:p>
    <w:p w14:paraId="3D99BF50">
      <w:pPr>
        <w:pStyle w:val="47"/>
        <w:wordWrap w:val="0"/>
        <w:adjustRightInd w:val="0"/>
        <w:snapToGrid w:val="0"/>
        <w:spacing w:line="360" w:lineRule="auto"/>
        <w:ind w:firstLine="560"/>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1</w:t>
      </w:r>
      <w:r>
        <w:rPr>
          <w:rFonts w:hint="eastAsia" w:ascii="宋体" w:hAnsi="宋体" w:eastAsia="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 xml:space="preserve">33 </w:t>
      </w:r>
      <w:r>
        <w:rPr>
          <w:rFonts w:hint="eastAsia" w:ascii="宋体" w:hAnsi="宋体" w:eastAsia="宋体" w:cs="宋体"/>
          <w:color w:val="auto"/>
          <w:sz w:val="24"/>
          <w:szCs w:val="24"/>
          <w:highlight w:val="none"/>
          <w:lang w:bidi="ar"/>
        </w:rPr>
        <w:t>工程完工后，为了本项目整体竣工验收的需要，承包人必须在发包人的统筹安排下，与为本项目其他工程服务的单位进行协同配合，做好竣工验收的各项工作，交付的工程必须符合各专业工程管养单位的相关要求。</w:t>
      </w:r>
    </w:p>
    <w:p w14:paraId="23170E54">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14.34 </w:t>
      </w:r>
      <w:r>
        <w:rPr>
          <w:rFonts w:hint="eastAsia" w:ascii="宋体" w:hAnsi="宋体" w:eastAsia="宋体" w:cs="宋体"/>
          <w:color w:val="auto"/>
          <w:sz w:val="24"/>
          <w:szCs w:val="24"/>
          <w:highlight w:val="none"/>
          <w:lang w:val="en-US" w:eastAsia="zh-CN" w:bidi="ar"/>
        </w:rPr>
        <w:t>本工程评标专家酬劳由中标人支付，该费用不再另行报价，由投标人在投标报价时综合考虑在内。中标人在领取中标通知书前须向招标代理机构评标专家酬劳。</w:t>
      </w:r>
    </w:p>
    <w:p w14:paraId="3F93F7E1">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14.35 </w:t>
      </w:r>
      <w:r>
        <w:rPr>
          <w:rFonts w:hint="eastAsia" w:ascii="宋体" w:hAnsi="宋体" w:eastAsia="宋体" w:cs="宋体"/>
          <w:color w:val="auto"/>
          <w:sz w:val="24"/>
          <w:szCs w:val="24"/>
          <w:highlight w:val="none"/>
          <w:lang w:val="en-US" w:eastAsia="zh-CN" w:bidi="ar"/>
        </w:rPr>
        <w:t>发包人仅在征地红线范围内提供场地，其他一切场地费用由承包人自行负责（含临时道路），因实施合同工程的需要，承包人须占用场地外的道路及修建场外用地、设施等，均由承包人自行负责。承包人自行办理所需的申请手续，并承担一切所需的费用，承包人须负责保持场内外的临时道路畅通，提供指示牌、警告告示、灯号及所需之交通指导员等一切安全措施以保障行人安全及车辆安全行驶，并承担因其失责引起之所有索偿。基坑开挖期间，承包人须于基坑至工地出入口设置挖运土（石）方的专用便道，便道须作填硬质渣土或浇混凝土路面等加硬处理，以确保雨天仍能安全施工。该费用已包含在合同单价中；超大件和超重件运输所需的一切费用包括但不限于道路和桥梁临时加固改造费用等均由承包人自行负责。</w:t>
      </w:r>
    </w:p>
    <w:p w14:paraId="0DE847E9">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14.36</w:t>
      </w:r>
      <w:r>
        <w:rPr>
          <w:rFonts w:hint="eastAsia" w:ascii="宋体" w:hAnsi="宋体" w:eastAsia="宋体" w:cs="宋体"/>
          <w:color w:val="auto"/>
          <w:sz w:val="24"/>
          <w:szCs w:val="24"/>
          <w:highlight w:val="none"/>
          <w:lang w:val="en-US" w:eastAsia="zh-CN" w:bidi="ar"/>
        </w:rPr>
        <w:t xml:space="preserve"> 承包人应对所有现场作业、所有施工方法和全部工程的完备性、稳定性和安全性负责，负责施工场地安全保卫工作，防止因工程施工造成的人身伤害和财产损失，提供和维修施工照明、围栏设施及要约标志以满足现场实际需要。</w:t>
      </w:r>
    </w:p>
    <w:p w14:paraId="38F31608">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14.37</w:t>
      </w:r>
      <w:r>
        <w:rPr>
          <w:rFonts w:hint="eastAsia" w:ascii="宋体" w:hAnsi="宋体" w:eastAsia="宋体" w:cs="宋体"/>
          <w:color w:val="auto"/>
          <w:sz w:val="24"/>
          <w:szCs w:val="24"/>
          <w:highlight w:val="none"/>
          <w:lang w:val="en-US" w:eastAsia="zh-CN" w:bidi="ar"/>
        </w:rPr>
        <w:t xml:space="preserve"> 遵守国家、广东省及韶关市现行的法律、条例、规定和通知，并办理所需的申请和支付有关的法定费用和税项（包括但不限于营业税及其附加税/增值税及其附加税或其他任何因履行合同需由承包商承担的相关税金）。包括但不限于施工场地交通、余泥排放、环境保护、安全防护、文明施工、施工噪音管理、夜间施工、排水许可、施工爆破许可等的申请及支付有关费用。</w:t>
      </w:r>
    </w:p>
    <w:p w14:paraId="25310ACA">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14.38</w:t>
      </w:r>
      <w:r>
        <w:rPr>
          <w:rFonts w:hint="eastAsia" w:ascii="宋体" w:hAnsi="宋体" w:eastAsia="宋体" w:cs="宋体"/>
          <w:color w:val="auto"/>
          <w:sz w:val="24"/>
          <w:szCs w:val="24"/>
          <w:highlight w:val="none"/>
          <w:lang w:val="en-US" w:eastAsia="zh-CN" w:bidi="ar"/>
        </w:rPr>
        <w:t xml:space="preserve"> 遵守政府部门有关环境卫生的管理规定，保证施工场地的清洁和交工前施工现场的清理，并承担因自身责任造成的损失和罚款。</w:t>
      </w:r>
    </w:p>
    <w:p w14:paraId="773E831F">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14.39</w:t>
      </w:r>
      <w:r>
        <w:rPr>
          <w:rFonts w:hint="eastAsia" w:ascii="宋体" w:hAnsi="宋体" w:eastAsia="宋体" w:cs="宋体"/>
          <w:color w:val="auto"/>
          <w:sz w:val="24"/>
          <w:szCs w:val="24"/>
          <w:highlight w:val="none"/>
          <w:lang w:val="en-US" w:eastAsia="zh-CN" w:bidi="ar"/>
        </w:rPr>
        <w:t xml:space="preserve"> 工程完工后，应按照合同约定提交竣工验收申请报告、竣工图纸和资料及竣工结算文件。本项目的工程竣工图亦须由承包人负责编制及提交，相关费用和利润视作已考虑在合同价款内。</w:t>
      </w:r>
    </w:p>
    <w:p w14:paraId="7204233A">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14.40 </w:t>
      </w:r>
      <w:r>
        <w:rPr>
          <w:rFonts w:hint="eastAsia" w:ascii="宋体" w:hAnsi="宋体" w:eastAsia="宋体" w:cs="宋体"/>
          <w:color w:val="auto"/>
          <w:sz w:val="24"/>
          <w:szCs w:val="24"/>
          <w:highlight w:val="none"/>
          <w:lang w:val="en-US" w:eastAsia="zh-CN" w:bidi="ar"/>
        </w:rPr>
        <w:t>自行办理本工程施工所需的道路占用手续（包括开路口），负责有关申请及维持占用道路所需的一切费用，并负责本工程的红线外的一切场地使用费用。</w:t>
      </w:r>
    </w:p>
    <w:p w14:paraId="6D6B3730">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14.41</w:t>
      </w:r>
      <w:r>
        <w:rPr>
          <w:rFonts w:hint="eastAsia" w:ascii="宋体" w:hAnsi="宋体" w:eastAsia="宋体" w:cs="宋体"/>
          <w:color w:val="auto"/>
          <w:sz w:val="24"/>
          <w:szCs w:val="24"/>
          <w:highlight w:val="none"/>
          <w:lang w:val="en-US" w:eastAsia="zh-CN" w:bidi="ar"/>
        </w:rPr>
        <w:t xml:space="preserve"> 对于承包人或其指定分包人所雇用的工人或任何其它人员的伤亡或赔偿，承包人应保证发包人免负该等责任，且保证发包人不负担涉及这类伤亡与赔偿或与此有关的索赔和诉讼，损害赔偿、诉讼费、赔偿费及其它费用均由承包人自行负责，另承包人由于伤亡事故而造成本工程停工的，发包人将不予顺延工期，其所有损失由承包人自负。但由于发包人或监理工程师的行为失误所造成的伤亡除外。</w:t>
      </w:r>
    </w:p>
    <w:p w14:paraId="19C2614A">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14.42 </w:t>
      </w:r>
      <w:r>
        <w:rPr>
          <w:rFonts w:hint="eastAsia" w:ascii="宋体" w:hAnsi="宋体" w:eastAsia="宋体" w:cs="宋体"/>
          <w:color w:val="auto"/>
          <w:sz w:val="24"/>
          <w:szCs w:val="24"/>
          <w:highlight w:val="none"/>
          <w:lang w:val="en-US" w:eastAsia="zh-CN" w:bidi="ar"/>
        </w:rPr>
        <w:t>应发包人要求对所有隐蔽工程施工进行录像并刻录成光盘，于工程验收时一并提交。</w:t>
      </w:r>
    </w:p>
    <w:p w14:paraId="562EC5D2">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14.43</w:t>
      </w:r>
      <w:r>
        <w:rPr>
          <w:rFonts w:hint="eastAsia" w:ascii="宋体" w:hAnsi="宋体" w:eastAsia="宋体" w:cs="宋体"/>
          <w:color w:val="auto"/>
          <w:sz w:val="24"/>
          <w:szCs w:val="24"/>
          <w:highlight w:val="none"/>
          <w:lang w:val="en-US" w:eastAsia="zh-CN" w:bidi="ar"/>
        </w:rPr>
        <w:t xml:space="preserve"> 本工程竣工交付予发包人，或合同终止之日起30天内时，承包人应将全部场地清理干净退还发包人。如承包人逾期未退还场地，承包人须按每天5元/m2向发包人缴纳场地占用费。</w:t>
      </w:r>
    </w:p>
    <w:p w14:paraId="7C5E5803">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14.44 </w:t>
      </w:r>
      <w:r>
        <w:rPr>
          <w:rFonts w:hint="eastAsia" w:ascii="宋体" w:hAnsi="宋体" w:eastAsia="宋体" w:cs="宋体"/>
          <w:color w:val="auto"/>
          <w:sz w:val="24"/>
          <w:szCs w:val="24"/>
          <w:highlight w:val="none"/>
          <w:lang w:val="en-US" w:eastAsia="zh-CN" w:bidi="ar"/>
        </w:rPr>
        <w:t>承包人必须参加各专业工程的图纸会审，对于专业工程与土建工程有冲突的地方，有义务提出修改建议和解决方案，否则，因此产生的费用将不予签证和工程设计变更。</w:t>
      </w:r>
    </w:p>
    <w:p w14:paraId="66187EAB">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14.45</w:t>
      </w:r>
      <w:r>
        <w:rPr>
          <w:rFonts w:hint="eastAsia" w:ascii="宋体" w:hAnsi="宋体" w:eastAsia="宋体" w:cs="宋体"/>
          <w:color w:val="auto"/>
          <w:sz w:val="24"/>
          <w:szCs w:val="24"/>
          <w:highlight w:val="none"/>
          <w:lang w:val="en-US" w:eastAsia="zh-CN" w:bidi="ar"/>
        </w:rPr>
        <w:t xml:space="preserve"> 承包人应根据发包人提供的正式变更资料及时进行工程变更，工程变更完成并由监理工程师和发包人书面确认后，承包人在30天内向发包人和造价工程师提出工程变更预算(包括经确认完成的变更证明资料及相应图纸、计算明细及单价组成等)，在30天内未提交的，视为变更不涉及费用的增加和工期的延长。承包人需按发包人的要求在每月20日前对设计变更及现场签证的事项台账及预算台账进行更新填报，若承包人漏报，发包人将视为该工作或签证不涉及费用的增加及工期的延长。承包人不得高估冒算，承包人预（结）算的送审价高出发包人审定价20%，承包人按以下方式承担违约金：违约金＝(承包人预（结）算送审造价－发包人预（结）算审定价×1.2)×10%，在预（结）算款项中以违约金形式扣除。</w:t>
      </w:r>
    </w:p>
    <w:p w14:paraId="45411232">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14.46</w:t>
      </w:r>
      <w:r>
        <w:rPr>
          <w:rFonts w:hint="eastAsia" w:ascii="宋体" w:hAnsi="宋体" w:eastAsia="宋体" w:cs="宋体"/>
          <w:color w:val="auto"/>
          <w:sz w:val="24"/>
          <w:szCs w:val="24"/>
          <w:highlight w:val="none"/>
          <w:lang w:val="en-US" w:eastAsia="zh-CN" w:bidi="ar"/>
        </w:rPr>
        <w:t xml:space="preserve"> 在展开任何工作或订购任何材料设备前，承包人须核实图纸上及现场所有尺寸，及审核现场、图纸、标准、规范之间有没有不符，若发现有任何错漏、疏忽或偏差，必须立即以书面形式通知发包人和监理工程师，由发包人给予指示。发包人的任何指示皆不会免除或减轻承包人按合同所承担的义务和责任。发包人不负责承包人未有充分审核而引致的虚耗材料设备、工作或进度拖延。</w:t>
      </w:r>
    </w:p>
    <w:p w14:paraId="3676FC3C">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14.47</w:t>
      </w:r>
      <w:r>
        <w:rPr>
          <w:rFonts w:hint="eastAsia" w:ascii="宋体" w:hAnsi="宋体" w:eastAsia="宋体" w:cs="宋体"/>
          <w:color w:val="auto"/>
          <w:sz w:val="24"/>
          <w:szCs w:val="24"/>
          <w:highlight w:val="none"/>
          <w:lang w:val="en-US" w:eastAsia="zh-CN" w:bidi="ar"/>
        </w:rPr>
        <w:t xml:space="preserve"> 合同价款已包括探明、打碎及移去所有在施工期间所遇到的地下障碍物如石块、结构混凝土、素混凝土、砖块、坟头等，及用经认可的土壤回填于空位内，合同价款亦已包括因上述障碍物而引致工人及机械窝工的费用及其它一切费用。</w:t>
      </w:r>
    </w:p>
    <w:p w14:paraId="3BD78CDF">
      <w:pPr>
        <w:pStyle w:val="47"/>
        <w:wordWrap w:val="0"/>
        <w:adjustRightInd w:val="0"/>
        <w:snapToGrid w:val="0"/>
        <w:spacing w:line="360" w:lineRule="auto"/>
        <w:ind w:firstLine="560"/>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14.48</w:t>
      </w:r>
      <w:r>
        <w:rPr>
          <w:rFonts w:hint="eastAsia" w:ascii="宋体" w:hAnsi="宋体" w:eastAsia="宋体" w:cs="宋体"/>
          <w:color w:val="auto"/>
          <w:sz w:val="24"/>
          <w:szCs w:val="24"/>
          <w:highlight w:val="none"/>
          <w:lang w:val="en-US" w:eastAsia="zh-CN" w:bidi="ar"/>
        </w:rPr>
        <w:t xml:space="preserve"> 合同履行期间，除分部分项工程量清单内人工及模板人工（不包含机械费中的人工）与分部分项工程清单内的商品混凝土、商品砂浆、钢筋、结构用型钢、砌体、在约定的条件下可调整价差外，合同价款及单价不会因任何物价或汇率的变动而作调整。</w:t>
      </w:r>
    </w:p>
    <w:p w14:paraId="6D1ECE8B">
      <w:pPr>
        <w:pStyle w:val="47"/>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bidi="ar"/>
        </w:rPr>
        <w:t>14.49</w:t>
      </w:r>
      <w:r>
        <w:rPr>
          <w:rFonts w:hint="eastAsia" w:ascii="宋体" w:hAnsi="宋体" w:eastAsia="宋体" w:cs="宋体"/>
          <w:color w:val="auto"/>
          <w:sz w:val="24"/>
          <w:szCs w:val="24"/>
          <w:highlight w:val="none"/>
          <w:lang w:val="en-US" w:eastAsia="zh-CN" w:bidi="ar"/>
        </w:rPr>
        <w:t xml:space="preserve"> 承包人应积极配合发包人进行与自行施工范围有关的变更、签证“一月一清”工作。</w:t>
      </w:r>
    </w:p>
    <w:p w14:paraId="48CB4B52">
      <w:pPr>
        <w:spacing w:before="151" w:line="360" w:lineRule="auto"/>
        <w:ind w:left="476"/>
        <w:outlineLvl w:val="2"/>
        <w:rPr>
          <w:rFonts w:hint="eastAsia" w:ascii="宋体" w:hAnsi="宋体" w:eastAsia="宋体" w:cs="宋体"/>
          <w:b/>
          <w:bCs/>
          <w:color w:val="auto"/>
          <w:spacing w:val="-11"/>
          <w:sz w:val="24"/>
          <w:szCs w:val="24"/>
          <w:highlight w:val="none"/>
          <w:lang w:val="en-US" w:eastAsia="zh-CN"/>
        </w:rPr>
      </w:pPr>
      <w:bookmarkStart w:id="160" w:name="_Toc3399"/>
      <w:bookmarkStart w:id="161" w:name="_Toc9877"/>
      <w:r>
        <w:rPr>
          <w:rFonts w:hint="eastAsia" w:ascii="宋体" w:hAnsi="宋体" w:eastAsia="宋体" w:cs="宋体"/>
          <w:b/>
          <w:bCs/>
          <w:color w:val="auto"/>
          <w:spacing w:val="-11"/>
          <w:sz w:val="24"/>
          <w:szCs w:val="24"/>
          <w:highlight w:val="none"/>
          <w:lang w:val="en-US" w:eastAsia="zh-CN"/>
        </w:rPr>
        <w:t>15.违约及质量保证条款</w:t>
      </w:r>
      <w:bookmarkEnd w:id="160"/>
    </w:p>
    <w:p w14:paraId="4D34CB41">
      <w:pPr>
        <w:pStyle w:val="47"/>
        <w:wordWrap w:val="0"/>
        <w:adjustRightInd w:val="0"/>
        <w:snapToGrid w:val="0"/>
        <w:spacing w:line="360" w:lineRule="auto"/>
        <w:ind w:firstLine="56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15.1 </w:t>
      </w:r>
      <w:r>
        <w:rPr>
          <w:rFonts w:hint="eastAsia" w:ascii="宋体" w:hAnsi="宋体" w:eastAsia="宋体" w:cs="宋体"/>
          <w:b w:val="0"/>
          <w:bCs w:val="0"/>
          <w:color w:val="auto"/>
          <w:sz w:val="24"/>
          <w:szCs w:val="24"/>
          <w:highlight w:val="none"/>
          <w:lang w:val="en-US" w:eastAsia="zh-CN" w:bidi="ar"/>
        </w:rPr>
        <w:t>工程移交延误违约</w:t>
      </w:r>
      <w:bookmarkEnd w:id="161"/>
    </w:p>
    <w:p w14:paraId="1430008C">
      <w:pPr>
        <w:pStyle w:val="47"/>
        <w:snapToGrid w:val="0"/>
        <w:spacing w:line="360" w:lineRule="auto"/>
        <w:ind w:firstLine="560"/>
        <w:rPr>
          <w:rFonts w:hint="eastAsia"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15.1.1</w:t>
      </w:r>
      <w:r>
        <w:rPr>
          <w:rFonts w:hint="eastAsia" w:ascii="宋体" w:hAnsi="宋体" w:eastAsia="宋体" w:cs="宋体"/>
          <w:b w:val="0"/>
          <w:bCs w:val="0"/>
          <w:snapToGrid w:val="0"/>
          <w:color w:val="auto"/>
          <w:kern w:val="0"/>
          <w:sz w:val="24"/>
          <w:szCs w:val="24"/>
          <w:highlight w:val="none"/>
          <w:lang w:val="en-US" w:eastAsia="zh-CN"/>
        </w:rPr>
        <w:t>因承包人原因，工程没有按期竣工时，承包人须在逾期第壹天起每天按合同价的</w:t>
      </w:r>
      <w:r>
        <w:rPr>
          <w:rFonts w:hint="eastAsia" w:ascii="宋体" w:hAnsi="宋体" w:eastAsia="宋体" w:cs="宋体"/>
          <w:b w:val="0"/>
          <w:bCs w:val="0"/>
          <w:snapToGrid w:val="0"/>
          <w:color w:val="auto"/>
          <w:kern w:val="0"/>
          <w:sz w:val="24"/>
          <w:szCs w:val="24"/>
          <w:highlight w:val="none"/>
          <w:u w:val="single"/>
          <w:lang w:val="en-US" w:eastAsia="zh-CN"/>
        </w:rPr>
        <w:t>1‰</w:t>
      </w:r>
      <w:r>
        <w:rPr>
          <w:rFonts w:hint="eastAsia" w:ascii="宋体" w:hAnsi="宋体" w:eastAsia="宋体" w:cs="宋体"/>
          <w:b w:val="0"/>
          <w:bCs w:val="0"/>
          <w:snapToGrid w:val="0"/>
          <w:color w:val="auto"/>
          <w:kern w:val="0"/>
          <w:sz w:val="24"/>
          <w:szCs w:val="24"/>
          <w:highlight w:val="none"/>
          <w:lang w:val="en-US" w:eastAsia="zh-CN"/>
        </w:rPr>
        <w:t>向发包人返纳逾期竣工违约金。逾期竣工违约金的最高限额为合同价款的</w:t>
      </w:r>
      <w:r>
        <w:rPr>
          <w:rFonts w:hint="eastAsia" w:hAnsi="宋体" w:cs="宋体"/>
          <w:b w:val="0"/>
          <w:bCs w:val="0"/>
          <w:snapToGrid w:val="0"/>
          <w:color w:val="auto"/>
          <w:kern w:val="0"/>
          <w:sz w:val="24"/>
          <w:szCs w:val="24"/>
          <w:highlight w:val="none"/>
          <w:u w:val="single"/>
          <w:lang w:val="en-US" w:eastAsia="zh-CN"/>
        </w:rPr>
        <w:t>3</w:t>
      </w:r>
      <w:r>
        <w:rPr>
          <w:rFonts w:hint="eastAsia" w:ascii="宋体" w:hAnsi="宋体" w:eastAsia="宋体" w:cs="宋体"/>
          <w:b w:val="0"/>
          <w:bCs w:val="0"/>
          <w:snapToGrid w:val="0"/>
          <w:color w:val="auto"/>
          <w:kern w:val="0"/>
          <w:sz w:val="24"/>
          <w:szCs w:val="24"/>
          <w:highlight w:val="none"/>
          <w:u w:val="single"/>
          <w:lang w:val="en-US" w:eastAsia="zh-CN"/>
        </w:rPr>
        <w:t>%</w:t>
      </w:r>
      <w:r>
        <w:rPr>
          <w:rFonts w:hint="eastAsia" w:ascii="宋体" w:hAnsi="宋体" w:eastAsia="宋体" w:cs="宋体"/>
          <w:b w:val="0"/>
          <w:bCs w:val="0"/>
          <w:snapToGrid w:val="0"/>
          <w:color w:val="auto"/>
          <w:kern w:val="0"/>
          <w:sz w:val="24"/>
          <w:szCs w:val="24"/>
          <w:highlight w:val="none"/>
          <w:lang w:val="en-US" w:eastAsia="zh-CN"/>
        </w:rPr>
        <w:t>。</w:t>
      </w:r>
    </w:p>
    <w:p w14:paraId="4CFD2A5E">
      <w:pPr>
        <w:spacing w:line="360" w:lineRule="auto"/>
        <w:ind w:firstLine="475" w:firstLineChars="19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.1.2</w:t>
      </w:r>
      <w:r>
        <w:rPr>
          <w:rFonts w:hint="eastAsia" w:ascii="宋体" w:hAnsi="宋体" w:eastAsia="宋体" w:cs="宋体"/>
          <w:iCs/>
          <w:color w:val="auto"/>
          <w:sz w:val="24"/>
          <w:szCs w:val="24"/>
          <w:highlight w:val="none"/>
        </w:rPr>
        <w:t>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w:t>
      </w:r>
      <w:r>
        <w:rPr>
          <w:rFonts w:hint="eastAsia" w:ascii="宋体" w:hAnsi="宋体" w:eastAsia="宋体" w:cs="宋体"/>
          <w:color w:val="auto"/>
          <w:sz w:val="24"/>
          <w:szCs w:val="24"/>
          <w:highlight w:val="none"/>
        </w:rPr>
        <w:t>每次按2000元缴纳违约金给发包人，在结算中一并扣除。</w:t>
      </w:r>
    </w:p>
    <w:p w14:paraId="54FC1836">
      <w:pPr>
        <w:pStyle w:val="47"/>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rPr>
        <w:t>15</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color w:val="auto"/>
          <w:sz w:val="24"/>
          <w:szCs w:val="24"/>
          <w:highlight w:val="none"/>
        </w:rPr>
        <w:t>承包人在进场后7天内提交施工进度计划，并注明主要施工节点时间，送监理单位及发包人审核后，作为工期考核的阶段性指标。</w:t>
      </w:r>
    </w:p>
    <w:p w14:paraId="18088F65">
      <w:pPr>
        <w:pStyle w:val="47"/>
        <w:keepNext w:val="0"/>
        <w:keepLines w:val="0"/>
        <w:pageBreakBefore w:val="0"/>
        <w:widowControl/>
        <w:wordWrap w:val="0"/>
        <w:overflowPunct/>
        <w:bidi w:val="0"/>
        <w:adjustRightInd w:val="0"/>
        <w:snapToGrid w:val="0"/>
        <w:spacing w:line="360" w:lineRule="auto"/>
        <w:ind w:firstLine="560"/>
        <w:rPr>
          <w:rFonts w:hint="eastAsia" w:ascii="宋体" w:hAnsi="宋体" w:eastAsia="宋体" w:cs="宋体"/>
          <w:b/>
          <w:bCs/>
          <w:color w:val="auto"/>
          <w:sz w:val="24"/>
          <w:szCs w:val="24"/>
          <w:highlight w:val="none"/>
          <w:lang w:val="en-US" w:eastAsia="zh-CN" w:bidi="ar"/>
        </w:rPr>
      </w:pPr>
      <w:bookmarkStart w:id="162" w:name="_Toc25518"/>
      <w:r>
        <w:rPr>
          <w:rFonts w:hint="eastAsia" w:ascii="宋体" w:hAnsi="宋体" w:eastAsia="宋体" w:cs="宋体"/>
          <w:b/>
          <w:bCs/>
          <w:color w:val="auto"/>
          <w:sz w:val="24"/>
          <w:szCs w:val="24"/>
          <w:highlight w:val="none"/>
          <w:lang w:val="en-US" w:eastAsia="zh-CN" w:bidi="ar"/>
        </w:rPr>
        <w:t xml:space="preserve">15.2 </w:t>
      </w:r>
      <w:r>
        <w:rPr>
          <w:rFonts w:hint="eastAsia" w:ascii="宋体" w:hAnsi="宋体" w:eastAsia="宋体" w:cs="宋体"/>
          <w:b w:val="0"/>
          <w:bCs w:val="0"/>
          <w:color w:val="auto"/>
          <w:sz w:val="24"/>
          <w:szCs w:val="24"/>
          <w:highlight w:val="none"/>
          <w:lang w:val="en-US" w:eastAsia="zh-CN" w:bidi="ar"/>
        </w:rPr>
        <w:t>质量违约</w:t>
      </w:r>
      <w:bookmarkEnd w:id="162"/>
    </w:p>
    <w:p w14:paraId="6B7F14FB">
      <w:pPr>
        <w:keepNext w:val="0"/>
        <w:keepLines w:val="0"/>
        <w:pageBreakBefore w:val="0"/>
        <w:widowControl w:val="0"/>
        <w:kinsoku w:val="0"/>
        <w:wordWrap/>
        <w:overflowPunct/>
        <w:autoSpaceDE w:val="0"/>
        <w:autoSpaceDN w:val="0"/>
        <w:bidi w:val="0"/>
        <w:adjustRightInd w:val="0"/>
        <w:snapToGrid w:val="0"/>
        <w:spacing w:line="360" w:lineRule="auto"/>
        <w:ind w:firstLine="475" w:firstLineChars="19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.2.1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材料违约处理：若发现材料不符合国家标准或发包人在技术规范中规定的标准，视为承包人违约，按现行《建设工程质量管理条例》处理。</w:t>
      </w:r>
    </w:p>
    <w:p w14:paraId="56972C69">
      <w:pPr>
        <w:pStyle w:val="48"/>
        <w:keepNext w:val="0"/>
        <w:keepLines w:val="0"/>
        <w:pageBreakBefore w:val="0"/>
        <w:widowControl w:val="0"/>
        <w:kinsoku w:val="0"/>
        <w:wordWrap/>
        <w:overflowPunct/>
        <w:autoSpaceDE w:val="0"/>
        <w:autoSpaceDN w:val="0"/>
        <w:bidi w:val="0"/>
        <w:adjustRightInd w:val="0"/>
        <w:snapToGrid w:val="0"/>
        <w:spacing w:line="360" w:lineRule="auto"/>
        <w:ind w:firstLine="490"/>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.2.1.1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成品采购项目在采购前，承包人必须先行书面征求监理人、发包人的同意并一起看样定版后方能实施。未经监理人、发包人同意擅自先行采购和实施的，否则因不符合设计要求返工造成的费用由承包人承担。</w:t>
      </w:r>
    </w:p>
    <w:p w14:paraId="17484DB6">
      <w:pPr>
        <w:keepNext w:val="0"/>
        <w:keepLines w:val="0"/>
        <w:pageBreakBefore w:val="0"/>
        <w:widowControl w:val="0"/>
        <w:kinsoku w:val="0"/>
        <w:wordWrap/>
        <w:overflowPunct/>
        <w:autoSpaceDE w:val="0"/>
        <w:autoSpaceDN w:val="0"/>
        <w:bidi w:val="0"/>
        <w:adjustRightInd w:val="0"/>
        <w:snapToGrid w:val="0"/>
        <w:spacing w:line="360" w:lineRule="auto"/>
        <w:ind w:firstLine="475" w:firstLineChars="197"/>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.2.2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工程质量违约：</w:t>
      </w:r>
    </w:p>
    <w:p w14:paraId="24467C7D">
      <w:pPr>
        <w:keepNext w:val="0"/>
        <w:keepLines w:val="0"/>
        <w:pageBreakBefore w:val="0"/>
        <w:widowControl w:val="0"/>
        <w:kinsoku w:val="0"/>
        <w:wordWrap/>
        <w:overflowPunct/>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在施工过程中经监理单位日常巡查或抽检发现未达到合格标准，责令承包人进行整改，如未按规定时间进行整改或整改不到位的，每次按5000元缴纳违约金给发包人，在进度款或结算款中一并扣除。</w:t>
      </w:r>
    </w:p>
    <w:p w14:paraId="7B15B08E">
      <w:pPr>
        <w:keepNext w:val="0"/>
        <w:keepLines w:val="0"/>
        <w:pageBreakBefore w:val="0"/>
        <w:widowControl w:val="0"/>
        <w:kinsoku w:val="0"/>
        <w:wordWrap/>
        <w:overflowPunct/>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.2.2.2</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本工程验收达到国家合格或以上标准</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如未达到合格标准，除无偿返工至合格外，还要按合同价款的1%向招标人支付质量违约金，工期不予顺延。</w:t>
      </w:r>
    </w:p>
    <w:p w14:paraId="08C5CC1D">
      <w:pPr>
        <w:pStyle w:val="47"/>
        <w:wordWrap w:val="0"/>
        <w:adjustRightInd w:val="0"/>
        <w:snapToGrid w:val="0"/>
        <w:spacing w:line="360" w:lineRule="auto"/>
        <w:ind w:firstLine="560"/>
        <w:rPr>
          <w:rFonts w:hint="eastAsia" w:ascii="宋体" w:hAnsi="宋体" w:eastAsia="宋体" w:cs="宋体"/>
          <w:b w:val="0"/>
          <w:bCs w:val="0"/>
          <w:color w:val="auto"/>
          <w:sz w:val="24"/>
          <w:szCs w:val="24"/>
          <w:highlight w:val="none"/>
          <w:lang w:val="en-US" w:eastAsia="zh-CN" w:bidi="ar"/>
        </w:rPr>
      </w:pPr>
      <w:bookmarkStart w:id="163" w:name="_Toc6857"/>
      <w:r>
        <w:rPr>
          <w:rFonts w:hint="eastAsia" w:ascii="宋体" w:hAnsi="宋体" w:eastAsia="宋体" w:cs="宋体"/>
          <w:b/>
          <w:bCs/>
          <w:color w:val="auto"/>
          <w:sz w:val="24"/>
          <w:szCs w:val="24"/>
          <w:highlight w:val="none"/>
          <w:lang w:val="en-US" w:eastAsia="zh-CN" w:bidi="ar"/>
        </w:rPr>
        <w:t xml:space="preserve">15.3 </w:t>
      </w:r>
      <w:r>
        <w:rPr>
          <w:rFonts w:hint="eastAsia" w:ascii="宋体" w:hAnsi="宋体" w:eastAsia="宋体" w:cs="宋体"/>
          <w:b w:val="0"/>
          <w:bCs w:val="0"/>
          <w:color w:val="auto"/>
          <w:sz w:val="24"/>
          <w:szCs w:val="24"/>
          <w:highlight w:val="none"/>
          <w:lang w:val="en-US" w:eastAsia="zh-CN" w:bidi="ar"/>
        </w:rPr>
        <w:t>重大责任事故违约</w:t>
      </w:r>
      <w:bookmarkEnd w:id="163"/>
    </w:p>
    <w:p w14:paraId="764FB7C5">
      <w:pPr>
        <w:spacing w:line="360" w:lineRule="auto"/>
        <w:ind w:firstLine="475" w:firstLineChars="19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.3.1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w:t>
      </w:r>
    </w:p>
    <w:p w14:paraId="2EFE74E0">
      <w:pPr>
        <w:pStyle w:val="47"/>
        <w:wordWrap w:val="0"/>
        <w:adjustRightInd w:val="0"/>
        <w:snapToGrid w:val="0"/>
        <w:spacing w:line="360" w:lineRule="auto"/>
        <w:ind w:firstLine="560"/>
        <w:rPr>
          <w:rFonts w:hint="eastAsia" w:ascii="宋体" w:hAnsi="宋体" w:eastAsia="宋体" w:cs="宋体"/>
          <w:b/>
          <w:bCs/>
          <w:color w:val="auto"/>
          <w:sz w:val="24"/>
          <w:szCs w:val="24"/>
          <w:highlight w:val="none"/>
          <w:lang w:val="en-US" w:eastAsia="zh-CN" w:bidi="ar"/>
        </w:rPr>
      </w:pPr>
      <w:bookmarkStart w:id="164" w:name="_Toc8249"/>
      <w:r>
        <w:rPr>
          <w:rFonts w:hint="eastAsia" w:ascii="宋体" w:hAnsi="宋体" w:eastAsia="宋体" w:cs="宋体"/>
          <w:b/>
          <w:bCs/>
          <w:color w:val="auto"/>
          <w:sz w:val="24"/>
          <w:szCs w:val="24"/>
          <w:highlight w:val="none"/>
          <w:lang w:val="en-US" w:eastAsia="zh-CN" w:bidi="ar"/>
        </w:rPr>
        <w:t xml:space="preserve">15.4 </w:t>
      </w:r>
      <w:r>
        <w:rPr>
          <w:rFonts w:hint="eastAsia" w:ascii="宋体" w:hAnsi="宋体" w:eastAsia="宋体" w:cs="宋体"/>
          <w:b w:val="0"/>
          <w:bCs w:val="0"/>
          <w:color w:val="auto"/>
          <w:sz w:val="24"/>
          <w:szCs w:val="24"/>
          <w:highlight w:val="none"/>
          <w:lang w:val="en-US" w:eastAsia="zh-CN" w:bidi="ar"/>
        </w:rPr>
        <w:t>用工违约</w:t>
      </w:r>
      <w:bookmarkEnd w:id="164"/>
    </w:p>
    <w:p w14:paraId="58A1F9D2">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.4.1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在合同履行期间，如经查实承包人拖欠或克扣农民工或劳务工工资，导致劳资纠纷或发生危及公共安全或正常社会秩序的事件的，按承包人违约处理，按人民币10000元/次从工程进度款中扣除。承包人必须无条件确保民工工资得到及时发放，无拖欠民工工资现象，并采取发包人认为切实可行的措施确保无劳资纠纷事件发生，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违约金在下期进度款中扣除。未在下期进度款扣除或承包人在发包人处已经无款可扣的，起计逾期支付利息。发包人可以在承包人其他任何款项中扣除所垫付的工资和相应的违约金与利息。承包人对提供的资料真实性负责，如发现虚假不实情况，承包人须向发包人支付违约金20000元/次。</w:t>
      </w:r>
    </w:p>
    <w:p w14:paraId="0C611FD0">
      <w:pPr>
        <w:spacing w:line="360" w:lineRule="auto"/>
        <w:ind w:firstLine="475" w:firstLineChars="197"/>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.4.2</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承包人应积极落实有关部门关于用工实名制管理工作的要求，未按规定落实农民工工资专户及实用工实名制要求，经有关部门警告或处罚的，按违约金人民币10000元/次从工程进度款中扣除。</w:t>
      </w:r>
      <w:bookmarkStart w:id="165" w:name="_Toc28116"/>
    </w:p>
    <w:p w14:paraId="1B58E836">
      <w:pPr>
        <w:spacing w:line="360" w:lineRule="auto"/>
        <w:ind w:firstLine="475" w:firstLineChars="197"/>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15.5 </w:t>
      </w:r>
      <w:r>
        <w:rPr>
          <w:rFonts w:hint="eastAsia" w:ascii="宋体" w:hAnsi="宋体" w:eastAsia="宋体" w:cs="宋体"/>
          <w:b w:val="0"/>
          <w:bCs w:val="0"/>
          <w:color w:val="auto"/>
          <w:sz w:val="24"/>
          <w:szCs w:val="24"/>
          <w:highlight w:val="none"/>
          <w:lang w:val="en-US" w:eastAsia="zh-CN" w:bidi="ar"/>
        </w:rPr>
        <w:t>安全文明施工违约</w:t>
      </w:r>
      <w:bookmarkEnd w:id="165"/>
    </w:p>
    <w:p w14:paraId="33660C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.5.1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承包人应严格遵守国家、省、市有关防火、爆破和施工安全以及文明施工、深夜施工、环卫和城市管理等规定，建立规章制度和防护措施，并组织施工。</w:t>
      </w:r>
    </w:p>
    <w:p w14:paraId="246D7C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.5.2</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现场施工人员存在野蛮施工行为，经现场发包人（含监理单位）管理人员确认后，承包人须按10000元/次缴纳违约金；如因野蛮施工行为，引起投诉或网络问政的，承包人须按5000元/次缴纳违约金；并承担因野蛮施工行为所造成的全部责任。</w:t>
      </w:r>
    </w:p>
    <w:p w14:paraId="40A8D1C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.5.3</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承包人必须接受发包人及监理单位组织的安全、文明施工的检查，检查中的不合格项目、安全隐患必须在规定的时间内整改完成，否则每拖延一天处以10000元人民币违约金，直至整改合格。</w:t>
      </w:r>
    </w:p>
    <w:p w14:paraId="0768D791">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.5.4</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承包人施工现场发生工伤或其他责任事故的，承包人按下列标准缴纳违约金：</w:t>
      </w:r>
    </w:p>
    <w:p w14:paraId="5991882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①一次事故或全年累计死亡3人及以上：项目部必须撤换项目经理、主管安全副经理和安全主管，一次或全年累计缴纳违约金100万元人民币；</w:t>
      </w:r>
    </w:p>
    <w:p w14:paraId="55827DB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②一次事故或全年累计死亡2人：安全第一责任人在韶关市地区建设范围内公开检查；承包人必须撤换项目主管安全副经理或安全主管；一次或全年累计缴纳违约金60万元人民币；</w:t>
      </w:r>
    </w:p>
    <w:p w14:paraId="418963B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③全年死亡1人：安全第一责任人在韶关市地区建设范围内公开检查，并报其上级单位；承包人必须撤换项目安全主管；缴纳违约金30万元人民币。</w:t>
      </w:r>
    </w:p>
    <w:p w14:paraId="786E050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④重伤事故、造成10人及以上集体中毒住院、经济损失重大的火灾、设备及交通事故，缴纳违约金30万元人民币。</w:t>
      </w:r>
    </w:p>
    <w:p w14:paraId="49217ECA">
      <w:pPr>
        <w:spacing w:line="360" w:lineRule="auto"/>
        <w:ind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⑤因施工造成的道路交通中断、通讯中断、管线漏水漏气等全部责任事故，由承包人承担责任，并缴纳违约金1万元人民币。</w:t>
      </w:r>
      <w:bookmarkStart w:id="166" w:name="_Toc4275"/>
    </w:p>
    <w:p w14:paraId="79E0FFC2">
      <w:pPr>
        <w:spacing w:line="360" w:lineRule="auto"/>
        <w:ind w:firstLine="475" w:firstLineChars="197"/>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15.6 </w:t>
      </w:r>
      <w:r>
        <w:rPr>
          <w:rFonts w:hint="eastAsia" w:ascii="宋体" w:hAnsi="宋体" w:eastAsia="宋体" w:cs="宋体"/>
          <w:b w:val="0"/>
          <w:bCs w:val="0"/>
          <w:color w:val="auto"/>
          <w:sz w:val="24"/>
          <w:szCs w:val="24"/>
          <w:highlight w:val="none"/>
          <w:lang w:val="en-US" w:eastAsia="zh-CN" w:bidi="ar"/>
        </w:rPr>
        <w:t>其他违约</w:t>
      </w:r>
      <w:bookmarkEnd w:id="166"/>
    </w:p>
    <w:p w14:paraId="10FEAABD">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.6.1</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安排在施工场地的主要管理人员（主要指项目经理、项目技术负责人和专职安全生产管理人员）应与承包人投标文件承诺的名单一致，并保持相对稳定。未经总监理工程师批准，上述人员不应无故不到位或被替换。如果擅自更换项目负责人或项目技术负责人，承包人每更换一人次，需支付20000元违约金给发包人，如果擅自更换主要施工管理人员，每更换一人次，承包人需支付10000元违约金给发包人。若确实无法到位或需替换，需经总监理工程师审核并报发包人批准后，承包人可安排同等资历的人员替换；考勤采用人脸识别打卡每月累计不到位次数超过10天，按5000元/人/天缴纳违约金给发包人；在日常检查及相关会议中主要管理人员不到岗，按违约金人民币1000元/人/次从工程进度款中扣除。</w:t>
      </w:r>
    </w:p>
    <w:p w14:paraId="6B24E882">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.6.2</w:t>
      </w:r>
      <w:r>
        <w:rPr>
          <w:rFonts w:hint="eastAsia" w:ascii="宋体" w:hAnsi="宋体" w:eastAsia="宋体" w:cs="宋体"/>
          <w:bCs/>
          <w:color w:val="auto"/>
          <w:sz w:val="24"/>
          <w:szCs w:val="24"/>
          <w:highlight w:val="none"/>
        </w:rPr>
        <w:t xml:space="preserve"> 承包人施工资料必须与形象进度同步，如发包人在日常检查中发现不同步的现象的，视为违约并按违约金人民币1000元/次从工程进度款中扣除。</w:t>
      </w:r>
    </w:p>
    <w:p w14:paraId="3E6ABC2C">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.6.3</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发包人要求承包人替换项目部中不称职人员或能力有异议，而承包人不予替换，视为承包人违约，承包人须按承包人项目部主要管理人员（主要指项目经理、项目技术负责人和专职安全生产管理人员）20000元/人次缴纳违约金给发包人。</w:t>
      </w:r>
    </w:p>
    <w:p w14:paraId="7C53C8DA">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.6.4</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发包人对上述约定中的规定并不免除承包人接受国家、地方政府相关部门依法对承包人的处罚。</w:t>
      </w:r>
    </w:p>
    <w:p w14:paraId="54CE9F80">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.6.5</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承包人没有正当合理的理由中途退场，可扣除承包人已递交的所有履约保证金作为违约金。</w:t>
      </w:r>
    </w:p>
    <w:p w14:paraId="19C856F7">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.6.6</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有下列情况之一的，承包人在一年内不得参与发包人的任何工程任务，并勒令从现施工的工地退场，同时按违约金人民币50000元从工程进度款中扣除：</w:t>
      </w:r>
    </w:p>
    <w:p w14:paraId="560DD9D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A、路面沉降、开裂超过规范要求并造成不良社会影响的；</w:t>
      </w:r>
    </w:p>
    <w:p w14:paraId="3F916BE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B、发生重大责任安全事故的；</w:t>
      </w:r>
    </w:p>
    <w:p w14:paraId="4789184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C、不能在合同规定的期限内竣工的；</w:t>
      </w:r>
    </w:p>
    <w:p w14:paraId="6FE3058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D、承包人所承担的施工任务在施工期间，由于工程质量或工程进度原因，监理单位发出10个以上﹙含10个﹚停工令的；</w:t>
      </w:r>
    </w:p>
    <w:p w14:paraId="146C551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E、质量监督部门在抽检时发出5个以上（含5个）由于工程质量原因通报的；</w:t>
      </w:r>
    </w:p>
    <w:p w14:paraId="09BD63E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F、业主组织的质量大检查发现由于工程质量原因而通报二次以上（含二次）的；</w:t>
      </w:r>
    </w:p>
    <w:p w14:paraId="435E5848">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.6.7</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必须严格塔吊、起重机等机械设备及货梯、提升机等机电设备的安装、拆卸和使用运行管理。必须落实持证上岗、专人操作、专人检查，严格落实每天操作前和操作后的检查，检查发现未落实相关措施和规定的，按违约金人民币2000元/次从工程进度款中扣除。</w:t>
      </w:r>
    </w:p>
    <w:p w14:paraId="588B6E75">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.6.8</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承包人应加强生活用电管理，检查发现私拉乱接电线的，承包人须按人民币500元/次缴纳违约金给发包人。</w:t>
      </w:r>
    </w:p>
    <w:p w14:paraId="250191F5">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.6.9</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承包人应加强建设范围内因雨季造成临时积水部位的管理，防止发生淹亡、溺亡事故，若因措施不严造成的后果全部由承包人承担。</w:t>
      </w:r>
    </w:p>
    <w:p w14:paraId="18713615">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rPr>
        <w:t>.6.10</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rPr>
        <w:t>国家发生疫情或其他重大风险期间，承包人不执行有关部门关于特殊时期管控规定、不落实相关措施的，承包人须按人民币1000元/人/次缴纳违约金给发包人。</w:t>
      </w:r>
    </w:p>
    <w:p w14:paraId="3E69F5D2">
      <w:pPr>
        <w:spacing w:line="360" w:lineRule="auto"/>
        <w:ind w:firstLine="352" w:firstLineChars="14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承包人因上述违约行为而须缴纳的违约金在工程进度款中或结算时一并扣除。</w:t>
      </w:r>
    </w:p>
    <w:p w14:paraId="6F8EE97B">
      <w:pPr>
        <w:pStyle w:val="7"/>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15</w:t>
      </w:r>
      <w:r>
        <w:rPr>
          <w:rFonts w:hint="eastAsia" w:ascii="宋体" w:hAnsi="宋体" w:eastAsia="宋体" w:cs="宋体"/>
          <w:b/>
          <w:bCs w:val="0"/>
          <w:color w:val="auto"/>
          <w:sz w:val="24"/>
          <w:szCs w:val="24"/>
          <w:highlight w:val="none"/>
          <w:lang w:eastAsia="zh-CN"/>
        </w:rPr>
        <w:t>.7</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专业工程发包：</w:t>
      </w:r>
      <w:r>
        <w:rPr>
          <w:rFonts w:hint="eastAsia" w:ascii="宋体" w:hAnsi="宋体" w:eastAsia="宋体" w:cs="宋体"/>
          <w:bCs/>
          <w:color w:val="auto"/>
          <w:sz w:val="24"/>
          <w:szCs w:val="24"/>
          <w:highlight w:val="none"/>
        </w:rPr>
        <w:t>合同范围内的工程未经发包人同意一律不得发包，一经发现，取消承包人的承包资格，由此引起的一切经济损失和法律责任由承包人自行承担。若有专业工程必须发包的，发包人不另行支付总包服务费；其发包合同由承包人与对方签订，发包人不参与承包人与对方之间的结算，该部分工程的造价仍按承包人与发包人签订的合同的有关条款进行结算。注：本项目包含电力部分及电力附属部分内容，应由执有电力相关专业资质的单位承接，若达到必须招标规模标准的，由中标人招标，招标人参与管理，确定电力专业工程承包人和合同价格。</w:t>
      </w:r>
      <w:bookmarkStart w:id="167" w:name="_Toc21685"/>
    </w:p>
    <w:p w14:paraId="3B9D079D">
      <w:pPr>
        <w:pStyle w:val="7"/>
        <w:spacing w:line="360" w:lineRule="auto"/>
        <w:ind w:firstLine="482" w:firstLineChars="200"/>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 xml:space="preserve">15.8  </w:t>
      </w:r>
      <w:r>
        <w:rPr>
          <w:rFonts w:hint="eastAsia" w:ascii="宋体" w:hAnsi="宋体" w:eastAsia="宋体" w:cs="宋体"/>
          <w:b w:val="0"/>
          <w:bCs w:val="0"/>
          <w:color w:val="auto"/>
          <w:sz w:val="24"/>
          <w:szCs w:val="24"/>
          <w:highlight w:val="none"/>
          <w:lang w:val="en-US" w:eastAsia="zh-CN" w:bidi="ar"/>
        </w:rPr>
        <w:t>质量保证</w:t>
      </w:r>
      <w:bookmarkEnd w:id="167"/>
    </w:p>
    <w:p w14:paraId="765942FF">
      <w:pPr>
        <w:wordWrap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eastAsia="zh-CN"/>
        </w:rPr>
        <w:t>.8.1</w:t>
      </w:r>
      <w:r>
        <w:rPr>
          <w:rFonts w:hint="eastAsia" w:ascii="宋体" w:hAnsi="宋体" w:eastAsia="宋体" w:cs="宋体"/>
          <w:color w:val="auto"/>
          <w:sz w:val="24"/>
          <w:szCs w:val="24"/>
          <w:highlight w:val="none"/>
          <w:lang w:eastAsia="zh-CN"/>
        </w:rPr>
        <w:t xml:space="preserve"> 本招标项目缺陷责任期为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年（自通过竣工验收之日起计），在此期间预留金额为结算价</w:t>
      </w:r>
      <w:r>
        <w:rPr>
          <w:rFonts w:hint="eastAsia" w:ascii="宋体" w:hAnsi="宋体" w:eastAsia="宋体" w:cs="宋体"/>
          <w:color w:val="auto"/>
          <w:sz w:val="24"/>
          <w:szCs w:val="24"/>
          <w:highlight w:val="none"/>
          <w:u w:val="single"/>
          <w:lang w:eastAsia="zh-CN"/>
        </w:rPr>
        <w:t xml:space="preserve"> 3%</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的质量保证。</w:t>
      </w:r>
    </w:p>
    <w:p w14:paraId="47B21957">
      <w:pPr>
        <w:wordWrap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eastAsia="zh-CN"/>
        </w:rPr>
        <w:t>.8.2</w:t>
      </w:r>
      <w:r>
        <w:rPr>
          <w:rFonts w:hint="eastAsia" w:ascii="宋体" w:hAnsi="宋体" w:eastAsia="宋体" w:cs="宋体"/>
          <w:color w:val="auto"/>
          <w:sz w:val="24"/>
          <w:szCs w:val="24"/>
          <w:highlight w:val="none"/>
          <w:lang w:eastAsia="zh-CN"/>
        </w:rPr>
        <w:t xml:space="preserve"> 质量保证的形式包括质量保证金、质量保证担保、质量保证保险三种，由承包人自主选择。（1）采用质量保证金形式的，在结清审定总造价时一次性扣留相应金额作为质量保证金。（2）采用质量保证担保或质量保证保险的，承包人应在竣工验收时向发包人提交有效的商业保函、银行保函或保险合同（或保险单）原件，商业保函、银行保函或保险合同（或保险单）的有效期不得短于缺陷责任期。</w:t>
      </w:r>
    </w:p>
    <w:p w14:paraId="174C7587">
      <w:pPr>
        <w:wordWrap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eastAsia="zh-CN"/>
        </w:rPr>
        <w:t xml:space="preserve">.8.3 </w:t>
      </w:r>
      <w:r>
        <w:rPr>
          <w:rFonts w:hint="eastAsia" w:ascii="宋体" w:hAnsi="宋体" w:eastAsia="宋体" w:cs="宋体"/>
          <w:color w:val="auto"/>
          <w:sz w:val="24"/>
          <w:szCs w:val="24"/>
          <w:highlight w:val="none"/>
          <w:lang w:eastAsia="zh-CN"/>
        </w:rPr>
        <w:t>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由他人原因造成的缺陷，发包人负责组织维修，承包人不承担费用，且发包人不得从质量保证中扣除费用。</w:t>
      </w:r>
    </w:p>
    <w:p w14:paraId="4BB7767A">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eastAsia="zh-CN"/>
        </w:rPr>
        <w:t xml:space="preserve">.8.4 </w:t>
      </w:r>
      <w:r>
        <w:rPr>
          <w:rFonts w:hint="eastAsia" w:ascii="宋体" w:hAnsi="宋体" w:eastAsia="宋体" w:cs="宋体"/>
          <w:color w:val="auto"/>
          <w:sz w:val="24"/>
          <w:szCs w:val="24"/>
          <w:highlight w:val="none"/>
          <w:lang w:eastAsia="zh-CN"/>
        </w:rPr>
        <w:t>缺陷责任期内，承包人应认真履行合同约定的责任。缺陷责任期到期后，承包人向发包人申请退还质量保证，发包人应按照《建设工程质量保证金管理办法》有关规定将质量保证退还给承包人。</w:t>
      </w:r>
    </w:p>
    <w:p w14:paraId="5A3FC830">
      <w:pPr>
        <w:spacing w:before="78" w:line="324" w:lineRule="auto"/>
        <w:ind w:firstLine="480"/>
        <w:rPr>
          <w:rFonts w:hint="default" w:ascii="宋体" w:hAnsi="宋体" w:eastAsia="宋体" w:cs="宋体"/>
          <w:b/>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二、合同文件格式</w:t>
      </w:r>
    </w:p>
    <w:p w14:paraId="602E6334">
      <w:pPr>
        <w:pStyle w:val="3"/>
        <w:bidi w:val="0"/>
        <w:ind w:left="0" w:leftChars="0" w:firstLine="0" w:firstLineChars="0"/>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1EA779F2">
      <w:pPr>
        <w:pStyle w:val="3"/>
        <w:bidi w:val="0"/>
        <w:ind w:left="0" w:leftChars="0" w:firstLine="0" w:firstLineChars="0"/>
        <w:jc w:val="center"/>
        <w:rPr>
          <w:rFonts w:hint="eastAsia" w:ascii="宋体" w:hAnsi="宋体" w:eastAsia="宋体" w:cs="宋体"/>
          <w:color w:val="auto"/>
          <w:spacing w:val="-1"/>
          <w:sz w:val="24"/>
          <w:szCs w:val="24"/>
          <w:highlight w:val="none"/>
        </w:rPr>
      </w:pPr>
    </w:p>
    <w:p w14:paraId="588A2FEA">
      <w:pPr>
        <w:pStyle w:val="3"/>
        <w:bidi w:val="0"/>
        <w:ind w:left="0" w:leftChars="0" w:firstLine="0" w:firstLineChars="0"/>
        <w:jc w:val="center"/>
        <w:rPr>
          <w:rFonts w:hint="eastAsia" w:ascii="宋体" w:hAnsi="宋体" w:eastAsia="宋体" w:cs="宋体"/>
          <w:color w:val="auto"/>
          <w:spacing w:val="-1"/>
          <w:sz w:val="24"/>
          <w:szCs w:val="24"/>
          <w:highlight w:val="none"/>
        </w:rPr>
      </w:pPr>
    </w:p>
    <w:p w14:paraId="52F10329">
      <w:pPr>
        <w:pStyle w:val="3"/>
        <w:bidi w:val="0"/>
        <w:ind w:left="0" w:leftChars="0" w:firstLine="0" w:firstLineChars="0"/>
        <w:jc w:val="center"/>
        <w:rPr>
          <w:rFonts w:hint="eastAsia" w:ascii="宋体" w:hAnsi="宋体" w:eastAsia="宋体" w:cs="宋体"/>
          <w:color w:val="auto"/>
          <w:spacing w:val="-1"/>
          <w:sz w:val="24"/>
          <w:szCs w:val="24"/>
          <w:highlight w:val="none"/>
        </w:rPr>
      </w:pPr>
    </w:p>
    <w:p w14:paraId="1029378A">
      <w:pPr>
        <w:pStyle w:val="2"/>
        <w:rPr>
          <w:rFonts w:hint="eastAsia" w:ascii="宋体" w:hAnsi="宋体" w:eastAsia="宋体" w:cs="宋体"/>
          <w:color w:val="auto"/>
          <w:spacing w:val="-1"/>
          <w:sz w:val="24"/>
          <w:szCs w:val="24"/>
          <w:highlight w:val="none"/>
        </w:rPr>
      </w:pPr>
    </w:p>
    <w:p w14:paraId="4DBC5A70">
      <w:pPr>
        <w:rPr>
          <w:rFonts w:hint="eastAsia" w:ascii="宋体" w:hAnsi="宋体" w:eastAsia="宋体" w:cs="宋体"/>
          <w:color w:val="auto"/>
          <w:spacing w:val="-1"/>
          <w:sz w:val="24"/>
          <w:szCs w:val="24"/>
          <w:highlight w:val="none"/>
        </w:rPr>
      </w:pPr>
    </w:p>
    <w:p w14:paraId="29695008">
      <w:pPr>
        <w:pStyle w:val="2"/>
        <w:rPr>
          <w:rFonts w:hint="eastAsia" w:ascii="宋体" w:hAnsi="宋体" w:eastAsia="宋体" w:cs="宋体"/>
          <w:color w:val="auto"/>
          <w:spacing w:val="-1"/>
          <w:sz w:val="24"/>
          <w:szCs w:val="24"/>
          <w:highlight w:val="none"/>
        </w:rPr>
      </w:pPr>
    </w:p>
    <w:p w14:paraId="08CEEF01">
      <w:pPr>
        <w:rPr>
          <w:rFonts w:hint="eastAsia" w:ascii="宋体" w:hAnsi="宋体" w:eastAsia="宋体" w:cs="宋体"/>
          <w:color w:val="auto"/>
          <w:spacing w:val="-1"/>
          <w:sz w:val="24"/>
          <w:szCs w:val="24"/>
          <w:highlight w:val="none"/>
        </w:rPr>
      </w:pPr>
    </w:p>
    <w:p w14:paraId="6E843933">
      <w:pPr>
        <w:pStyle w:val="2"/>
        <w:rPr>
          <w:rFonts w:hint="eastAsia" w:ascii="宋体" w:hAnsi="宋体" w:eastAsia="宋体" w:cs="宋体"/>
          <w:color w:val="auto"/>
          <w:spacing w:val="-1"/>
          <w:sz w:val="24"/>
          <w:szCs w:val="24"/>
          <w:highlight w:val="none"/>
        </w:rPr>
      </w:pPr>
    </w:p>
    <w:p w14:paraId="012569E4">
      <w:pPr>
        <w:rPr>
          <w:rFonts w:hint="eastAsia" w:ascii="宋体" w:hAnsi="宋体" w:eastAsia="宋体" w:cs="宋体"/>
          <w:color w:val="auto"/>
          <w:spacing w:val="-1"/>
          <w:sz w:val="24"/>
          <w:szCs w:val="24"/>
          <w:highlight w:val="none"/>
        </w:rPr>
      </w:pPr>
    </w:p>
    <w:p w14:paraId="12829284">
      <w:pPr>
        <w:pStyle w:val="2"/>
        <w:rPr>
          <w:rFonts w:hint="eastAsia"/>
          <w:color w:val="auto"/>
        </w:rPr>
      </w:pPr>
    </w:p>
    <w:p w14:paraId="30B19D74">
      <w:pPr>
        <w:rPr>
          <w:rFonts w:hint="eastAsia" w:ascii="宋体" w:hAnsi="宋体" w:eastAsia="宋体" w:cs="宋体"/>
          <w:color w:val="auto"/>
          <w:spacing w:val="-1"/>
          <w:sz w:val="24"/>
          <w:szCs w:val="24"/>
          <w:highlight w:val="none"/>
        </w:rPr>
      </w:pPr>
    </w:p>
    <w:p w14:paraId="24659460">
      <w:pPr>
        <w:rPr>
          <w:rFonts w:hint="eastAsia"/>
          <w:color w:val="auto"/>
        </w:rPr>
      </w:pPr>
    </w:p>
    <w:p w14:paraId="6878AF7A">
      <w:pPr>
        <w:rPr>
          <w:rFonts w:hint="eastAsia"/>
          <w:color w:val="auto"/>
        </w:rPr>
      </w:pPr>
    </w:p>
    <w:p w14:paraId="4D121543">
      <w:pPr>
        <w:pStyle w:val="3"/>
        <w:bidi w:val="0"/>
        <w:ind w:left="0" w:leftChars="0" w:firstLine="0" w:firstLineChars="0"/>
        <w:jc w:val="center"/>
        <w:rPr>
          <w:rFonts w:hint="eastAsia" w:ascii="宋体" w:hAnsi="宋体" w:eastAsia="宋体" w:cs="宋体"/>
          <w:color w:val="auto"/>
        </w:rPr>
      </w:pPr>
      <w:r>
        <w:rPr>
          <w:rFonts w:hint="eastAsia" w:ascii="宋体" w:hAnsi="宋体" w:eastAsia="宋体" w:cs="宋体"/>
          <w:color w:val="auto"/>
        </w:rPr>
        <w:t>第六章</w:t>
      </w:r>
      <w:r>
        <w:rPr>
          <w:rFonts w:hint="eastAsia" w:cs="宋体"/>
          <w:color w:val="auto"/>
          <w:lang w:val="en-US" w:eastAsia="zh-CN"/>
        </w:rPr>
        <w:t xml:space="preserve">   </w:t>
      </w:r>
      <w:r>
        <w:rPr>
          <w:rFonts w:hint="eastAsia" w:ascii="宋体" w:hAnsi="宋体" w:eastAsia="宋体" w:cs="宋体"/>
          <w:color w:val="auto"/>
        </w:rPr>
        <w:t>施工图纸</w:t>
      </w:r>
      <w:bookmarkEnd w:id="119"/>
    </w:p>
    <w:p w14:paraId="7275AB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1293BA7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（与项目招标文件同时发布）</w:t>
      </w:r>
    </w:p>
    <w:p w14:paraId="2DBA1BC0">
      <w:pPr>
        <w:rPr>
          <w:rFonts w:hint="eastAsia" w:ascii="宋体" w:hAnsi="宋体" w:eastAsia="宋体" w:cs="宋体"/>
          <w:color w:val="auto"/>
          <w:lang w:eastAsia="zh-CN"/>
        </w:rPr>
      </w:pPr>
    </w:p>
    <w:p w14:paraId="611E25AA">
      <w:pPr>
        <w:rPr>
          <w:rFonts w:hint="eastAsia" w:ascii="宋体" w:hAnsi="宋体" w:eastAsia="宋体" w:cs="宋体"/>
          <w:color w:val="auto"/>
          <w:lang w:eastAsia="zh-CN"/>
        </w:rPr>
      </w:pPr>
    </w:p>
    <w:p w14:paraId="716A20FB">
      <w:pPr>
        <w:rPr>
          <w:rFonts w:hint="eastAsia" w:ascii="宋体" w:hAnsi="宋体" w:eastAsia="宋体" w:cs="宋体"/>
          <w:color w:val="auto"/>
          <w:lang w:eastAsia="zh-CN"/>
        </w:rPr>
      </w:pPr>
    </w:p>
    <w:p w14:paraId="15CDBE97">
      <w:pPr>
        <w:rPr>
          <w:rFonts w:hint="eastAsia" w:ascii="宋体" w:hAnsi="宋体" w:eastAsia="宋体" w:cs="宋体"/>
          <w:color w:val="auto"/>
          <w:lang w:eastAsia="zh-CN"/>
        </w:rPr>
      </w:pPr>
    </w:p>
    <w:p w14:paraId="5FD4B268">
      <w:pPr>
        <w:rPr>
          <w:rFonts w:hint="eastAsia" w:ascii="宋体" w:hAnsi="宋体" w:eastAsia="宋体" w:cs="宋体"/>
          <w:color w:val="auto"/>
          <w:lang w:eastAsia="zh-CN"/>
        </w:rPr>
      </w:pPr>
    </w:p>
    <w:p w14:paraId="1E8F2B9F">
      <w:pPr>
        <w:rPr>
          <w:rFonts w:hint="eastAsia" w:ascii="宋体" w:hAnsi="宋体" w:eastAsia="宋体" w:cs="宋体"/>
          <w:color w:val="auto"/>
          <w:lang w:eastAsia="zh-CN"/>
        </w:rPr>
      </w:pPr>
    </w:p>
    <w:p w14:paraId="15D4D5BC">
      <w:pPr>
        <w:rPr>
          <w:rFonts w:hint="eastAsia" w:ascii="宋体" w:hAnsi="宋体" w:eastAsia="宋体" w:cs="宋体"/>
          <w:color w:val="auto"/>
          <w:lang w:eastAsia="zh-CN"/>
        </w:rPr>
      </w:pPr>
    </w:p>
    <w:p w14:paraId="0383EA43">
      <w:pPr>
        <w:rPr>
          <w:rFonts w:hint="eastAsia" w:ascii="宋体" w:hAnsi="宋体" w:eastAsia="宋体" w:cs="宋体"/>
          <w:color w:val="auto"/>
          <w:lang w:eastAsia="zh-CN"/>
        </w:rPr>
      </w:pPr>
    </w:p>
    <w:p w14:paraId="160AF593">
      <w:pPr>
        <w:rPr>
          <w:rFonts w:hint="eastAsia" w:ascii="宋体" w:hAnsi="宋体" w:eastAsia="宋体" w:cs="宋体"/>
          <w:color w:val="auto"/>
          <w:lang w:eastAsia="zh-CN"/>
        </w:rPr>
      </w:pPr>
    </w:p>
    <w:p w14:paraId="1AFF3C70">
      <w:pPr>
        <w:rPr>
          <w:rFonts w:hint="eastAsia" w:ascii="宋体" w:hAnsi="宋体" w:eastAsia="宋体" w:cs="宋体"/>
          <w:color w:val="auto"/>
          <w:lang w:eastAsia="zh-CN"/>
        </w:rPr>
      </w:pPr>
    </w:p>
    <w:p w14:paraId="564F0E58">
      <w:pPr>
        <w:rPr>
          <w:rFonts w:hint="eastAsia" w:ascii="宋体" w:hAnsi="宋体" w:eastAsia="宋体" w:cs="宋体"/>
          <w:color w:val="auto"/>
          <w:lang w:eastAsia="zh-CN"/>
        </w:rPr>
      </w:pPr>
    </w:p>
    <w:p w14:paraId="2B4031B5">
      <w:pPr>
        <w:rPr>
          <w:rFonts w:hint="eastAsia" w:ascii="宋体" w:hAnsi="宋体" w:eastAsia="宋体" w:cs="宋体"/>
          <w:color w:val="auto"/>
          <w:lang w:eastAsia="zh-CN"/>
        </w:rPr>
      </w:pPr>
    </w:p>
    <w:p w14:paraId="3AAED797">
      <w:pPr>
        <w:rPr>
          <w:rFonts w:hint="eastAsia" w:ascii="宋体" w:hAnsi="宋体" w:eastAsia="宋体" w:cs="宋体"/>
          <w:color w:val="auto"/>
          <w:lang w:eastAsia="zh-CN"/>
        </w:rPr>
      </w:pPr>
    </w:p>
    <w:p w14:paraId="541A237C">
      <w:pPr>
        <w:rPr>
          <w:rFonts w:hint="eastAsia" w:ascii="宋体" w:hAnsi="宋体" w:eastAsia="宋体" w:cs="宋体"/>
          <w:color w:val="auto"/>
          <w:lang w:eastAsia="zh-CN"/>
        </w:rPr>
      </w:pPr>
    </w:p>
    <w:p w14:paraId="2876CABF">
      <w:pPr>
        <w:rPr>
          <w:rFonts w:hint="eastAsia" w:ascii="宋体" w:hAnsi="宋体" w:eastAsia="宋体" w:cs="宋体"/>
          <w:color w:val="auto"/>
          <w:lang w:eastAsia="zh-CN"/>
        </w:rPr>
      </w:pPr>
    </w:p>
    <w:p w14:paraId="03517376">
      <w:pPr>
        <w:rPr>
          <w:rFonts w:hint="eastAsia" w:ascii="宋体" w:hAnsi="宋体" w:eastAsia="宋体" w:cs="宋体"/>
          <w:color w:val="auto"/>
          <w:lang w:eastAsia="zh-CN"/>
        </w:rPr>
      </w:pPr>
    </w:p>
    <w:p w14:paraId="5BB6EB66">
      <w:pPr>
        <w:rPr>
          <w:rFonts w:hint="eastAsia" w:ascii="宋体" w:hAnsi="宋体" w:eastAsia="宋体" w:cs="宋体"/>
          <w:color w:val="auto"/>
          <w:lang w:eastAsia="zh-CN"/>
        </w:rPr>
      </w:pPr>
    </w:p>
    <w:p w14:paraId="5005EA5E">
      <w:pPr>
        <w:rPr>
          <w:rFonts w:hint="eastAsia" w:ascii="宋体" w:hAnsi="宋体" w:eastAsia="宋体" w:cs="宋体"/>
          <w:color w:val="auto"/>
          <w:lang w:eastAsia="zh-CN"/>
        </w:rPr>
      </w:pPr>
    </w:p>
    <w:p w14:paraId="33170B02">
      <w:pPr>
        <w:rPr>
          <w:rFonts w:hint="eastAsia" w:ascii="宋体" w:hAnsi="宋体" w:eastAsia="宋体" w:cs="宋体"/>
          <w:color w:val="auto"/>
          <w:lang w:eastAsia="zh-CN"/>
        </w:rPr>
      </w:pPr>
    </w:p>
    <w:p w14:paraId="3C691C93">
      <w:pPr>
        <w:rPr>
          <w:rFonts w:hint="eastAsia" w:ascii="宋体" w:hAnsi="宋体" w:eastAsia="宋体" w:cs="宋体"/>
          <w:color w:val="auto"/>
          <w:lang w:eastAsia="zh-CN"/>
        </w:rPr>
      </w:pPr>
    </w:p>
    <w:p w14:paraId="5D9AD963">
      <w:pPr>
        <w:rPr>
          <w:rFonts w:hint="eastAsia" w:ascii="宋体" w:hAnsi="宋体" w:eastAsia="宋体" w:cs="宋体"/>
          <w:color w:val="auto"/>
          <w:lang w:eastAsia="zh-CN"/>
        </w:rPr>
      </w:pPr>
    </w:p>
    <w:p w14:paraId="3FC2FD9B">
      <w:pPr>
        <w:rPr>
          <w:rFonts w:hint="eastAsia" w:ascii="宋体" w:hAnsi="宋体" w:eastAsia="宋体" w:cs="宋体"/>
          <w:color w:val="auto"/>
          <w:lang w:eastAsia="zh-CN"/>
        </w:rPr>
      </w:pPr>
    </w:p>
    <w:p w14:paraId="22EFD51C">
      <w:pPr>
        <w:rPr>
          <w:rFonts w:hint="eastAsia" w:ascii="宋体" w:hAnsi="宋体" w:eastAsia="宋体" w:cs="宋体"/>
          <w:color w:val="auto"/>
          <w:lang w:eastAsia="zh-CN"/>
        </w:rPr>
      </w:pPr>
    </w:p>
    <w:p w14:paraId="16D72AD0">
      <w:pPr>
        <w:rPr>
          <w:rFonts w:hint="eastAsia" w:ascii="宋体" w:hAnsi="宋体" w:eastAsia="宋体" w:cs="宋体"/>
          <w:color w:val="auto"/>
          <w:lang w:eastAsia="zh-CN"/>
        </w:rPr>
      </w:pPr>
    </w:p>
    <w:p w14:paraId="626F0F25">
      <w:pPr>
        <w:rPr>
          <w:rFonts w:hint="eastAsia" w:ascii="宋体" w:hAnsi="宋体" w:eastAsia="宋体" w:cs="宋体"/>
          <w:color w:val="auto"/>
          <w:lang w:eastAsia="zh-CN"/>
        </w:rPr>
      </w:pPr>
    </w:p>
    <w:p w14:paraId="62C77D3B">
      <w:pPr>
        <w:rPr>
          <w:rFonts w:hint="eastAsia" w:ascii="宋体" w:hAnsi="宋体" w:eastAsia="宋体" w:cs="宋体"/>
          <w:color w:val="auto"/>
          <w:lang w:eastAsia="zh-CN"/>
        </w:rPr>
      </w:pPr>
    </w:p>
    <w:p w14:paraId="666A445B">
      <w:pPr>
        <w:rPr>
          <w:rFonts w:hint="eastAsia" w:ascii="宋体" w:hAnsi="宋体" w:eastAsia="宋体" w:cs="宋体"/>
          <w:color w:val="auto"/>
          <w:lang w:eastAsia="zh-CN"/>
        </w:rPr>
      </w:pPr>
    </w:p>
    <w:p w14:paraId="5FD8A42F">
      <w:pPr>
        <w:rPr>
          <w:rFonts w:hint="eastAsia" w:ascii="宋体" w:hAnsi="宋体" w:eastAsia="宋体" w:cs="宋体"/>
          <w:color w:val="auto"/>
          <w:lang w:eastAsia="zh-CN"/>
        </w:rPr>
      </w:pPr>
    </w:p>
    <w:p w14:paraId="29FC328D">
      <w:pPr>
        <w:rPr>
          <w:rFonts w:hint="eastAsia" w:ascii="宋体" w:hAnsi="宋体" w:eastAsia="宋体" w:cs="宋体"/>
          <w:color w:val="auto"/>
          <w:lang w:eastAsia="zh-CN"/>
        </w:rPr>
      </w:pPr>
    </w:p>
    <w:p w14:paraId="65795A6F">
      <w:pPr>
        <w:rPr>
          <w:rFonts w:hint="eastAsia" w:ascii="宋体" w:hAnsi="宋体" w:eastAsia="宋体" w:cs="宋体"/>
          <w:color w:val="auto"/>
          <w:lang w:eastAsia="zh-CN"/>
        </w:rPr>
      </w:pPr>
    </w:p>
    <w:p w14:paraId="64A908FF">
      <w:pPr>
        <w:rPr>
          <w:rFonts w:hint="eastAsia" w:ascii="宋体" w:hAnsi="宋体" w:eastAsia="宋体" w:cs="宋体"/>
          <w:color w:val="auto"/>
          <w:lang w:eastAsia="zh-CN"/>
        </w:rPr>
      </w:pPr>
    </w:p>
    <w:p w14:paraId="7984A271">
      <w:pPr>
        <w:rPr>
          <w:rFonts w:hint="eastAsia" w:ascii="宋体" w:hAnsi="宋体" w:eastAsia="宋体" w:cs="宋体"/>
          <w:color w:val="auto"/>
          <w:lang w:eastAsia="zh-CN"/>
        </w:rPr>
      </w:pPr>
    </w:p>
    <w:p w14:paraId="70F1E11F">
      <w:pPr>
        <w:rPr>
          <w:rFonts w:hint="eastAsia" w:ascii="宋体" w:hAnsi="宋体" w:eastAsia="宋体" w:cs="宋体"/>
          <w:color w:val="auto"/>
          <w:lang w:eastAsia="zh-CN"/>
        </w:rPr>
      </w:pPr>
    </w:p>
    <w:p w14:paraId="423AC159">
      <w:pPr>
        <w:rPr>
          <w:rFonts w:hint="eastAsia" w:ascii="宋体" w:hAnsi="宋体" w:eastAsia="宋体" w:cs="宋体"/>
          <w:color w:val="auto"/>
          <w:lang w:eastAsia="zh-CN"/>
        </w:rPr>
      </w:pPr>
    </w:p>
    <w:p w14:paraId="4ADA2447">
      <w:pPr>
        <w:rPr>
          <w:rFonts w:hint="eastAsia" w:ascii="宋体" w:hAnsi="宋体" w:eastAsia="宋体" w:cs="宋体"/>
          <w:color w:val="auto"/>
          <w:lang w:eastAsia="zh-CN"/>
        </w:rPr>
      </w:pPr>
    </w:p>
    <w:p w14:paraId="699F1421">
      <w:pPr>
        <w:rPr>
          <w:rFonts w:hint="eastAsia" w:ascii="宋体" w:hAnsi="宋体" w:eastAsia="宋体" w:cs="宋体"/>
          <w:color w:val="auto"/>
          <w:lang w:eastAsia="zh-CN"/>
        </w:rPr>
      </w:pPr>
    </w:p>
    <w:p w14:paraId="1E0FF59B">
      <w:pPr>
        <w:rPr>
          <w:rFonts w:hint="eastAsia" w:ascii="宋体" w:hAnsi="宋体" w:eastAsia="宋体" w:cs="宋体"/>
          <w:color w:val="auto"/>
          <w:lang w:eastAsia="zh-CN"/>
        </w:rPr>
      </w:pPr>
    </w:p>
    <w:p w14:paraId="37C18651">
      <w:pPr>
        <w:rPr>
          <w:rFonts w:hint="eastAsia" w:ascii="宋体" w:hAnsi="宋体" w:eastAsia="宋体" w:cs="宋体"/>
          <w:color w:val="auto"/>
          <w:lang w:eastAsia="zh-CN"/>
        </w:rPr>
      </w:pPr>
    </w:p>
    <w:p w14:paraId="0C99EA74">
      <w:pPr>
        <w:rPr>
          <w:rFonts w:hint="eastAsia" w:ascii="宋体" w:hAnsi="宋体" w:eastAsia="宋体" w:cs="宋体"/>
          <w:color w:val="auto"/>
          <w:lang w:eastAsia="zh-CN"/>
        </w:rPr>
      </w:pPr>
    </w:p>
    <w:p w14:paraId="1314AD12">
      <w:pPr>
        <w:rPr>
          <w:rFonts w:hint="eastAsia" w:ascii="宋体" w:hAnsi="宋体" w:eastAsia="宋体" w:cs="宋体"/>
          <w:color w:val="auto"/>
          <w:lang w:eastAsia="zh-CN"/>
        </w:rPr>
      </w:pPr>
    </w:p>
    <w:p w14:paraId="697A45C5">
      <w:pPr>
        <w:pStyle w:val="3"/>
        <w:bidi w:val="0"/>
        <w:ind w:left="0" w:leftChars="0" w:firstLine="0" w:firstLineChars="0"/>
        <w:jc w:val="center"/>
        <w:rPr>
          <w:rFonts w:hint="eastAsia" w:ascii="宋体" w:hAnsi="宋体" w:eastAsia="宋体" w:cs="宋体"/>
          <w:color w:val="auto"/>
          <w:lang w:eastAsia="zh-CN"/>
        </w:rPr>
      </w:pPr>
      <w:bookmarkStart w:id="168" w:name="_Toc27612"/>
      <w:r>
        <w:rPr>
          <w:rFonts w:hint="eastAsia" w:ascii="宋体" w:hAnsi="宋体" w:eastAsia="宋体" w:cs="宋体"/>
          <w:color w:val="auto"/>
        </w:rPr>
        <w:t>第七章</w:t>
      </w:r>
      <w:r>
        <w:rPr>
          <w:rFonts w:hint="eastAsia" w:ascii="宋体" w:hAnsi="宋体" w:eastAsia="宋体" w:cs="宋体"/>
          <w:color w:val="auto"/>
          <w:lang w:val="en-US" w:eastAsia="zh-CN"/>
        </w:rPr>
        <w:t xml:space="preserve">   </w:t>
      </w:r>
      <w:r>
        <w:rPr>
          <w:rFonts w:hint="eastAsia" w:ascii="宋体" w:hAnsi="宋体" w:eastAsia="宋体" w:cs="宋体"/>
          <w:color w:val="auto"/>
        </w:rPr>
        <w:t>工程量清单</w:t>
      </w:r>
      <w:bookmarkEnd w:id="168"/>
    </w:p>
    <w:p w14:paraId="14E4A2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(另册)</w:t>
      </w:r>
    </w:p>
    <w:p w14:paraId="1C4CDF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（与项目招标文件同时发布）</w:t>
      </w:r>
    </w:p>
    <w:p w14:paraId="2985C663">
      <w:pPr>
        <w:rPr>
          <w:rFonts w:hint="eastAsia" w:ascii="宋体" w:hAnsi="宋体" w:eastAsia="宋体" w:cs="宋体"/>
          <w:color w:val="auto"/>
          <w:lang w:eastAsia="zh-CN"/>
        </w:rPr>
      </w:pPr>
    </w:p>
    <w:p w14:paraId="007EF4FD">
      <w:pPr>
        <w:rPr>
          <w:rFonts w:hint="eastAsia" w:ascii="宋体" w:hAnsi="宋体" w:eastAsia="宋体" w:cs="宋体"/>
          <w:color w:val="auto"/>
          <w:lang w:eastAsia="zh-CN"/>
        </w:rPr>
      </w:pPr>
    </w:p>
    <w:p w14:paraId="7EBB0DFD">
      <w:pPr>
        <w:rPr>
          <w:rFonts w:hint="eastAsia" w:ascii="宋体" w:hAnsi="宋体" w:eastAsia="宋体" w:cs="宋体"/>
          <w:color w:val="auto"/>
          <w:lang w:eastAsia="zh-CN"/>
        </w:rPr>
      </w:pPr>
    </w:p>
    <w:p w14:paraId="6AA59DB2">
      <w:pPr>
        <w:rPr>
          <w:rFonts w:hint="eastAsia" w:ascii="宋体" w:hAnsi="宋体" w:eastAsia="宋体" w:cs="宋体"/>
          <w:color w:val="auto"/>
          <w:lang w:eastAsia="zh-CN"/>
        </w:rPr>
      </w:pPr>
    </w:p>
    <w:p w14:paraId="7E2FE39F">
      <w:pPr>
        <w:rPr>
          <w:rFonts w:hint="eastAsia" w:ascii="宋体" w:hAnsi="宋体" w:eastAsia="宋体" w:cs="宋体"/>
          <w:color w:val="auto"/>
          <w:lang w:eastAsia="zh-CN"/>
        </w:rPr>
      </w:pPr>
    </w:p>
    <w:p w14:paraId="2E04100A">
      <w:pPr>
        <w:rPr>
          <w:rFonts w:hint="eastAsia" w:ascii="宋体" w:hAnsi="宋体" w:eastAsia="宋体" w:cs="宋体"/>
          <w:color w:val="auto"/>
          <w:lang w:eastAsia="zh-CN"/>
        </w:rPr>
      </w:pPr>
    </w:p>
    <w:p w14:paraId="46E4E6F8">
      <w:pPr>
        <w:rPr>
          <w:rFonts w:hint="eastAsia" w:ascii="宋体" w:hAnsi="宋体" w:eastAsia="宋体" w:cs="宋体"/>
          <w:color w:val="auto"/>
          <w:lang w:eastAsia="zh-CN"/>
        </w:rPr>
      </w:pPr>
    </w:p>
    <w:p w14:paraId="2DDE88EC">
      <w:pPr>
        <w:rPr>
          <w:rFonts w:hint="eastAsia" w:ascii="宋体" w:hAnsi="宋体" w:eastAsia="宋体" w:cs="宋体"/>
          <w:color w:val="auto"/>
          <w:lang w:eastAsia="zh-CN"/>
        </w:rPr>
      </w:pPr>
    </w:p>
    <w:p w14:paraId="7B3B9372">
      <w:pPr>
        <w:rPr>
          <w:rFonts w:hint="eastAsia" w:ascii="宋体" w:hAnsi="宋体" w:eastAsia="宋体" w:cs="宋体"/>
          <w:color w:val="auto"/>
          <w:lang w:eastAsia="zh-CN"/>
        </w:rPr>
      </w:pPr>
    </w:p>
    <w:p w14:paraId="6CCE1497">
      <w:pPr>
        <w:rPr>
          <w:rFonts w:hint="eastAsia" w:ascii="宋体" w:hAnsi="宋体" w:eastAsia="宋体" w:cs="宋体"/>
          <w:color w:val="auto"/>
          <w:lang w:eastAsia="zh-CN"/>
        </w:rPr>
      </w:pPr>
    </w:p>
    <w:p w14:paraId="1BD65DA0">
      <w:pPr>
        <w:rPr>
          <w:rFonts w:hint="eastAsia" w:ascii="宋体" w:hAnsi="宋体" w:eastAsia="宋体" w:cs="宋体"/>
          <w:color w:val="auto"/>
          <w:lang w:eastAsia="zh-CN"/>
        </w:rPr>
      </w:pPr>
    </w:p>
    <w:p w14:paraId="1EAD2C4D">
      <w:pPr>
        <w:rPr>
          <w:rFonts w:hint="eastAsia" w:ascii="宋体" w:hAnsi="宋体" w:eastAsia="宋体" w:cs="宋体"/>
          <w:color w:val="auto"/>
          <w:lang w:eastAsia="zh-CN"/>
        </w:rPr>
      </w:pPr>
    </w:p>
    <w:p w14:paraId="748CF8E0">
      <w:pPr>
        <w:rPr>
          <w:rFonts w:hint="eastAsia" w:ascii="宋体" w:hAnsi="宋体" w:eastAsia="宋体" w:cs="宋体"/>
          <w:color w:val="auto"/>
          <w:lang w:eastAsia="zh-CN"/>
        </w:rPr>
      </w:pPr>
    </w:p>
    <w:p w14:paraId="46FECAC8">
      <w:pPr>
        <w:rPr>
          <w:rFonts w:hint="eastAsia" w:ascii="宋体" w:hAnsi="宋体" w:eastAsia="宋体" w:cs="宋体"/>
          <w:color w:val="auto"/>
          <w:lang w:eastAsia="zh-CN"/>
        </w:rPr>
      </w:pPr>
    </w:p>
    <w:p w14:paraId="0E1EEB32">
      <w:pPr>
        <w:rPr>
          <w:rFonts w:hint="eastAsia" w:ascii="宋体" w:hAnsi="宋体" w:eastAsia="宋体" w:cs="宋体"/>
          <w:color w:val="auto"/>
          <w:lang w:eastAsia="zh-CN"/>
        </w:rPr>
      </w:pPr>
    </w:p>
    <w:p w14:paraId="45AEAAEC">
      <w:pPr>
        <w:rPr>
          <w:rFonts w:hint="eastAsia" w:ascii="宋体" w:hAnsi="宋体" w:eastAsia="宋体" w:cs="宋体"/>
          <w:color w:val="auto"/>
          <w:lang w:eastAsia="zh-CN"/>
        </w:rPr>
      </w:pPr>
    </w:p>
    <w:p w14:paraId="12CECF41">
      <w:pPr>
        <w:rPr>
          <w:rFonts w:hint="eastAsia" w:ascii="宋体" w:hAnsi="宋体" w:eastAsia="宋体" w:cs="宋体"/>
          <w:color w:val="auto"/>
          <w:lang w:eastAsia="zh-CN"/>
        </w:rPr>
      </w:pPr>
    </w:p>
    <w:p w14:paraId="4973B401">
      <w:pPr>
        <w:rPr>
          <w:rFonts w:hint="eastAsia" w:ascii="宋体" w:hAnsi="宋体" w:eastAsia="宋体" w:cs="宋体"/>
          <w:color w:val="auto"/>
          <w:lang w:eastAsia="zh-CN"/>
        </w:rPr>
      </w:pPr>
    </w:p>
    <w:p w14:paraId="531EA8D8">
      <w:pPr>
        <w:rPr>
          <w:rFonts w:hint="eastAsia" w:ascii="宋体" w:hAnsi="宋体" w:eastAsia="宋体" w:cs="宋体"/>
          <w:color w:val="auto"/>
          <w:lang w:eastAsia="zh-CN"/>
        </w:rPr>
      </w:pPr>
    </w:p>
    <w:p w14:paraId="09729E5B">
      <w:pPr>
        <w:rPr>
          <w:rFonts w:hint="eastAsia" w:ascii="宋体" w:hAnsi="宋体" w:eastAsia="宋体" w:cs="宋体"/>
          <w:color w:val="auto"/>
          <w:lang w:eastAsia="zh-CN"/>
        </w:rPr>
      </w:pPr>
    </w:p>
    <w:p w14:paraId="39BCA3E9">
      <w:pPr>
        <w:rPr>
          <w:rFonts w:hint="eastAsia" w:ascii="宋体" w:hAnsi="宋体" w:eastAsia="宋体" w:cs="宋体"/>
          <w:color w:val="auto"/>
          <w:lang w:eastAsia="zh-CN"/>
        </w:rPr>
      </w:pPr>
    </w:p>
    <w:p w14:paraId="6B92188B">
      <w:pPr>
        <w:rPr>
          <w:rFonts w:hint="eastAsia" w:ascii="宋体" w:hAnsi="宋体" w:eastAsia="宋体" w:cs="宋体"/>
          <w:color w:val="auto"/>
          <w:lang w:eastAsia="zh-CN"/>
        </w:rPr>
      </w:pPr>
    </w:p>
    <w:p w14:paraId="2ED9059C">
      <w:pPr>
        <w:rPr>
          <w:rFonts w:hint="eastAsia" w:ascii="宋体" w:hAnsi="宋体" w:eastAsia="宋体" w:cs="宋体"/>
          <w:color w:val="auto"/>
          <w:lang w:eastAsia="zh-CN"/>
        </w:rPr>
      </w:pPr>
    </w:p>
    <w:p w14:paraId="2C32C381">
      <w:pPr>
        <w:rPr>
          <w:rFonts w:hint="eastAsia" w:ascii="宋体" w:hAnsi="宋体" w:eastAsia="宋体" w:cs="宋体"/>
          <w:color w:val="auto"/>
          <w:lang w:eastAsia="zh-CN"/>
        </w:rPr>
      </w:pPr>
    </w:p>
    <w:p w14:paraId="51368601">
      <w:pPr>
        <w:rPr>
          <w:rFonts w:hint="eastAsia" w:ascii="宋体" w:hAnsi="宋体" w:eastAsia="宋体" w:cs="宋体"/>
          <w:color w:val="auto"/>
          <w:lang w:eastAsia="zh-CN"/>
        </w:rPr>
      </w:pPr>
    </w:p>
    <w:p w14:paraId="52055670">
      <w:pPr>
        <w:rPr>
          <w:rFonts w:hint="eastAsia" w:ascii="宋体" w:hAnsi="宋体" w:eastAsia="宋体" w:cs="宋体"/>
          <w:color w:val="auto"/>
          <w:lang w:eastAsia="zh-CN"/>
        </w:rPr>
      </w:pPr>
    </w:p>
    <w:p w14:paraId="50257B52">
      <w:pPr>
        <w:rPr>
          <w:rFonts w:hint="eastAsia" w:ascii="宋体" w:hAnsi="宋体" w:eastAsia="宋体" w:cs="宋体"/>
          <w:color w:val="auto"/>
          <w:lang w:eastAsia="zh-CN"/>
        </w:rPr>
      </w:pPr>
    </w:p>
    <w:p w14:paraId="11C3374B">
      <w:pPr>
        <w:rPr>
          <w:rFonts w:hint="eastAsia" w:ascii="宋体" w:hAnsi="宋体" w:eastAsia="宋体" w:cs="宋体"/>
          <w:color w:val="auto"/>
          <w:lang w:eastAsia="zh-CN"/>
        </w:rPr>
      </w:pPr>
    </w:p>
    <w:p w14:paraId="386F6D3B">
      <w:pPr>
        <w:rPr>
          <w:rFonts w:hint="eastAsia" w:ascii="宋体" w:hAnsi="宋体" w:eastAsia="宋体" w:cs="宋体"/>
          <w:color w:val="auto"/>
          <w:lang w:eastAsia="zh-CN"/>
        </w:rPr>
      </w:pPr>
    </w:p>
    <w:p w14:paraId="46257BF2">
      <w:pPr>
        <w:rPr>
          <w:rFonts w:hint="eastAsia" w:ascii="宋体" w:hAnsi="宋体" w:eastAsia="宋体" w:cs="宋体"/>
          <w:color w:val="auto"/>
          <w:lang w:eastAsia="zh-CN"/>
        </w:rPr>
      </w:pPr>
    </w:p>
    <w:p w14:paraId="62566A2F">
      <w:pPr>
        <w:rPr>
          <w:rFonts w:hint="eastAsia" w:ascii="宋体" w:hAnsi="宋体" w:eastAsia="宋体" w:cs="宋体"/>
          <w:color w:val="auto"/>
          <w:lang w:eastAsia="zh-CN"/>
        </w:rPr>
      </w:pPr>
    </w:p>
    <w:p w14:paraId="6AD9DD64">
      <w:pPr>
        <w:rPr>
          <w:rFonts w:hint="eastAsia" w:ascii="宋体" w:hAnsi="宋体" w:eastAsia="宋体" w:cs="宋体"/>
          <w:color w:val="auto"/>
          <w:lang w:eastAsia="zh-CN"/>
        </w:rPr>
      </w:pPr>
    </w:p>
    <w:p w14:paraId="796A6714">
      <w:pPr>
        <w:rPr>
          <w:rFonts w:hint="eastAsia" w:ascii="宋体" w:hAnsi="宋体" w:eastAsia="宋体" w:cs="宋体"/>
          <w:color w:val="auto"/>
          <w:lang w:eastAsia="zh-CN"/>
        </w:rPr>
      </w:pPr>
    </w:p>
    <w:p w14:paraId="6580A300">
      <w:pPr>
        <w:rPr>
          <w:rFonts w:hint="eastAsia" w:ascii="宋体" w:hAnsi="宋体" w:eastAsia="宋体" w:cs="宋体"/>
          <w:color w:val="auto"/>
          <w:lang w:eastAsia="zh-CN"/>
        </w:rPr>
      </w:pPr>
    </w:p>
    <w:p w14:paraId="297DD0E8">
      <w:pPr>
        <w:rPr>
          <w:rFonts w:hint="eastAsia" w:ascii="宋体" w:hAnsi="宋体" w:eastAsia="宋体" w:cs="宋体"/>
          <w:color w:val="auto"/>
          <w:lang w:eastAsia="zh-CN"/>
        </w:rPr>
      </w:pPr>
    </w:p>
    <w:p w14:paraId="3F4EAC5E">
      <w:pPr>
        <w:rPr>
          <w:rFonts w:hint="eastAsia" w:ascii="宋体" w:hAnsi="宋体" w:eastAsia="宋体" w:cs="宋体"/>
          <w:color w:val="auto"/>
          <w:lang w:eastAsia="zh-CN"/>
        </w:rPr>
      </w:pPr>
    </w:p>
    <w:p w14:paraId="3EE95148">
      <w:pPr>
        <w:rPr>
          <w:rFonts w:hint="eastAsia" w:ascii="宋体" w:hAnsi="宋体" w:eastAsia="宋体" w:cs="宋体"/>
          <w:color w:val="auto"/>
          <w:lang w:eastAsia="zh-CN"/>
        </w:rPr>
      </w:pPr>
    </w:p>
    <w:p w14:paraId="6116E12A">
      <w:pPr>
        <w:rPr>
          <w:rFonts w:hint="eastAsia" w:ascii="宋体" w:hAnsi="宋体" w:eastAsia="宋体" w:cs="宋体"/>
          <w:color w:val="auto"/>
          <w:lang w:eastAsia="zh-CN"/>
        </w:rPr>
      </w:pPr>
    </w:p>
    <w:p w14:paraId="6ECE4994">
      <w:pPr>
        <w:rPr>
          <w:rFonts w:hint="eastAsia" w:ascii="宋体" w:hAnsi="宋体" w:eastAsia="宋体" w:cs="宋体"/>
          <w:color w:val="auto"/>
          <w:lang w:eastAsia="zh-CN"/>
        </w:rPr>
      </w:pPr>
    </w:p>
    <w:p w14:paraId="2DC122C5">
      <w:pPr>
        <w:rPr>
          <w:rFonts w:hint="eastAsia" w:ascii="宋体" w:hAnsi="宋体" w:eastAsia="宋体" w:cs="宋体"/>
          <w:color w:val="auto"/>
          <w:lang w:eastAsia="zh-CN"/>
        </w:rPr>
      </w:pPr>
    </w:p>
    <w:p w14:paraId="3486AC9D">
      <w:pPr>
        <w:rPr>
          <w:rFonts w:hint="eastAsia" w:ascii="宋体" w:hAnsi="宋体" w:eastAsia="宋体" w:cs="宋体"/>
          <w:color w:val="auto"/>
          <w:lang w:eastAsia="zh-CN"/>
        </w:rPr>
      </w:pPr>
    </w:p>
    <w:p w14:paraId="169FF535">
      <w:pPr>
        <w:pStyle w:val="3"/>
        <w:bidi w:val="0"/>
        <w:ind w:left="0" w:leftChars="0" w:firstLine="0" w:firstLineChars="0"/>
        <w:jc w:val="center"/>
        <w:rPr>
          <w:rFonts w:hint="eastAsia" w:ascii="宋体" w:hAnsi="宋体" w:eastAsia="宋体" w:cs="宋体"/>
          <w:color w:val="auto"/>
        </w:rPr>
      </w:pPr>
      <w:bookmarkStart w:id="169" w:name="_Toc29316"/>
      <w:r>
        <w:rPr>
          <w:rFonts w:hint="eastAsia" w:ascii="宋体" w:hAnsi="宋体" w:eastAsia="宋体" w:cs="宋体"/>
          <w:color w:val="auto"/>
        </w:rPr>
        <w:t>第八章</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最高投标限</w:t>
      </w:r>
      <w:r>
        <w:rPr>
          <w:rFonts w:hint="eastAsia" w:ascii="宋体" w:hAnsi="宋体" w:eastAsia="宋体" w:cs="宋体"/>
          <w:color w:val="auto"/>
        </w:rPr>
        <w:t>价</w:t>
      </w:r>
      <w:bookmarkEnd w:id="169"/>
    </w:p>
    <w:p w14:paraId="6CF1067D">
      <w:pPr>
        <w:pStyle w:val="49"/>
        <w:spacing w:line="360" w:lineRule="auto"/>
        <w:ind w:firstLine="480" w:firstLineChars="200"/>
        <w:rPr>
          <w:rFonts w:hint="eastAsia" w:ascii="宋体" w:hAnsi="宋体" w:eastAsia="宋体" w:cs="宋体"/>
          <w:b w:val="0"/>
          <w:bCs/>
          <w:i w:val="0"/>
          <w:iCs/>
          <w:color w:val="auto"/>
          <w:kern w:val="2"/>
          <w:sz w:val="24"/>
          <w:szCs w:val="24"/>
          <w:highlight w:val="none"/>
          <w:lang w:val="en-US" w:eastAsia="zh-CN" w:bidi="ar-SA"/>
        </w:rPr>
      </w:pPr>
      <w:r>
        <w:rPr>
          <w:rFonts w:hint="eastAsia" w:ascii="宋体" w:hAnsi="宋体" w:eastAsia="宋体" w:cs="宋体"/>
          <w:b w:val="0"/>
          <w:bCs/>
          <w:i w:val="0"/>
          <w:iCs/>
          <w:color w:val="auto"/>
          <w:kern w:val="2"/>
          <w:sz w:val="24"/>
          <w:szCs w:val="24"/>
          <w:highlight w:val="none"/>
          <w:lang w:val="en-US" w:eastAsia="zh-CN" w:bidi="ar-SA"/>
        </w:rPr>
        <w:t>本招标项目最高投标限价、工程量清单、施工图最终以补充公告形式在开标前15天另行发布于相关网站，各投标人可在全国公共资源交易平台（广东省·韶关市）自行下载。</w:t>
      </w:r>
    </w:p>
    <w:p w14:paraId="4FB5E624">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（https://ygp.gdzwfw.gov..cn/ggzy-portal/#/440200/index）、广东省招标投标监管网（https://www.gdzwfw.gov.cn/ztbjg-portal/#/index）网站。</w:t>
      </w:r>
    </w:p>
    <w:sectPr>
      <w:footerReference r:id="rId5" w:type="default"/>
      <w:pgSz w:w="11906" w:h="16838"/>
      <w:pgMar w:top="1134" w:right="1134" w:bottom="1134" w:left="1134"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218A">
    <w:pPr>
      <w:pStyle w:val="14"/>
      <w:ind w:right="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F0C3C0"/>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62F0C3C0"/>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A2B0">
    <w:pPr>
      <w:pStyle w:val="14"/>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A77FD">
                          <w:pPr>
                            <w:pStyle w:val="14"/>
                          </w:pPr>
                          <w:r>
                            <w:t xml:space="preserve">— </w:t>
                          </w:r>
                          <w:r>
                            <w:fldChar w:fldCharType="begin"/>
                          </w:r>
                          <w:r>
                            <w:instrText xml:space="preserve"> PAGE  \* MERGEFORMAT </w:instrText>
                          </w:r>
                          <w:r>
                            <w:fldChar w:fldCharType="separate"/>
                          </w:r>
                          <w:r>
                            <w:t>89</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19A77FD">
                    <w:pPr>
                      <w:pStyle w:val="14"/>
                    </w:pPr>
                    <w:r>
                      <w:t xml:space="preserve">— </w:t>
                    </w:r>
                    <w:r>
                      <w:fldChar w:fldCharType="begin"/>
                    </w:r>
                    <w:r>
                      <w:instrText xml:space="preserve"> PAGE  \* MERGEFORMAT </w:instrText>
                    </w:r>
                    <w:r>
                      <w:fldChar w:fldCharType="separate"/>
                    </w:r>
                    <w:r>
                      <w:t>89</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矩形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8232AB5"/>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mxgZnAAQAAjg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7DkzAlLN/7n+8/fv34wKpA7&#10;fcCKmp7CI0wZUpikDi3Y9CYRbMiOni+OqiEyScXlerVel2S2pLM5IZzi+fMAGD8pb1kKag50ZdlJ&#10;cfqCcWydW9I05++0MVQXlXH/FAgzVYrEeOSYojjsh4n43jdnEtvTbdfc0XJzZj47MjMtxhzAHOzn&#10;4BhAH7q8OWkehttjJBKZW5owwk6D6Zqyumml0h68zHPX82+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2bGBmcABAACOAwAADgAAAAAAAAABACAAAAAfAQAAZHJzL2Uyb0RvYy54bWxQSwUG&#10;AAAAAAYABgBZAQAAUQUAAAAA&#10;">
              <v:fill on="f" focussize="0,0"/>
              <v:stroke on="f"/>
              <v:imagedata o:title=""/>
              <o:lock v:ext="edit" aspectratio="f"/>
              <v:textbox inset="0mm,0mm,0mm,0mm" style="mso-fit-shape-to-text:t;">
                <w:txbxContent>
                  <w:p w14:paraId="68232AB5"/>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9C8E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D69B4"/>
    <w:multiLevelType w:val="singleLevel"/>
    <w:tmpl w:val="E3CD69B4"/>
    <w:lvl w:ilvl="0" w:tentative="0">
      <w:start w:val="1"/>
      <w:numFmt w:val="decimal"/>
      <w:suff w:val="nothing"/>
      <w:lvlText w:val="%1．"/>
      <w:lvlJc w:val="left"/>
    </w:lvl>
  </w:abstractNum>
  <w:abstractNum w:abstractNumId="1">
    <w:nsid w:val="E6C9BDCA"/>
    <w:multiLevelType w:val="singleLevel"/>
    <w:tmpl w:val="E6C9BDCA"/>
    <w:lvl w:ilvl="0" w:tentative="0">
      <w:start w:val="1"/>
      <w:numFmt w:val="decimal"/>
      <w:suff w:val="nothing"/>
      <w:lvlText w:val="（%1）"/>
      <w:lvlJc w:val="left"/>
    </w:lvl>
  </w:abstractNum>
  <w:abstractNum w:abstractNumId="2">
    <w:nsid w:val="1A65F792"/>
    <w:multiLevelType w:val="singleLevel"/>
    <w:tmpl w:val="1A65F79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72FA8"/>
    <w:rsid w:val="039C7C14"/>
    <w:rsid w:val="047F4987"/>
    <w:rsid w:val="05512F74"/>
    <w:rsid w:val="055D4CF2"/>
    <w:rsid w:val="05FB28F4"/>
    <w:rsid w:val="06442F31"/>
    <w:rsid w:val="06804EB5"/>
    <w:rsid w:val="0A863EBB"/>
    <w:rsid w:val="0AA436F1"/>
    <w:rsid w:val="0AA8200A"/>
    <w:rsid w:val="0C594239"/>
    <w:rsid w:val="0E1840EB"/>
    <w:rsid w:val="123D0D6C"/>
    <w:rsid w:val="128363CE"/>
    <w:rsid w:val="13066E80"/>
    <w:rsid w:val="14C61AC2"/>
    <w:rsid w:val="18DE323B"/>
    <w:rsid w:val="18F76C51"/>
    <w:rsid w:val="19C06268"/>
    <w:rsid w:val="1B4305B5"/>
    <w:rsid w:val="1BA4107C"/>
    <w:rsid w:val="1BEF52C2"/>
    <w:rsid w:val="1D681A07"/>
    <w:rsid w:val="1E7D7293"/>
    <w:rsid w:val="22975B33"/>
    <w:rsid w:val="24A622CF"/>
    <w:rsid w:val="25581E9D"/>
    <w:rsid w:val="2A296B0F"/>
    <w:rsid w:val="2B3C1135"/>
    <w:rsid w:val="2BA52826"/>
    <w:rsid w:val="2D58451C"/>
    <w:rsid w:val="30072FA8"/>
    <w:rsid w:val="30DE023D"/>
    <w:rsid w:val="30FF13F1"/>
    <w:rsid w:val="3103590F"/>
    <w:rsid w:val="31B506F9"/>
    <w:rsid w:val="323C7E4C"/>
    <w:rsid w:val="3920556F"/>
    <w:rsid w:val="3AE12D88"/>
    <w:rsid w:val="3B6040A6"/>
    <w:rsid w:val="3D84267B"/>
    <w:rsid w:val="3F6828C5"/>
    <w:rsid w:val="40541391"/>
    <w:rsid w:val="42840437"/>
    <w:rsid w:val="462E2831"/>
    <w:rsid w:val="463E1DD5"/>
    <w:rsid w:val="494713B8"/>
    <w:rsid w:val="49902920"/>
    <w:rsid w:val="4A0C18D0"/>
    <w:rsid w:val="4BA00978"/>
    <w:rsid w:val="4BA25610"/>
    <w:rsid w:val="4D40600C"/>
    <w:rsid w:val="4FB20A87"/>
    <w:rsid w:val="51273ADE"/>
    <w:rsid w:val="5321234F"/>
    <w:rsid w:val="533F1F43"/>
    <w:rsid w:val="53B524C6"/>
    <w:rsid w:val="55461CD0"/>
    <w:rsid w:val="55FF4AFF"/>
    <w:rsid w:val="568C18E1"/>
    <w:rsid w:val="57555018"/>
    <w:rsid w:val="58196A6F"/>
    <w:rsid w:val="599274E4"/>
    <w:rsid w:val="5A1D4705"/>
    <w:rsid w:val="5A6E45B7"/>
    <w:rsid w:val="5AB825E5"/>
    <w:rsid w:val="5E1831B8"/>
    <w:rsid w:val="5E745F14"/>
    <w:rsid w:val="61E735F4"/>
    <w:rsid w:val="63D43DC4"/>
    <w:rsid w:val="64EC12EA"/>
    <w:rsid w:val="651D2E62"/>
    <w:rsid w:val="651E050E"/>
    <w:rsid w:val="654C1999"/>
    <w:rsid w:val="666C48A4"/>
    <w:rsid w:val="673B733E"/>
    <w:rsid w:val="69DE332C"/>
    <w:rsid w:val="6C444501"/>
    <w:rsid w:val="6DA560EA"/>
    <w:rsid w:val="6DA5751F"/>
    <w:rsid w:val="6F466928"/>
    <w:rsid w:val="6F9F00AC"/>
    <w:rsid w:val="70CD7AA7"/>
    <w:rsid w:val="73407C41"/>
    <w:rsid w:val="73D22AD5"/>
    <w:rsid w:val="762D7533"/>
    <w:rsid w:val="76825F45"/>
    <w:rsid w:val="7A987403"/>
    <w:rsid w:val="7B666EB5"/>
    <w:rsid w:val="7CE47D4A"/>
    <w:rsid w:val="7D482448"/>
    <w:rsid w:val="7D6573C7"/>
    <w:rsid w:val="7DFC77ED"/>
    <w:rsid w:val="7EE94FBF"/>
    <w:rsid w:val="7F82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1830"/>
      </w:tabs>
      <w:spacing w:line="480" w:lineRule="exact"/>
      <w:ind w:left="1830" w:hanging="480"/>
      <w:jc w:val="left"/>
      <w:outlineLvl w:val="0"/>
    </w:pPr>
    <w:rPr>
      <w:rFonts w:ascii="宋体" w:hAnsi="宋体"/>
      <w:b/>
      <w:sz w:val="28"/>
    </w:rPr>
  </w:style>
  <w:style w:type="paragraph" w:styleId="4">
    <w:name w:val="heading 2"/>
    <w:basedOn w:val="1"/>
    <w:next w:val="1"/>
    <w:qFormat/>
    <w:uiPriority w:val="0"/>
    <w:pPr>
      <w:keepNext/>
      <w:tabs>
        <w:tab w:val="left" w:pos="1995"/>
      </w:tabs>
      <w:spacing w:line="480" w:lineRule="exact"/>
      <w:ind w:left="1995" w:hanging="720"/>
      <w:jc w:val="left"/>
      <w:outlineLvl w:val="1"/>
    </w:pPr>
    <w:rPr>
      <w:rFonts w:ascii="宋体" w:hAnsi="宋体"/>
      <w:b/>
      <w:sz w:val="28"/>
    </w:rPr>
  </w:style>
  <w:style w:type="paragraph" w:styleId="5">
    <w:name w:val="heading 3"/>
    <w:basedOn w:val="6"/>
    <w:next w:val="6"/>
    <w:qFormat/>
    <w:uiPriority w:val="0"/>
    <w:pPr>
      <w:keepNext/>
      <w:keepLines/>
      <w:spacing w:before="260" w:beforeLines="0" w:after="260" w:afterLines="0"/>
      <w:jc w:val="center"/>
      <w:outlineLvl w:val="2"/>
    </w:pPr>
    <w:rPr>
      <w:rFonts w:eastAsia="宋体"/>
      <w:b/>
      <w:bCs/>
      <w:sz w:val="28"/>
      <w:szCs w:val="32"/>
    </w:rPr>
  </w:style>
  <w:style w:type="paragraph" w:styleId="2">
    <w:name w:val="heading 4"/>
    <w:basedOn w:val="1"/>
    <w:next w:val="1"/>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宋体"/>
      <w:kern w:val="2"/>
      <w:sz w:val="21"/>
      <w:lang w:val="en-US" w:eastAsia="zh-CN" w:bidi="ar-SA"/>
    </w:rPr>
  </w:style>
  <w:style w:type="paragraph" w:styleId="7">
    <w:name w:val="annotation text"/>
    <w:basedOn w:val="1"/>
    <w:qFormat/>
    <w:uiPriority w:val="0"/>
    <w:pPr>
      <w:jc w:val="left"/>
    </w:pPr>
    <w:rPr>
      <w:rFonts w:ascii="宋体" w:hAnsi="Times New Roman" w:eastAsia="宋体" w:cs="Times New Roman"/>
      <w:sz w:val="28"/>
      <w:szCs w:val="20"/>
    </w:rPr>
  </w:style>
  <w:style w:type="paragraph" w:styleId="8">
    <w:name w:val="Salutation"/>
    <w:basedOn w:val="1"/>
    <w:next w:val="1"/>
    <w:qFormat/>
    <w:uiPriority w:val="0"/>
  </w:style>
  <w:style w:type="paragraph" w:styleId="9">
    <w:name w:val="Body Text"/>
    <w:basedOn w:val="1"/>
    <w:next w:val="10"/>
    <w:qFormat/>
    <w:uiPriority w:val="0"/>
    <w:pPr>
      <w:spacing w:after="120" w:afterLines="0"/>
    </w:pPr>
    <w:rPr>
      <w:rFonts w:eastAsia="宋体"/>
      <w:kern w:val="2"/>
      <w:sz w:val="21"/>
      <w:szCs w:val="24"/>
      <w:lang w:val="en-US" w:eastAsia="zh-CN" w:bidi="ar-SA"/>
    </w:rPr>
  </w:style>
  <w:style w:type="paragraph" w:styleId="10">
    <w:name w:val="Body Text 2"/>
    <w:basedOn w:val="1"/>
    <w:next w:val="9"/>
    <w:qFormat/>
    <w:uiPriority w:val="0"/>
    <w:pPr>
      <w:spacing w:after="120" w:afterLines="0" w:line="480" w:lineRule="auto"/>
    </w:pPr>
  </w:style>
  <w:style w:type="paragraph" w:styleId="11">
    <w:name w:val="Body Text Indent"/>
    <w:basedOn w:val="1"/>
    <w:qFormat/>
    <w:uiPriority w:val="0"/>
    <w:pPr>
      <w:ind w:firstLine="480"/>
      <w:jc w:val="center"/>
    </w:pPr>
    <w:rPr>
      <w:rFonts w:eastAsia="黑体"/>
      <w:sz w:val="44"/>
    </w:rPr>
  </w:style>
  <w:style w:type="paragraph" w:styleId="12">
    <w:name w:val="toc 3"/>
    <w:basedOn w:val="1"/>
    <w:next w:val="1"/>
    <w:qFormat/>
    <w:uiPriority w:val="0"/>
    <w:pPr>
      <w:ind w:left="840" w:leftChars="400"/>
    </w:pPr>
    <w:rPr>
      <w:rFonts w:ascii="Calibri" w:hAnsi="Calibri"/>
      <w:szCs w:val="22"/>
    </w:rPr>
  </w:style>
  <w:style w:type="paragraph" w:styleId="13">
    <w:name w:val="Plain Text"/>
    <w:basedOn w:val="1"/>
    <w:qFormat/>
    <w:uiPriority w:val="0"/>
    <w:rPr>
      <w:rFonts w:ascii="宋体" w:hAnsi="Courier New" w:eastAsia="宋体"/>
      <w:kern w:val="2"/>
      <w:sz w:val="21"/>
      <w:lang w:val="en-US" w:eastAsia="zh-CN" w:bidi="ar-SA"/>
    </w:rPr>
  </w:style>
  <w:style w:type="paragraph" w:styleId="14">
    <w:name w:val="footer"/>
    <w:basedOn w:val="1"/>
    <w:next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next w:val="14"/>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toc 1"/>
    <w:basedOn w:val="1"/>
    <w:next w:val="1"/>
    <w:qFormat/>
    <w:uiPriority w:val="0"/>
    <w:pPr>
      <w:tabs>
        <w:tab w:val="right" w:leader="dot" w:pos="8296"/>
      </w:tabs>
    </w:pPr>
    <w:rPr>
      <w:rFonts w:ascii="宋体" w:eastAsia="楷体_GB2312" w:cs="TimesNewRomanPSMT"/>
      <w:b/>
      <w:kern w:val="0"/>
      <w:sz w:val="28"/>
      <w:szCs w:val="20"/>
    </w:rPr>
  </w:style>
  <w:style w:type="paragraph" w:styleId="17">
    <w:name w:val="toc 2"/>
    <w:basedOn w:val="1"/>
    <w:next w:val="1"/>
    <w:qFormat/>
    <w:uiPriority w:val="0"/>
    <w:pPr>
      <w:ind w:left="420" w:leftChars="200"/>
    </w:pPr>
    <w:rPr>
      <w:rFonts w:ascii="宋体"/>
      <w:b/>
      <w:sz w:val="28"/>
      <w:szCs w:val="20"/>
    </w:rPr>
  </w:style>
  <w:style w:type="paragraph" w:styleId="18">
    <w:name w:val="Normal (Web)"/>
    <w:basedOn w:val="1"/>
    <w:qFormat/>
    <w:uiPriority w:val="0"/>
    <w:pPr>
      <w:widowControl/>
      <w:spacing w:before="100" w:beforeLines="0" w:after="100" w:afterLines="0"/>
      <w:jc w:val="left"/>
    </w:pPr>
    <w:rPr>
      <w:rFonts w:ascii="宋体" w:hAnsi="宋体"/>
      <w:kern w:val="0"/>
      <w:sz w:val="24"/>
      <w:szCs w:val="20"/>
    </w:rPr>
  </w:style>
  <w:style w:type="paragraph" w:styleId="19">
    <w:name w:val="Body Text First Indent"/>
    <w:basedOn w:val="9"/>
    <w:qFormat/>
    <w:uiPriority w:val="0"/>
    <w:pPr>
      <w:ind w:firstLine="420"/>
    </w:pPr>
  </w:style>
  <w:style w:type="paragraph" w:styleId="20">
    <w:name w:val="Body Text First Indent 2"/>
    <w:basedOn w:val="11"/>
    <w:next w:val="19"/>
    <w:qFormat/>
    <w:uiPriority w:val="0"/>
    <w:pPr>
      <w:spacing w:after="120"/>
      <w:ind w:left="420" w:leftChars="200" w:firstLine="420" w:firstLineChars="200"/>
    </w:pPr>
    <w:rPr>
      <w:sz w:val="21"/>
      <w:szCs w:val="24"/>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basedOn w:val="23"/>
    <w:qFormat/>
    <w:uiPriority w:val="0"/>
    <w:rPr>
      <w:i/>
      <w:iCs/>
    </w:rPr>
  </w:style>
  <w:style w:type="paragraph" w:customStyle="1" w:styleId="2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8">
    <w:name w:val="NormalCharacter"/>
    <w:semiHidden/>
    <w:qFormat/>
    <w:uiPriority w:val="0"/>
    <w:rPr>
      <w:rFonts w:ascii="宋体"/>
      <w:kern w:val="2"/>
      <w:sz w:val="24"/>
      <w:lang w:val="en-US" w:eastAsia="zh-CN" w:bidi="ar-SA"/>
    </w:rPr>
  </w:style>
  <w:style w:type="paragraph" w:customStyle="1" w:styleId="29">
    <w:name w:val="正文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30">
    <w:name w:val="普通(网站)1"/>
    <w:basedOn w:val="1"/>
    <w:qFormat/>
    <w:uiPriority w:val="0"/>
    <w:pPr>
      <w:spacing w:before="100" w:beforeAutospacing="1" w:after="100" w:afterAutospacing="1"/>
      <w:jc w:val="left"/>
    </w:pPr>
    <w:rPr>
      <w:rFonts w:ascii="宋体" w:hAnsi="宋体" w:eastAsia="宋体"/>
      <w:kern w:val="0"/>
      <w:sz w:val="24"/>
    </w:rPr>
  </w:style>
  <w:style w:type="paragraph" w:customStyle="1" w:styleId="31">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2">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33">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customStyle="1" w:styleId="34">
    <w:name w:val="正文 New New New New New New New New New New New New New New"/>
    <w:basedOn w:val="1"/>
    <w:qFormat/>
    <w:uiPriority w:val="0"/>
    <w:pPr>
      <w:spacing w:line="240" w:lineRule="auto"/>
    </w:pPr>
    <w:rPr>
      <w:rFonts w:ascii="Times New Roman" w:eastAsia="楷体_GB2312"/>
      <w:sz w:val="21"/>
      <w:szCs w:val="21"/>
    </w:rPr>
  </w:style>
  <w:style w:type="paragraph" w:customStyle="1" w:styleId="35">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8">
    <w:name w:val="标题 3 New New"/>
    <w:basedOn w:val="39"/>
    <w:next w:val="39"/>
    <w:qFormat/>
    <w:uiPriority w:val="0"/>
    <w:pPr>
      <w:keepNext/>
      <w:keepLines/>
      <w:widowControl/>
      <w:suppressLineNumbers w:val="0"/>
      <w:spacing w:before="120" w:beforeAutospacing="0" w:after="120" w:afterAutospacing="0" w:line="360" w:lineRule="auto"/>
      <w:ind w:left="0" w:right="0" w:firstLine="420"/>
      <w:jc w:val="center"/>
      <w:outlineLvl w:val="2"/>
    </w:pPr>
    <w:rPr>
      <w:rFonts w:hint="eastAsia" w:ascii="宋体" w:hAnsi="Times New Roman" w:eastAsia="宋体" w:cs="Times New Roman"/>
      <w:kern w:val="0"/>
      <w:sz w:val="24"/>
      <w:szCs w:val="24"/>
      <w:lang w:val="en-US" w:eastAsia="zh-CN" w:bidi="ar"/>
    </w:rPr>
  </w:style>
  <w:style w:type="paragraph" w:customStyle="1" w:styleId="39">
    <w:name w:val="正文缩进 New"/>
    <w:basedOn w:val="40"/>
    <w:qFormat/>
    <w:uiPriority w:val="0"/>
    <w:pPr>
      <w:keepNext w:val="0"/>
      <w:keepLines w:val="0"/>
      <w:widowControl/>
      <w:suppressLineNumbers w:val="0"/>
      <w:spacing w:before="0" w:beforeAutospacing="0" w:after="0" w:afterAutospacing="0" w:line="360" w:lineRule="auto"/>
      <w:ind w:left="0" w:right="0" w:firstLine="420"/>
      <w:jc w:val="left"/>
    </w:pPr>
    <w:rPr>
      <w:rFonts w:hint="eastAsia" w:ascii="宋体" w:hAnsi="Times New Roman" w:eastAsia="宋体" w:cs="Times New Roman"/>
      <w:kern w:val="0"/>
      <w:sz w:val="20"/>
      <w:szCs w:val="20"/>
      <w:lang w:val="en-US" w:eastAsia="zh-CN" w:bidi="ar"/>
    </w:rPr>
  </w:style>
  <w:style w:type="paragraph" w:customStyle="1" w:styleId="40">
    <w:name w:val="正文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360" w:lineRule="auto"/>
      <w:ind w:left="0" w:right="0"/>
      <w:jc w:val="both"/>
    </w:pPr>
    <w:rPr>
      <w:rFonts w:hint="eastAsia" w:ascii="宋体" w:hAnsi="Times New Roman" w:eastAsia="宋体" w:cs="Times New Roman"/>
      <w:kern w:val="2"/>
      <w:sz w:val="24"/>
      <w:szCs w:val="24"/>
      <w:lang w:val="en-US" w:eastAsia="zh-CN" w:bidi="ar"/>
    </w:rPr>
  </w:style>
  <w:style w:type="paragraph" w:customStyle="1" w:styleId="41">
    <w:name w:val="正文文本缩进 New"/>
    <w:basedOn w:val="40"/>
    <w:qFormat/>
    <w:uiPriority w:val="0"/>
    <w:pPr>
      <w:keepNext w:val="0"/>
      <w:keepLines w:val="0"/>
      <w:widowControl w:val="0"/>
      <w:suppressLineNumbers w:val="0"/>
      <w:spacing w:before="0" w:beforeAutospacing="0" w:after="0" w:afterAutospacing="0" w:line="360" w:lineRule="auto"/>
      <w:ind w:left="0" w:right="0" w:firstLine="560" w:firstLineChars="200"/>
      <w:jc w:val="both"/>
    </w:pPr>
    <w:rPr>
      <w:rFonts w:hint="eastAsia" w:ascii="宋体" w:hAnsi="Times New Roman" w:eastAsia="宋体" w:cs="Times New Roman"/>
      <w:kern w:val="2"/>
      <w:sz w:val="24"/>
      <w:szCs w:val="24"/>
      <w:lang w:val="en-US" w:eastAsia="zh-CN" w:bidi="ar"/>
    </w:rPr>
  </w:style>
  <w:style w:type="paragraph" w:customStyle="1" w:styleId="42">
    <w:name w:val="正文 New New New New New New New New New New New New New New New New New New New New New New New New New New New New New New New New New New New New New New New New New New New New New New"/>
    <w:basedOn w:val="1"/>
    <w:qFormat/>
    <w:uiPriority w:val="0"/>
    <w:pPr>
      <w:keepNext w:val="0"/>
      <w:keepLines w:val="0"/>
      <w:widowControl w:val="0"/>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43">
    <w:name w:val="AnnotationText"/>
    <w:basedOn w:val="1"/>
    <w:qFormat/>
    <w:uiPriority w:val="99"/>
    <w:pPr>
      <w:spacing w:line="360" w:lineRule="atLeast"/>
      <w:jc w:val="left"/>
    </w:pPr>
    <w:rPr>
      <w:kern w:val="0"/>
    </w:rPr>
  </w:style>
  <w:style w:type="paragraph" w:customStyle="1" w:styleId="44">
    <w:name w:val="UserStyle_44"/>
    <w:basedOn w:val="45"/>
    <w:qFormat/>
    <w:uiPriority w:val="99"/>
    <w:rPr>
      <w:sz w:val="24"/>
      <w:szCs w:val="24"/>
    </w:rPr>
  </w:style>
  <w:style w:type="paragraph" w:customStyle="1" w:styleId="45">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6">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8">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9">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1">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2">
    <w:name w:val="Table Text"/>
    <w:basedOn w:val="1"/>
    <w:semiHidden/>
    <w:qFormat/>
    <w:uiPriority w:val="0"/>
    <w:rPr>
      <w:rFonts w:ascii="宋体" w:hAnsi="宋体" w:eastAsia="宋体" w:cs="宋体"/>
      <w:sz w:val="20"/>
      <w:szCs w:val="20"/>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样式 宋体 行距: 1.5 倍行距"/>
    <w:basedOn w:val="55"/>
    <w:next w:val="1"/>
    <w:qFormat/>
    <w:uiPriority w:val="0"/>
    <w:pPr>
      <w:keepNext w:val="0"/>
      <w:keepLines w:val="0"/>
      <w:widowControl w:val="0"/>
      <w:suppressLineNumbers w:val="0"/>
      <w:spacing w:before="0" w:beforeLines="0" w:beforeAutospacing="0" w:after="0" w:afterLines="0" w:afterAutospacing="0" w:line="240" w:lineRule="auto"/>
      <w:ind w:left="0" w:right="0"/>
      <w:jc w:val="center"/>
    </w:pPr>
    <w:rPr>
      <w:rFonts w:hint="default" w:ascii="Times New Roman" w:hAnsi="Times New Roman" w:eastAsia="宋体" w:cs="Times New Roman"/>
      <w:b/>
      <w:kern w:val="2"/>
      <w:sz w:val="21"/>
      <w:szCs w:val="20"/>
      <w:lang w:val="en-US" w:eastAsia="zh-CN" w:bidi="ar"/>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4"/>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5.wmf"/><Relationship Id="rId32" Type="http://schemas.openxmlformats.org/officeDocument/2006/relationships/oleObject" Target="embeddings/oleObject12.bin"/><Relationship Id="rId31" Type="http://schemas.openxmlformats.org/officeDocument/2006/relationships/image" Target="media/image14.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0.bin"/><Relationship Id="rId27" Type="http://schemas.openxmlformats.org/officeDocument/2006/relationships/image" Target="media/image12.wmf"/><Relationship Id="rId26" Type="http://schemas.openxmlformats.org/officeDocument/2006/relationships/oleObject" Target="embeddings/oleObject9.bin"/><Relationship Id="rId25" Type="http://schemas.openxmlformats.org/officeDocument/2006/relationships/image" Target="media/image11.wmf"/><Relationship Id="rId24" Type="http://schemas.openxmlformats.org/officeDocument/2006/relationships/oleObject" Target="embeddings/oleObject8.bin"/><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875340b8-4882-4f54-8568-7e0190bb7d58</errorID>
      <errorWord>49元</errorWord>
      <group>L1_AI</group>
      <groupName>深度校对</groupName>
      <ability>L2_AI_Word</ability>
      <abilityName>字词纠错</abilityName>
      <candidateList>
        <item>49</item>
      </candidateList>
      <explain/>
      <paraID>490E3EE0</paraID>
      <start>38</start>
      <end>41</end>
      <status>unmodified</status>
      <modifiedWord/>
      <trackRevisions>false</trackRevisions>
    </reviewItem>
    <reviewItem>
      <errorID>984b4d23-8e23-4ce4-b6d8-ad0af1ca1fb8</errorID>
      <errorWord>（</errorWord>
      <group>L1_Punc</group>
      <groupName>标点问题</groupName>
      <ability>L2_Punc</ability>
      <abilityName>标点符号检查</abilityName>
      <candidateList/>
      <explain>同一形式括号套用。</explain>
      <paraID>77845E9C</paraID>
      <start>73</start>
      <end>74</end>
      <status>unmodified</status>
      <modifiedWord/>
      <trackRevisions>false</trackRevisions>
    </reviewItem>
    <reviewItem>
      <errorID>b74f32eb-ff76-485a-8663-98ff1e620bec</errorID>
      <errorWord>）</errorWord>
      <group>L1_Punc</group>
      <groupName>标点问题</groupName>
      <ability>L2_Punc</ability>
      <abilityName>标点符号检查</abilityName>
      <candidateList/>
      <explain>同一形式括号套用。</explain>
      <paraID>77845E9C</paraID>
      <start>88</start>
      <end>89</end>
      <status>unmodified</status>
      <modifiedWord/>
      <trackRevisions>false</trackRevisions>
    </reviewItem>
    <reviewItem>
      <errorID>1108194c-a0fa-4df9-899a-823debf7cda6</errorID>
      <errorWord>登陆</errorWord>
      <group>L1_Word</group>
      <groupName>字词问题</groupName>
      <ability>L2_Typo</ability>
      <abilityName>字词错误</abilityName>
      <candidateList>
        <item>登录</item>
      </candidateList>
      <explain>存在发音相同字词的误用。</explain>
      <paraID>1D938CFE</paraID>
      <start>16</start>
      <end>18</end>
      <status>modified</status>
      <modifiedWord>登录</modifiedWord>
      <trackRevisions>false</trackRevisions>
    </reviewItem>
    <reviewItem>
      <errorID>319c5072-2e63-4158-8d52-45e2bf45622a</errorID>
      <errorWord>,</errorWord>
      <group>L1_Format</group>
      <groupName>格式问题</groupName>
      <ability>L2_HalfPunc</ability>
      <abilityName>全半角检查</abilityName>
      <candidateList>
        <item>，</item>
      </candidateList>
      <explain>文本全半角错误。</explain>
      <paraID>1D938CFE</paraID>
      <start>93</start>
      <end>94</end>
      <status>unmodified</status>
      <modifiedWord/>
      <trackRevisions>false</trackRevisions>
    </reviewItem>
    <reviewItem>
      <errorID>866b2e43-1692-4706-9e5b-0c53f9346792</errorID>
      <errorWord>（</errorWord>
      <group>L1_Format</group>
      <groupName>格式问题</groupName>
      <ability>L2_HalfPunc</ability>
      <abilityName>全半角检查</abilityName>
      <candidateList>
        <item>(</item>
      </candidateList>
      <explain>文本全半角错误。</explain>
      <paraID>5E72452D</paraID>
      <start>0</start>
      <end>1</end>
      <status>unmodified</status>
      <modifiedWord/>
      <trackRevisions>false</trackRevisions>
    </reviewItem>
    <reviewItem>
      <errorID>a6d53b43-33c9-4140-8c33-fa53aa32707c</errorID>
      <errorWord>）</errorWord>
      <group>L1_Format</group>
      <groupName>格式问题</groupName>
      <ability>L2_HalfPunc</ability>
      <abilityName>全半角检查</abilityName>
      <candidateList>
        <item>)</item>
      </candidateList>
      <explain>文本全半角错误。</explain>
      <paraID>5E72452D</paraID>
      <start>41</start>
      <end>42</end>
      <status>unmodified</status>
      <modifiedWord/>
      <trackRevisions>false</trackRevisions>
    </reviewItem>
    <reviewItem>
      <errorID>204aac3b-6e37-4345-9698-a514a885c539</errorID>
      <errorWord>其它</errorWord>
      <group>L1_Word</group>
      <groupName>字词问题</groupName>
      <ability>L2_Alias</ability>
      <abilityName>也作/曾用词</abilityName>
      <candidateList>
        <item>其他</item>
      </candidateList>
      <explain>词汇[其它]为不规范表述或旧称，其规范书面表述为[其他]。</explain>
      <paraID>5B810317</paraID>
      <start>13</start>
      <end>15</end>
      <status>modified</status>
      <modifiedWord>其他</modifiedWord>
      <trackRevisions>false</trackRevisions>
    </reviewItem>
    <reviewItem>
      <errorID>9a660075-170f-454e-a04e-a342d83eaa7b</errorID>
      <errorWord>（</errorWord>
      <group>L1_Punc</group>
      <groupName>标点问题</groupName>
      <ability>L2_Punc</ability>
      <abilityName>标点符号检查</abilityName>
      <candidateList/>
      <explain>同一形式括号套用。</explain>
      <paraID>6F570F60</paraID>
      <start>75</start>
      <end>76</end>
      <status>unmodified</status>
      <modifiedWord/>
      <trackRevisions>false</trackRevisions>
    </reviewItem>
    <reviewItem>
      <errorID>e228cd99-c1a8-4a8c-9a63-d25d438869e4</errorID>
      <errorWord>）</errorWord>
      <group>L1_Punc</group>
      <groupName>标点问题</groupName>
      <ability>L2_Punc</ability>
      <abilityName>标点符号检查</abilityName>
      <candidateList/>
      <explain>同一形式括号套用。</explain>
      <paraID>6F570F60</paraID>
      <start>90</start>
      <end>91</end>
      <status>unmodified</status>
      <modifiedWord/>
      <trackRevisions>false</trackRevisions>
    </reviewItem>
    <reviewItem>
      <errorID>d4e34ae3-b96e-491d-9a03-f1d572fc0635</errorID>
      <errorWord>须</errorWord>
      <group>L1_AI</group>
      <groupName>深度校对</groupName>
      <ability>L2_AI_Punc</ability>
      <abilityName>标点纠错</abilityName>
      <candidateList>
        <item>：须</item>
      </candidateList>
      <explain/>
      <paraID>6448CFD6</paraID>
      <start>13</start>
      <end>15</end>
      <status>modified</status>
      <modifiedWord>：须</modifiedWord>
      <trackRevisions>false</trackRevisions>
    </reviewItem>
    <reviewItem>
      <errorID>4cad83c3-e338-4e61-a0fc-2be5a81d1adb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238A108</paraID>
      <start>0</start>
      <end>2</end>
      <status>unmodified</status>
      <modifiedWord/>
      <trackRevisions>false</trackRevisions>
    </reviewItem>
    <reviewItem>
      <errorID>4e55b99f-5f63-4a2d-a560-48e596a681e4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479E4BB4</paraID>
      <start>0</start>
      <end>2</end>
      <status>unmodified</status>
      <modifiedWord/>
      <trackRevisions>false</trackRevisions>
    </reviewItem>
    <reviewItem>
      <errorID>5ccd10a8-2a11-43a1-ba69-24e7a084f43d</errorID>
      <errorWord>证</errorWord>
      <group>L1_Word</group>
      <groupName>字词问题</groupName>
      <ability>L2_Typo</ability>
      <abilityName>字词错误</abilityName>
      <candidateList>
        <item>证金</item>
      </candidateList>
      <explain/>
      <paraID>45174820</paraID>
      <start>19</start>
      <end>20</end>
      <status>unmodified</status>
      <modifiedWord/>
      <trackRevisions>false</trackRevisions>
    </reviewItem>
    <reviewItem>
      <errorID>245964be-d19a-457a-8e82-e163f35e1e45</errorID>
      <errorWord>-</errorWord>
      <group>L1_Format</group>
      <groupName>格式问题</groupName>
      <ability>L2_HalfPunc</ability>
      <abilityName>全半角检查</abilityName>
      <candidateList>
        <item>－</item>
      </candidateList>
      <explain>文本全半角错误。</explain>
      <paraID>6EF3D104</paraID>
      <start>229</start>
      <end>230</end>
      <status>unmodified</status>
      <modifiedWord/>
      <trackRevisions>false</trackRevisions>
    </reviewItem>
    <reviewItem>
      <errorID>b43c846c-2798-4948-84d7-e1bfd0d921bb</errorID>
      <errorWord>(</errorWord>
      <group>L1_Format</group>
      <groupName>格式问题</groupName>
      <ability>L2_HalfPunc</ability>
      <abilityName>全半角检查</abilityName>
      <candidateList>
        <item>（</item>
      </candidateList>
      <explain>文本全半角错误。</explain>
      <paraID>6DAFAAB4</paraID>
      <start>63</start>
      <end>64</end>
      <status>unmodified</status>
      <modifiedWord/>
      <trackRevisions>false</trackRevisions>
    </reviewItem>
    <reviewItem>
      <errorID>fc2192cc-6b51-4bc1-bf07-d7609f5401b0</errorID>
      <errorWord>)</errorWord>
      <group>L1_Format</group>
      <groupName>格式问题</groupName>
      <ability>L2_HalfPunc</ability>
      <abilityName>全半角检查</abilityName>
      <candidateList>
        <item>）</item>
      </candidateList>
      <explain>文本全半角错误。</explain>
      <paraID>6DAFAAB4</paraID>
      <start>85</start>
      <end>86</end>
      <status>unmodified</status>
      <modifiedWord/>
      <trackRevisions>false</trackRevisions>
    </reviewItem>
    <reviewItem>
      <errorID>4520838c-4116-4a03-9a80-1747c0e90777</errorID>
      <errorWord>证</errorWord>
      <group>L1_Word</group>
      <groupName>字词问题</groupName>
      <ability>L2_Typo</ability>
      <abilityName>字词错误</abilityName>
      <candidateList>
        <item>证金</item>
      </candidateList>
      <explain/>
      <paraID>47AA0853</paraID>
      <start>25</start>
      <end>26</end>
      <status>unmodified</status>
      <modifiedWord/>
      <trackRevisions>false</trackRevisions>
    </reviewItem>
    <reviewItem>
      <errorID>9016d5a7-4b81-4b6b-b995-2c8b429caa4e</errorID>
      <errorWord>条款</errorWord>
      <group>L1_Word</group>
      <groupName>字词问题</groupName>
      <ability>L2_Typo</ability>
      <abilityName>字词错误</abilityName>
      <candidateList>
        <item>条</item>
      </candidateList>
      <explain/>
      <paraID>666D102E</paraID>
      <start>10</start>
      <end>12</end>
      <status>unmodified</status>
      <modifiedWord/>
      <trackRevisions>false</trackRevisions>
    </reviewItem>
    <reviewItem>
      <errorID>f7ac8ebb-1de7-4071-9e45-63fb94637fdc</errorID>
      <errorWord>百千万工程</errorWord>
      <group>L1_Political</group>
      <groupName>政治性问题</groupName>
      <ability>L2_Keyword</ability>
      <abilityName>固定表述</abilityName>
      <candidateList>
        <item>“百千万工程”</item>
      </candidateList>
      <explain>注意检查当前固定表述标点是否使用规范。</explain>
      <paraID>24B3015B</paraID>
      <start>2</start>
      <end>7</end>
      <status>unmodified</status>
      <modifiedWord/>
      <trackRevisions>false</trackRevisions>
    </reviewItem>
    <reviewItem>
      <errorID>3a0db76b-9902-4f6d-b1c0-8083c8d3883e</errorID>
      <errorWord>百千万工程</errorWord>
      <group>L1_Political</group>
      <groupName>政治性问题</groupName>
      <ability>L2_Keyword</ability>
      <abilityName>固定表述</abilityName>
      <candidateList>
        <item>“百千万工程”</item>
      </candidateList>
      <explain>注意检查当前固定表述标点是否使用规范。</explain>
      <paraID>51BA71CE</paraID>
      <start>70</start>
      <end>75</end>
      <status>unmodified</status>
      <modifiedWord/>
      <trackRevisions>false</trackRevisions>
    </reviewItem>
    <reviewItem>
      <errorID>6b43200f-aa72-44f9-b6fc-6fa4cd3e5983</errorID>
      <errorWord>百千万工程</errorWord>
      <group>L1_Political</group>
      <groupName>政治性问题</groupName>
      <ability>L2_Keyword</ability>
      <abilityName>固定表述</abilityName>
      <candidateList>
        <item>“百千万工程”</item>
      </candidateList>
      <explain>注意检查当前固定表述标点是否使用规范。</explain>
      <paraID>5B66250C</paraID>
      <start>10</start>
      <end>15</end>
      <status>unmodified</status>
      <modifiedWord/>
      <trackRevisions>false</trackRevisions>
    </reviewItem>
    <reviewItem>
      <errorID>dae2ca73-03b1-4eba-8908-1346797b641b</errorID>
      <errorWord>格式格式</errorWord>
      <group>L1_Word</group>
      <groupName>字词问题</groupName>
      <ability>L2_Typo</ability>
      <abilityName>字词错误</abilityName>
      <candidateList>
        <item>格式</item>
      </candidateList>
      <explain/>
      <paraID>5B66250C</paraID>
      <start>56</start>
      <end>58</end>
      <status>modified</status>
      <modifiedWord>格式</modifiedWord>
      <trackRevisions>false</trackRevisions>
    </reviewItem>
    <reviewItem>
      <errorID>28b9c346-e656-440a-8997-f49996452332</errorID>
      <errorWord>(</errorWord>
      <group>L1_Format</group>
      <groupName>格式问题</groupName>
      <ability>L2_HalfPunc</ability>
      <abilityName>全半角检查</abilityName>
      <candidateList>
        <item>（</item>
      </candidateList>
      <explain>文本全半角错误。</explain>
      <paraID>6FBFDAC1</paraID>
      <start>3</start>
      <end>4</end>
      <status>unmodified</status>
      <modifiedWord/>
      <trackRevisions>false</trackRevisions>
    </reviewItem>
    <reviewItem>
      <errorID>98352f31-6d52-4235-9cd4-bf25646ced05</errorID>
      <errorWord>)</errorWord>
      <group>L1_Format</group>
      <groupName>格式问题</groupName>
      <ability>L2_HalfPunc</ability>
      <abilityName>全半角检查</abilityName>
      <candidateList>
        <item>）</item>
      </candidateList>
      <explain>文本全半角错误。</explain>
      <paraID>6FBFDAC1</paraID>
      <start>6</start>
      <end>7</end>
      <status>unmodified</status>
      <modifiedWord/>
      <trackRevisions>false</trackRevisions>
    </reviewItem>
    <reviewItem>
      <errorID>495a413f-7d7e-44a0-8870-d010a8bd5a63</errorID>
      <errorWord>保证缴</errorWord>
      <group>L1_Word</group>
      <groupName>字词问题</groupName>
      <ability>L2_Typo</ability>
      <abilityName>字词错误</abilityName>
      <candidateList>
        <item>保证金</item>
      </candidateList>
      <explain/>
      <paraID>6EA8A05A</paraID>
      <start>2</start>
      <end>5</end>
      <status>unmodified</status>
      <modifiedWord/>
      <trackRevisions>false</trackRevisions>
    </reviewItem>
    <reviewItem>
      <errorID>fc1f4b71-5db0-48bb-b4ee-ff458ade36a3</errorID>
      <errorWord>纳</errorWord>
      <group>L1_Word</group>
      <groupName>字词问题</groupName>
      <ability>L2_Typo</ability>
      <abilityName>字词错误</abilityName>
      <candidateList>
        <item>的</item>
      </candidateList>
      <explain>“的”常用于连接修饰语与名词性中心语，表示属性、所属或描述。</explain>
      <paraID>4A3C97C7</paraID>
      <start>0</start>
      <end>1</end>
      <status>unmodified</status>
      <modifiedWord/>
      <trackRevisions>false</trackRevisions>
    </reviewItem>
    <reviewItem>
      <errorID>1a6b7c62-696a-418f-8305-2452b592d660</errorID>
      <errorWord>法律、法规</errorWord>
      <group>L1_Word</group>
      <groupName>字词问题</groupName>
      <ability>L2_Typo</ability>
      <abilityName>字词错误</abilityName>
      <candidateList>
        <item>法律法规</item>
      </candidateList>
      <explain/>
      <paraID>75F3CD25</paraID>
      <start>22</start>
      <end>27</end>
      <status>unmodified</status>
      <modifiedWord/>
      <trackRevisions>false</trackRevisions>
    </reviewItem>
    <reviewItem>
      <errorID>8d17f70b-c58f-4187-885e-50dbdbe6c9df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212DCF32</paraID>
      <start>0</start>
      <end>2</end>
      <status>unmodified</status>
      <modifiedWord/>
      <trackRevisions>false</trackRevisions>
    </reviewItem>
    <reviewItem>
      <errorID>89060cbb-7886-4d93-b713-f66f4b0e63f6</errorID>
      <errorWord>(</errorWord>
      <group>L1_Format</group>
      <groupName>格式问题</groupName>
      <ability>L2_HalfPunc</ability>
      <abilityName>全半角检查</abilityName>
      <candidateList>
        <item>（</item>
      </candidateList>
      <explain>文本全半角错误。</explain>
      <paraID>4B11C8A0</paraID>
      <start>53</start>
      <end>54</end>
      <status>unmodified</status>
      <modifiedWord/>
      <trackRevisions>false</trackRevisions>
    </reviewItem>
    <reviewItem>
      <errorID>b2d7da51-4de0-45b8-a702-d61cce69ad7f</errorID>
      <errorWord>)</errorWord>
      <group>L1_Format</group>
      <groupName>格式问题</groupName>
      <ability>L2_HalfPunc</ability>
      <abilityName>全半角检查</abilityName>
      <candidateList>
        <item>）</item>
      </candidateList>
      <explain>文本全半角错误。</explain>
      <paraID>4B11C8A0</paraID>
      <start>99</start>
      <end>100</end>
      <status>unmodified</status>
      <modifiedWord/>
      <trackRevisions>false</trackRevisions>
    </reviewItem>
    <reviewItem>
      <errorID>dd3257ee-ee3e-4e40-a0c5-34eb29fe66b9</errorID>
      <errorWord>(</errorWord>
      <group>L1_Format</group>
      <groupName>格式问题</groupName>
      <ability>L2_HalfPunc</ability>
      <abilityName>全半角检查</abilityName>
      <candidateList>
        <item>（</item>
      </candidateList>
      <explain>文本全半角错误。</explain>
      <paraID>5362EC9B</paraID>
      <start>65</start>
      <end>66</end>
      <status>unmodified</status>
      <modifiedWord/>
      <trackRevisions>false</trackRevisions>
    </reviewItem>
    <reviewItem>
      <errorID>3c6b0381-56b0-4922-a93b-1f643bf24373</errorID>
      <errorWord>)</errorWord>
      <group>L1_Format</group>
      <groupName>格式问题</groupName>
      <ability>L2_HalfPunc</ability>
      <abilityName>全半角检查</abilityName>
      <candidateList>
        <item>）</item>
      </candidateList>
      <explain>文本全半角错误。</explain>
      <paraID>5362EC9B</paraID>
      <start>77</start>
      <end>78</end>
      <status>unmodified</status>
      <modifiedWord/>
      <trackRevisions>false</trackRevisions>
    </reviewItem>
    <reviewItem>
      <errorID>71b67530-013b-4e46-9ade-cf7efc8af49f</errorID>
      <errorWord>采</errorWord>
      <group>L1_Word</group>
      <groupName>字词问题</groupName>
      <ability>L2_Typo</ability>
      <abilityName>字词错误</abilityName>
      <candidateList>
        <item>采用</item>
      </candidateList>
      <explain>〈动〉认为合适而使用：～新工艺｜～举手表决方式｜那篇稿子已被编辑部～。</explain>
      <paraID>2B971238</paraID>
      <start>221</start>
      <end>223</end>
      <status>modified</status>
      <modifiedWord>采用</modifiedWord>
      <trackRevisions>false</trackRevisions>
    </reviewItem>
    <reviewItem>
      <errorID>c13eecef-2b61-4546-84c9-c326be32adfc</errorID>
      <errorWord>位</errorWord>
      <group>L1_Word</group>
      <groupName>字词问题</groupName>
      <ability>L2_Typo</ability>
      <abilityName>字词错误</abilityName>
      <candidateList>
        <item>位公</item>
      </candidateList>
      <explain/>
      <paraID>5B57378B</paraID>
      <start>68</start>
      <end>69</end>
      <status>unmodified</status>
      <modifiedWord/>
      <trackRevisions>false</trackRevisions>
    </reviewItem>
    <reviewItem>
      <errorID>c66361ce-6ada-4fda-93cf-050bf0b7d9b6</errorID>
      <errorWord>》</errorWord>
      <group>L1_Word</group>
      <groupName>字词问题</groupName>
      <ability>L2_Typo</ability>
      <abilityName>字词错误</abilityName>
      <candidateList>
        <item>》等</item>
      </candidateList>
      <explain/>
      <paraID>37B01476</paraID>
      <start>55</start>
      <end>56</end>
      <status>unmodified</status>
      <modifiedWord/>
      <trackRevisions>false</trackRevisions>
    </reviewItem>
    <reviewItem>
      <errorID>1033845c-f2dc-4d8e-8be6-2b3f4ddd7187</errorID>
      <errorWord>办理办理</errorWord>
      <group>L1_Word</group>
      <groupName>字词问题</groupName>
      <ability>L2_Typo</ability>
      <abilityName>字词错误</abilityName>
      <candidateList>
        <item>办理</item>
      </candidateList>
      <explain/>
      <paraID> 94DC056</paraID>
      <start>126</start>
      <end>128</end>
      <status>modified</status>
      <modifiedWord>办理</modifiedWord>
      <trackRevisions>false</trackRevisions>
    </reviewItem>
    <reviewItem>
      <errorID>47c8c1f7-b697-49a0-a02b-ac84a2210dcd</errorID>
      <errorWord>国家工业和信息化部</errorWord>
      <group>L1_Political</group>
      <groupName>政治性问题</groupName>
      <ability>L2_Unpolitical</ability>
      <abilityName>政治敏感错误</abilityName>
      <candidateList>
        <item>工业和信息化部</item>
      </candidateList>
      <explain/>
      <paraID>65893364</paraID>
      <start>9</start>
      <end>18</end>
      <status>unmodified</status>
      <modifiedWord/>
      <trackRevisions>false</trackRevisions>
    </reviewItem>
    <reviewItem>
      <errorID>89a1edb0-16ab-47bb-9fe9-689ab5cccbd2</errorID>
      <errorWord>视</errorWord>
      <group>L1_Word</group>
      <groupName>字词问题</groupName>
      <ability>L2_Typo</ability>
      <abilityName>字词错误</abilityName>
      <candidateList>
        <item>视为</item>
      </candidateList>
      <explain/>
      <paraID>74D36036</paraID>
      <start>120</start>
      <end>122</end>
      <status>modified</status>
      <modifiedWord>视为</modifiedWord>
      <trackRevisions>false</trackRevisions>
    </reviewItem>
    <reviewItem>
      <errorID>4f07694b-4386-4369-b15a-35ce6ae4c0b9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20871AD3</paraID>
      <start>0</start>
      <end>3</end>
      <status>unmodified</status>
      <modifiedWord/>
      <trackRevisions>false</trackRevisions>
    </reviewItem>
    <reviewItem>
      <errorID>38835824-2f9b-4814-9850-fdb022d5301e</errorID>
      <errorWord>:</errorWord>
      <group>L1_Format</group>
      <groupName>格式问题</groupName>
      <ability>L2_HalfPunc</ability>
      <abilityName>全半角检查</abilityName>
      <candidateList>
        <item>：</item>
      </candidateList>
      <explain>文本全半角错误。</explain>
      <paraID>50096424</paraID>
      <start>162</start>
      <end>163</end>
      <status>unmodified</status>
      <modifiedWord/>
      <trackRevisions>false</trackRevisions>
    </reviewItem>
    <reviewItem>
      <errorID>c0ad7499-08a4-440d-8ad7-55b9c8e3655b</errorID>
      <errorWord>(</errorWord>
      <group>L1_Format</group>
      <groupName>格式问题</groupName>
      <ability>L2_HalfPunc</ability>
      <abilityName>全半角检查</abilityName>
      <candidateList>
        <item>（</item>
      </candidateList>
      <explain>文本全半角错误。</explain>
      <paraID>50096424</paraID>
      <start>173</start>
      <end>174</end>
      <status>unmodified</status>
      <modifiedWord/>
      <trackRevisions>false</trackRevisions>
    </reviewItem>
    <reviewItem>
      <errorID>2baddbd3-6312-4d57-a6fe-2cb23d104a2b</errorID>
      <errorWord>)</errorWord>
      <group>L1_Format</group>
      <groupName>格式问题</groupName>
      <ability>L2_HalfPunc</ability>
      <abilityName>全半角检查</abilityName>
      <candidateList>
        <item>）</item>
      </candidateList>
      <explain>文本全半角错误。</explain>
      <paraID>50096424</paraID>
      <start>181</start>
      <end>182</end>
      <status>unmodified</status>
      <modifiedWord/>
      <trackRevisions>false</trackRevisions>
    </reviewItem>
    <reviewItem>
      <errorID>1f14fd5a-00da-47d9-abab-ffbb46cad270</errorID>
      <errorWord>:</errorWord>
      <group>L1_Format</group>
      <groupName>格式问题</groupName>
      <ability>L2_HalfPunc</ability>
      <abilityName>全半角检查</abilityName>
      <candidateList>
        <item>：</item>
      </candidateList>
      <explain>文本全半角错误。</explain>
      <paraID>7C4C4C4C</paraID>
      <start>135</start>
      <end>136</end>
      <status>unmodified</status>
      <modifiedWord/>
      <trackRevisions>false</trackRevisions>
    </reviewItem>
    <reviewItem>
      <errorID>c5bf32cf-0dc1-4d77-beab-3a949d2ce1a6</errorID>
      <errorWord>(</errorWord>
      <group>L1_Format</group>
      <groupName>格式问题</groupName>
      <ability>L2_HalfPunc</ability>
      <abilityName>全半角检查</abilityName>
      <candidateList>
        <item>（</item>
      </candidateList>
      <explain>文本全半角错误。</explain>
      <paraID>7C4C4C4C</paraID>
      <start>146</start>
      <end>147</end>
      <status>unmodified</status>
      <modifiedWord/>
      <trackRevisions>false</trackRevisions>
    </reviewItem>
    <reviewItem>
      <errorID>f3cc5ec0-a91f-42ee-8cfd-325c16ed1432</errorID>
      <errorWord>)</errorWord>
      <group>L1_Format</group>
      <groupName>格式问题</groupName>
      <ability>L2_HalfPunc</ability>
      <abilityName>全半角检查</abilityName>
      <candidateList>
        <item>）</item>
      </candidateList>
      <explain>文本全半角错误。</explain>
      <paraID>7C4C4C4C</paraID>
      <start>154</start>
      <end>155</end>
      <status>unmodified</status>
      <modifiedWord/>
      <trackRevisions>false</trackRevisions>
    </reviewItem>
    <reviewItem>
      <errorID>880934d3-bd32-488c-9944-83d982a38955</errorID>
      <errorWord>证</errorWord>
      <group>L1_Word</group>
      <groupName>字词问题</groupName>
      <ability>L2_Typo</ability>
      <abilityName>字词错误</abilityName>
      <candidateList>
        <item>证金</item>
      </candidateList>
      <explain/>
      <paraID> 9A85513</paraID>
      <start>6</start>
      <end>7</end>
      <status>unmodified</status>
      <modifiedWord/>
      <trackRevisions>false</trackRevisions>
    </reviewItem>
    <reviewItem>
      <errorID>6f448f76-1a4a-406f-8eca-db3d2198b92f</errorID>
      <errorWord>（</errorWord>
      <group>L1_Punc</group>
      <groupName>标点问题</groupName>
      <ability>L2_Punc</ability>
      <abilityName>标点符号检查</abilityName>
      <candidateList/>
      <explain>同一形式括号套用。</explain>
      <paraID>61873E0F</paraID>
      <start>111</start>
      <end>112</end>
      <status>unmodified</status>
      <modifiedWord/>
      <trackRevisions>false</trackRevisions>
    </reviewItem>
    <reviewItem>
      <errorID>c85f7ce0-1c01-4752-ad16-fcf527aa4c06</errorID>
      <errorWord>）</errorWord>
      <group>L1_Punc</group>
      <groupName>标点问题</groupName>
      <ability>L2_Punc</ability>
      <abilityName>标点符号检查</abilityName>
      <candidateList/>
      <explain>同一形式括号套用。</explain>
      <paraID>61873E0F</paraID>
      <start>114</start>
      <end>115</end>
      <status>unmodified</status>
      <modifiedWord/>
      <trackRevisions>false</trackRevisions>
    </reviewItem>
    <reviewItem>
      <errorID>fe88dd07-7753-450d-b5d1-8a9229dc4dc0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5C8E6500</paraID>
      <start>0</start>
      <end>2</end>
      <status>unmodified</status>
      <modifiedWord/>
      <trackRevisions>false</trackRevisions>
    </reviewItem>
    <reviewItem>
      <errorID>d94013c9-0bf8-4add-a18e-5213ef881bbc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71BFC2E0</paraID>
      <start>0</start>
      <end>2</end>
      <status>unmodified</status>
      <modifiedWord/>
      <trackRevisions>false</trackRevisions>
    </reviewItem>
    <reviewItem>
      <errorID>f7ef2251-44d3-42ee-9360-f95b84a8c05c</errorID>
      <errorWord>法律、法规</errorWord>
      <group>L1_Word</group>
      <groupName>字词问题</groupName>
      <ability>L2_Typo</ability>
      <abilityName>字词错误</abilityName>
      <candidateList>
        <item>法律法规</item>
      </candidateList>
      <explain/>
      <paraID>5BE6AAD7</paraID>
      <start>5</start>
      <end>10</end>
      <status>unmodified</status>
      <modifiedWord/>
      <trackRevisions>false</trackRevisions>
    </reviewItem>
    <reviewItem>
      <errorID>5f69620f-837c-4058-bd2b-6f6298df97a3</errorID>
      <errorWord>超</errorWord>
      <group>L1_Word</group>
      <groupName>字词问题</groupName>
      <ability>L2_Typo</ability>
      <abilityName>字词错误</abilityName>
      <candidateList>
        <item>超过</item>
      </candidateList>
      <explain/>
      <paraID>4354ADFF</paraID>
      <start>73</start>
      <end>75</end>
      <status>modified</status>
      <modifiedWord>超过</modifiedWord>
      <trackRevisions>false</trackRevisions>
    </reviewItem>
    <reviewItem>
      <errorID>b4dbeca1-3b10-4095-b173-8a2f7867a0a3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5E927823</paraID>
      <start>0</start>
      <end>3</end>
      <status>unmodified</status>
      <modifiedWord/>
      <trackRevisions>false</trackRevisions>
    </reviewItem>
    <reviewItem>
      <errorID>decc98d2-092b-477d-93f0-dbf5ee084a22</errorID>
      <errorWord>项日</errorWord>
      <group>L1_Word</group>
      <groupName>字词问题</groupName>
      <ability>L2_Typo</ability>
      <abilityName>字词错误</abilityName>
      <candidateList>
        <item>项目</item>
      </candidateList>
      <explain>〈名〉事物分成的门类：服务～｜体育～｜建设～。</explain>
      <paraID>7AC6D476</paraID>
      <start>139</start>
      <end>141</end>
      <status>modified</status>
      <modifiedWord>项目</modifiedWord>
      <trackRevisions>false</trackRevisions>
    </reviewItem>
    <reviewItem>
      <errorID>b563fb4b-a979-4630-8e84-7eac15f5cbcb</errorID>
      <errorWord>(</errorWord>
      <group>L1_Format</group>
      <groupName>格式问题</groupName>
      <ability>L2_HalfPunc</ability>
      <abilityName>全半角检查</abilityName>
      <candidateList>
        <item>（</item>
      </candidateList>
      <explain>文本全半角错误。</explain>
      <paraID> 4E84D45</paraID>
      <start>192</start>
      <end>193</end>
      <status>unmodified</status>
      <modifiedWord/>
      <trackRevisions>false</trackRevisions>
    </reviewItem>
    <reviewItem>
      <errorID>d37a12a6-cf8f-4145-8a4e-2b6bcaa24164</errorID>
      <errorWord>)</errorWord>
      <group>L1_Format</group>
      <groupName>格式问题</groupName>
      <ability>L2_HalfPunc</ability>
      <abilityName>全半角检查</abilityName>
      <candidateList>
        <item>）</item>
      </candidateList>
      <explain>文本全半角错误。</explain>
      <paraID> 4E84D45</paraID>
      <start>195</start>
      <end>196</end>
      <status>unmodified</status>
      <modifiedWord/>
      <trackRevisions>false</trackRevisions>
    </reviewItem>
    <reviewItem>
      <errorID>f8d697b7-11d1-4a53-b2a1-40f667e255f6</errorID>
      <errorWord>(</errorWord>
      <group>L1_Format</group>
      <groupName>格式问题</groupName>
      <ability>L2_HalfPunc</ability>
      <abilityName>全半角检查</abilityName>
      <candidateList>
        <item>（</item>
      </candidateList>
      <explain>文本全半角错误。</explain>
      <paraID>442AA16B</paraID>
      <start>141</start>
      <end>142</end>
      <status>unmodified</status>
      <modifiedWord/>
      <trackRevisions>false</trackRevisions>
    </reviewItem>
    <reviewItem>
      <errorID>36ff80fd-1b85-47e1-b0de-4e8f8f7ecbf4</errorID>
      <errorWord>)</errorWord>
      <group>L1_Format</group>
      <groupName>格式问题</groupName>
      <ability>L2_HalfPunc</ability>
      <abilityName>全半角检查</abilityName>
      <candidateList>
        <item>）</item>
      </candidateList>
      <explain>文本全半角错误。</explain>
      <paraID>442AA16B</paraID>
      <start>144</start>
      <end>145</end>
      <status>unmodified</status>
      <modifiedWord/>
      <trackRevisions>false</trackRevisions>
    </reviewItem>
    <reviewItem>
      <errorID>070e48ec-f636-455f-8487-a48eac8764da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442AA16B</paraID>
      <start>254</start>
      <end>256</end>
      <status>unmodified</status>
      <modifiedWord/>
      <trackRevisions>false</trackRevisions>
    </reviewItem>
    <reviewItem>
      <errorID>abdee4d4-33d7-428f-acb8-ff5dda9671c8</errorID>
      <errorWord>做出</errorWord>
      <group>L1_Word</group>
      <groupName>字词问题</groupName>
      <ability>L2_Typo</ability>
      <abilityName>字词错误</abilityName>
      <candidateList>
        <item>作出</item>
      </candidateList>
      <explain/>
      <paraID>442AA16B</paraID>
      <start>267</start>
      <end>269</end>
      <status>unmodified</status>
      <modifiedWord/>
      <trackRevisions>false</trackRevisions>
    </reviewItem>
    <reviewItem>
      <errorID>3c2f5672-ef13-458c-a31d-f3fb7eb0be76</errorID>
      <errorWord>收</errorWord>
      <group>L1_Word</group>
      <groupName>字词问题</groupName>
      <ability>L2_Typo</ability>
      <abilityName>字词错误</abilityName>
      <candidateList>
        <item>收到</item>
      </candidateList>
      <explain/>
      <paraID> 2FD10D5</paraID>
      <start>64</start>
      <end>66</end>
      <status>modified</status>
      <modifiedWord>收到</modifiedWord>
      <trackRevisions>false</trackRevisions>
    </reviewItem>
    <reviewItem>
      <errorID>f705502b-d8a6-4cd0-9370-45b1141af9e6</errorID>
      <errorWord>子以</errorWord>
      <group>L1_Word</group>
      <groupName>字词问题</groupName>
      <ability>L2_Typo</ability>
      <abilityName>字词错误</abilityName>
      <candidateList>
        <item>予以</item>
      </candidateList>
      <explain>〈动〉给以：～支持｜～警告｜～表扬｜～批评。</explain>
      <paraID> 2FD10D5</paraID>
      <start>97</start>
      <end>99</end>
      <status>modified</status>
      <modifiedWord>予以</modifiedWord>
      <trackRevisions>false</trackRevisions>
    </reviewItem>
    <reviewItem>
      <errorID>037a8410-9e51-41e8-8c4b-dba4d19e10e3</errorID>
      <errorWord>(</errorWord>
      <group>L1_Format</group>
      <groupName>格式问题</groupName>
      <ability>L2_HalfPunc</ability>
      <abilityName>全半角检查</abilityName>
      <candidateList>
        <item>（</item>
      </candidateList>
      <explain>文本全半角错误。</explain>
      <paraID> 79E589C</paraID>
      <start>47</start>
      <end>48</end>
      <status>unmodified</status>
      <modifiedWord/>
      <trackRevisions>false</trackRevisions>
    </reviewItem>
    <reviewItem>
      <errorID>080a223c-a0f4-4693-8bc6-e22f94739f59</errorID>
      <errorWord>)</errorWord>
      <group>L1_Format</group>
      <groupName>格式问题</groupName>
      <ability>L2_HalfPunc</ability>
      <abilityName>全半角检查</abilityName>
      <candidateList>
        <item>）</item>
      </candidateList>
      <explain>文本全半角错误。</explain>
      <paraID> 79E589C</paraID>
      <start>49</start>
      <end>50</end>
      <status>unmodified</status>
      <modifiedWord/>
      <trackRevisions>false</trackRevisions>
    </reviewItem>
    <reviewItem>
      <errorID>dbeda539-5c83-4818-a3d4-321c0957dea5</errorID>
      <errorWord>(</errorWord>
      <group>L1_Format</group>
      <groupName>格式问题</groupName>
      <ability>L2_HalfPunc</ability>
      <abilityName>全半角检查</abilityName>
      <candidateList>
        <item>（</item>
      </candidateList>
      <explain>文本全半角错误。</explain>
      <paraID> 79E589C</paraID>
      <start>82</start>
      <end>83</end>
      <status>unmodified</status>
      <modifiedWord/>
      <trackRevisions>false</trackRevisions>
    </reviewItem>
    <reviewItem>
      <errorID>3827e0b8-6682-4038-8ec0-f04c37040018</errorID>
      <errorWord>)</errorWord>
      <group>L1_Format</group>
      <groupName>格式问题</groupName>
      <ability>L2_HalfPunc</ability>
      <abilityName>全半角检查</abilityName>
      <candidateList>
        <item>）</item>
      </candidateList>
      <explain>文本全半角错误。</explain>
      <paraID> 79E589C</paraID>
      <start>88</start>
      <end>89</end>
      <status>unmodified</status>
      <modifiedWord/>
      <trackRevisions>false</trackRevisions>
    </reviewItem>
    <reviewItem>
      <errorID>6482f613-40c4-4ab7-b49b-271714c76fb0</errorID>
      <errorWord>(</errorWord>
      <group>L1_Format</group>
      <groupName>格式问题</groupName>
      <ability>L2_HalfPunc</ability>
      <abilityName>全半角检查</abilityName>
      <candidateList>
        <item>（</item>
      </candidateList>
      <explain>文本全半角错误。</explain>
      <paraID> 79E589C</paraID>
      <start>98</start>
      <end>99</end>
      <status>unmodified</status>
      <modifiedWord/>
      <trackRevisions>false</trackRevisions>
    </reviewItem>
    <reviewItem>
      <errorID>d7c0747b-a029-4f1b-830b-340f71c07867</errorID>
      <errorWord>)</errorWord>
      <group>L1_Format</group>
      <groupName>格式问题</groupName>
      <ability>L2_HalfPunc</ability>
      <abilityName>全半角检查</abilityName>
      <candidateList>
        <item>）</item>
      </candidateList>
      <explain>文本全半角错误。</explain>
      <paraID> 79E589C</paraID>
      <start>100</start>
      <end>101</end>
      <status>unmodified</status>
      <modifiedWord/>
      <trackRevisions>false</trackRevisions>
    </reviewItem>
    <reviewItem>
      <errorID>d97611b2-0d96-4ce4-84ad-4b5daa2341a1</errorID>
      <errorWord>的</errorWord>
      <group>L1_Word</group>
      <groupName>字词问题</groupName>
      <ability>L2_Typo</ability>
      <abilityName>字词错误</abilityName>
      <candidateList>
        <item>的规</item>
      </candidateList>
      <explain/>
      <paraID>641CA8B1</paraID>
      <start>35</start>
      <end>36</end>
      <status>unmodified</status>
      <modifiedWord/>
      <trackRevisions>false</trackRevisions>
    </reviewItem>
    <reviewItem>
      <errorID>f063176c-dcc5-4837-9ddd-92914cb7a8c4</errorID>
      <errorWord>(</errorWord>
      <group>L1_Format</group>
      <groupName>格式问题</groupName>
      <ability>L2_HalfPunc</ability>
      <abilityName>全半角检查</abilityName>
      <candidateList>
        <item>（</item>
      </candidateList>
      <explain>文本全半角错误。</explain>
      <paraID>641CA8B1</paraID>
      <start>73</start>
      <end>74</end>
      <status>unmodified</status>
      <modifiedWord/>
      <trackRevisions>false</trackRevisions>
    </reviewItem>
    <reviewItem>
      <errorID>23372a7e-94b4-40dd-b71a-b49aeb8af0d9</errorID>
      <errorWord>)</errorWord>
      <group>L1_Format</group>
      <groupName>格式问题</groupName>
      <ability>L2_HalfPunc</ability>
      <abilityName>全半角检查</abilityName>
      <candidateList>
        <item>）</item>
      </candidateList>
      <explain>文本全半角错误。</explain>
      <paraID>641CA8B1</paraID>
      <start>75</start>
      <end>76</end>
      <status>unmodified</status>
      <modifiedWord/>
      <trackRevisions>false</trackRevisions>
    </reviewItem>
    <reviewItem>
      <errorID>6901eddd-e3ea-4289-97f6-313bcd5a15d5</errorID>
      <errorWord>按</errorWord>
      <group>L1_Word</group>
      <groupName>字词问题</groupName>
      <ability>L2_Typo</ability>
      <abilityName>字词错误</abilityName>
      <candidateList>
        <item>按要</item>
      </candidateList>
      <explain/>
      <paraID>641CA8B1</paraID>
      <start>103</start>
      <end>105</end>
      <status>modified</status>
      <modifiedWord>按要</modifiedWord>
      <trackRevisions>false</trackRevisions>
    </reviewItem>
    <reviewItem>
      <errorID>b33f8013-232a-442f-a2af-4311200d64c7</errorID>
      <errorWord>(</errorWord>
      <group>L1_Format</group>
      <groupName>格式问题</groupName>
      <ability>L2_HalfPunc</ability>
      <abilityName>全半角检查</abilityName>
      <candidateList>
        <item>（</item>
      </candidateList>
      <explain>文本全半角错误。</explain>
      <paraID>641CA8B1</paraID>
      <start>108</start>
      <end>109</end>
      <status>unmodified</status>
      <modifiedWord/>
      <trackRevisions>false</trackRevisions>
    </reviewItem>
    <reviewItem>
      <errorID>a7a5b41e-3bd8-4e8c-a453-afefb8cb4480</errorID>
      <errorWord>)</errorWord>
      <group>L1_Format</group>
      <groupName>格式问题</groupName>
      <ability>L2_HalfPunc</ability>
      <abilityName>全半角检查</abilityName>
      <candidateList>
        <item>）</item>
      </candidateList>
      <explain>文本全半角错误。</explain>
      <paraID>641CA8B1</paraID>
      <start>114</start>
      <end>115</end>
      <status>unmodified</status>
      <modifiedWord/>
      <trackRevisions>false</trackRevisions>
    </reviewItem>
    <reviewItem>
      <errorID>f2d7bcc9-d7b1-49fd-a326-6929138a6fbc</errorID>
      <errorWord>(</errorWord>
      <group>L1_Format</group>
      <groupName>格式问题</groupName>
      <ability>L2_HalfPunc</ability>
      <abilityName>全半角检查</abilityName>
      <candidateList>
        <item>（</item>
      </candidateList>
      <explain>文本全半角错误。</explain>
      <paraID>641CA8B1</paraID>
      <start>124</start>
      <end>125</end>
      <status>unmodified</status>
      <modifiedWord/>
      <trackRevisions>false</trackRevisions>
    </reviewItem>
    <reviewItem>
      <errorID>46ebd59c-47b2-47a8-a9a8-9bfb1e766fa9</errorID>
      <errorWord>)</errorWord>
      <group>L1_Format</group>
      <groupName>格式问题</groupName>
      <ability>L2_HalfPunc</ability>
      <abilityName>全半角检查</abilityName>
      <candidateList>
        <item>）</item>
      </candidateList>
      <explain>文本全半角错误。</explain>
      <paraID>641CA8B1</paraID>
      <start>126</start>
      <end>127</end>
      <status>unmodified</status>
      <modifiedWord/>
      <trackRevisions>false</trackRevisions>
    </reviewItem>
    <reviewItem>
      <errorID>b0dd54a2-c495-478b-922d-fc6a7e3f0066</errorID>
      <errorWord>合价</errorWord>
      <group>L1_Word</group>
      <groupName>字词问题</groupName>
      <ability>L2_Typo</ability>
      <abilityName>字词错误</abilityName>
      <candidateList>
        <item>合计</item>
      </candidateList>
      <explain/>
      <paraID>16527863</paraID>
      <start>44</start>
      <end>46</end>
      <status>modified</status>
      <modifiedWord>合计</modifiedWord>
      <trackRevisions>false</trackRevisions>
    </reviewItem>
    <reviewItem>
      <errorID>1ad263a0-da69-427a-92cf-d3b7ee4ead35</errorID>
      <errorWord>&lt;</errorWord>
      <group>L1_Format</group>
      <groupName>格式问题</groupName>
      <ability>L2_HalfPunc</ability>
      <abilityName>全半角检查</abilityName>
      <candidateList>
        <item>〈</item>
      </candidateList>
      <explain>文本全半角错误。</explain>
      <paraID>3FC075FE</paraID>
      <start>67</start>
      <end>68</end>
      <status>unmodified</status>
      <modifiedWord/>
      <trackRevisions>false</trackRevisions>
    </reviewItem>
    <reviewItem>
      <errorID>04340a6e-66e2-4176-88eb-0b82cd32f99d</errorID>
      <errorWord>&gt;</errorWord>
      <group>L1_Format</group>
      <groupName>格式问题</groupName>
      <ability>L2_HalfPunc</ability>
      <abilityName>全半角检查</abilityName>
      <candidateList>
        <item>〉</item>
      </candidateList>
      <explain>文本全半角错误。</explain>
      <paraID>3FC075FE</paraID>
      <start>77</start>
      <end>78</end>
      <status>unmodified</status>
      <modifiedWord/>
      <trackRevisions>false</trackRevisions>
    </reviewItem>
    <reviewItem>
      <errorID>1516af48-fb48-4d0d-9ff0-280019ea0cfc</errorID>
      <errorWord>法律、法规</errorWord>
      <group>L1_Word</group>
      <groupName>字词问题</groupName>
      <ability>L2_Typo</ability>
      <abilityName>字词错误</abilityName>
      <candidateList>
        <item>法律法规</item>
      </candidateList>
      <explain/>
      <paraID>3C418608</paraID>
      <start>3</start>
      <end>8</end>
      <status>unmodified</status>
      <modifiedWord/>
      <trackRevisions>false</trackRevisions>
    </reviewItem>
    <reviewItem>
      <errorID>f4e4adc7-25eb-4a27-a104-e146978340b5</errorID>
      <errorWord>-</errorWord>
      <group>L1_Format</group>
      <groupName>格式问题</groupName>
      <ability>L2_HalfPunc</ability>
      <abilityName>全半角检查</abilityName>
      <candidateList>
        <item>－</item>
      </candidateList>
      <explain>文本全半角错误。</explain>
      <paraID>1B919723</paraID>
      <start>151</start>
      <end>152</end>
      <status>unmodified</status>
      <modifiedWord/>
      <trackRevisions>false</trackRevisions>
    </reviewItem>
    <reviewItem>
      <errorID>b35ef103-9a0d-4820-b967-093105f4092b</errorID>
      <errorWord>(</errorWord>
      <group>L1_Format</group>
      <groupName>格式问题</groupName>
      <ability>L2_HalfPunc</ability>
      <abilityName>全半角检查</abilityName>
      <candidateList>
        <item>（</item>
      </candidateList>
      <explain>文本全半角错误。</explain>
      <paraID>1833FEE5</paraID>
      <start>68</start>
      <end>69</end>
      <status>unmodified</status>
      <modifiedWord/>
      <trackRevisions>false</trackRevisions>
    </reviewItem>
    <reviewItem>
      <errorID>d6b950eb-026b-47d1-9e13-aeb1ebe7be40</errorID>
      <errorWord>)</errorWord>
      <group>L1_Format</group>
      <groupName>格式问题</groupName>
      <ability>L2_HalfPunc</ability>
      <abilityName>全半角检查</abilityName>
      <candidateList>
        <item>）</item>
      </candidateList>
      <explain>文本全半角错误。</explain>
      <paraID>1833FEE5</paraID>
      <start>90</start>
      <end>91</end>
      <status>unmodified</status>
      <modifiedWord/>
      <trackRevisions>false</trackRevisions>
    </reviewItem>
    <reviewItem>
      <errorID>d78046a9-1ec6-4e3a-9048-436657313e12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42265933</paraID>
      <start>0</start>
      <end>3</end>
      <status>unmodified</status>
      <modifiedWord/>
      <trackRevisions>false</trackRevisions>
    </reviewItem>
    <reviewItem>
      <errorID>4fe8f0d1-e774-4ec5-a1c2-fda7bc02e337</errorID>
      <errorWord>证</errorWord>
      <group>L1_Word</group>
      <groupName>字词问题</groupName>
      <ability>L2_Typo</ability>
      <abilityName>字词错误</abilityName>
      <candidateList>
        <item>证金</item>
      </candidateList>
      <explain/>
      <paraID>3A0B0A36</paraID>
      <start>31</start>
      <end>32</end>
      <status>unmodified</status>
      <modifiedWord/>
      <trackRevisions>false</trackRevisions>
    </reviewItem>
    <reviewItem>
      <errorID>4a710473-f45e-4627-ba3c-c537e796b2d8</errorID>
      <errorWord>登陆</errorWord>
      <group>L1_Word</group>
      <groupName>字词问题</groupName>
      <ability>L2_Typo</ability>
      <abilityName>字词错误</abilityName>
      <candidateList>
        <item>登录</item>
      </candidateList>
      <explain>存在发音相同字词的误用。</explain>
      <paraID>3A0B0A36</paraID>
      <start>58</start>
      <end>60</end>
      <status>modified</status>
      <modifiedWord>登录</modifiedWord>
      <trackRevisions>false</trackRevisions>
    </reviewItem>
    <reviewItem>
      <errorID>c4c2c4c1-a408-4858-9915-49da538cabe8</errorID>
      <errorWord>证</errorWord>
      <group>L1_Word</group>
      <groupName>字词问题</groupName>
      <ability>L2_Typo</ability>
      <abilityName>字词错误</abilityName>
      <candidateList>
        <item>证金</item>
      </candidateList>
      <explain/>
      <paraID>6F55AECE</paraID>
      <start>93</start>
      <end>94</end>
      <status>unmodified</status>
      <modifiedWord/>
      <trackRevisions>false</trackRevisions>
    </reviewItem>
    <reviewItem>
      <errorID>bdedfcbc-6d6d-4689-87eb-68092fb87a72</errorID>
      <errorWord>截至</errorWord>
      <group>L1_Word</group>
      <groupName>字词问题</groupName>
      <ability>L2_Typo</ability>
      <abilityName>字词错误</abilityName>
      <candidateList>
        <item>截止</item>
      </candidateList>
      <explain>〈动〉（到一定期限）停止：报名在昨天已经～。</explain>
      <paraID>28B4A72E</paraID>
      <start>90</start>
      <end>92</end>
      <status>modified</status>
      <modifiedWord>截止</modifiedWord>
      <trackRevisions>false</trackRevisions>
    </reviewItem>
    <reviewItem>
      <errorID>ccb121e5-0345-4522-87e2-bcbb0ae38a3b</errorID>
      <errorWord>证</errorWord>
      <group>L1_Word</group>
      <groupName>字词问题</groupName>
      <ability>L2_Typo</ability>
      <abilityName>字词错误</abilityName>
      <candidateList>
        <item>证金</item>
      </candidateList>
      <explain/>
      <paraID>25ACB460</paraID>
      <start>91</start>
      <end>92</end>
      <status>unmodified</status>
      <modifiedWord/>
      <trackRevisions>false</trackRevisions>
    </reviewItem>
    <reviewItem>
      <errorID>9fc23b71-d983-4987-b975-fbec5b53ac08</errorID>
      <errorWord>证</errorWord>
      <group>L1_Word</group>
      <groupName>字词问题</groupName>
      <ability>L2_Typo</ability>
      <abilityName>字词错误</abilityName>
      <candidateList>
        <item>证金</item>
      </candidateList>
      <explain/>
      <paraID>621FF29A</paraID>
      <start>51</start>
      <end>52</end>
      <status>unmodified</status>
      <modifiedWord/>
      <trackRevisions>false</trackRevisions>
    </reviewItem>
    <reviewItem>
      <errorID>3bb3ba39-07e9-4247-9d6c-7aaac006ac66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1398D94A</paraID>
      <start>70</start>
      <end>71</end>
      <status>modified</status>
      <modifiedWord>并</modifiedWord>
      <trackRevisions>false</trackRevisions>
    </reviewItem>
    <reviewItem>
      <errorID>f05d487b-d91b-496d-949f-50731f0a04b6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67AEB31A</paraID>
      <start>0</start>
      <end>3</end>
      <status>unmodified</status>
      <modifiedWord/>
      <trackRevisions>false</trackRevisions>
    </reviewItem>
    <reviewItem>
      <errorID>14938840-4f2a-403d-9af3-c050b377f4a7</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67D5E73E</paraID>
      <start>0</start>
      <end>3</end>
      <status>unmodified</status>
      <modifiedWord/>
      <trackRevisions>false</trackRevisions>
    </reviewItem>
    <reviewItem>
      <errorID>5e8bbbc9-d359-4e0b-b0f1-ea83691faa10</errorID>
      <errorWord>,</errorWord>
      <group>L1_Format</group>
      <groupName>格式问题</groupName>
      <ability>L2_HalfPunc</ability>
      <abilityName>全半角检查</abilityName>
      <candidateList>
        <item>，</item>
      </candidateList>
      <explain>文本全半角错误。</explain>
      <paraID>22E95F6E</paraID>
      <start>24</start>
      <end>25</end>
      <status>unmodified</status>
      <modifiedWord/>
      <trackRevisions>false</trackRevisions>
    </reviewItem>
    <reviewItem>
      <errorID>d09987af-7b7d-43a3-98aa-602dd10b349b</errorID>
      <errorWord>-</errorWord>
      <group>L1_Format</group>
      <groupName>格式问题</groupName>
      <ability>L2_HalfPunc</ability>
      <abilityName>全半角检查</abilityName>
      <candidateList>
        <item>－</item>
      </candidateList>
      <explain>文本全半角错误。</explain>
      <paraID>33C77EC8</paraID>
      <start>99</start>
      <end>100</end>
      <status>unmodified</status>
      <modifiedWord/>
      <trackRevisions>false</trackRevisions>
    </reviewItem>
    <reviewItem>
      <errorID>590dde91-2101-4931-be55-d91467894cb1</errorID>
      <errorWord>-</errorWord>
      <group>L1_Format</group>
      <groupName>格式问题</groupName>
      <ability>L2_HalfPunc</ability>
      <abilityName>全半角检查</abilityName>
      <candidateList>
        <item>－</item>
      </candidateList>
      <explain>文本全半角错误。</explain>
      <paraID>33C77EC8</paraID>
      <start>105</start>
      <end>106</end>
      <status>unmodified</status>
      <modifiedWord/>
      <trackRevisions>false</trackRevisions>
    </reviewItem>
    <reviewItem>
      <errorID>b0532fcc-f44b-4f80-9685-a23934120bcf</errorID>
      <errorWord>(</errorWord>
      <group>L1_Format</group>
      <groupName>格式问题</groupName>
      <ability>L2_HalfPunc</ability>
      <abilityName>全半角检查</abilityName>
      <candidateList>
        <item>（</item>
      </candidateList>
      <explain>文本全半角错误。</explain>
      <paraID>33C77EC8</paraID>
      <start>110</start>
      <end>111</end>
      <status>unmodified</status>
      <modifiedWord/>
      <trackRevisions>false</trackRevisions>
    </reviewItem>
    <reviewItem>
      <errorID>f74e3df6-05eb-4c2b-af79-01113f8a55da</errorID>
      <errorWord>到</errorWord>
      <group>L1_Word</group>
      <groupName>字词问题</groupName>
      <ability>L2_Typo</ability>
      <abilityName>字词错误</abilityName>
      <candidateList>
        <item>至</item>
      </candidateList>
      <explain>存在字形相近字词的误用。</explain>
      <paraID>2FE137A8</paraID>
      <start>45</start>
      <end>46</end>
      <status>modified</status>
      <modifiedWord>至</modifiedWord>
      <trackRevisions>false</trackRevisions>
    </reviewItem>
    <reviewItem>
      <errorID>b7fc337b-bdc0-44be-9158-8a2dc908ec07</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69FE146D</paraID>
      <start>0</start>
      <end>3</end>
      <status>unmodified</status>
      <modifiedWord/>
      <trackRevisions>false</trackRevisions>
    </reviewItem>
    <reviewItem>
      <errorID>ec63d7af-04df-4a24-84d3-f70650d1239f</errorID>
      <errorWord>,</errorWord>
      <group>L1_Format</group>
      <groupName>格式问题</groupName>
      <ability>L2_HalfPunc</ability>
      <abilityName>全半角检查</abilityName>
      <candidateList>
        <item>，</item>
      </candidateList>
      <explain>文本全半角错误。</explain>
      <paraID>5159F32D</paraID>
      <start>24</start>
      <end>25</end>
      <status>unmodified</status>
      <modifiedWord/>
      <trackRevisions>false</trackRevisions>
    </reviewItem>
    <reviewItem>
      <errorID>66de457c-297a-41b7-9cb8-5dc275f19140</errorID>
      <errorWord>纪检监察等机关</errorWord>
      <group>L1_Political</group>
      <groupName>政治性问题</groupName>
      <ability>L2_Keyword</ability>
      <abilityName>固定表述</abilityName>
      <candidateList>
        <item>纪检监察机关</item>
      </candidateList>
      <explain>词汇“纪检监察机关”在特定场景下为固定表述形式，请确认此处的“纪检监察等机关”是否存在不当。</explain>
      <paraID> 912C035</paraID>
      <start>15</start>
      <end>22</end>
      <status>unmodified</status>
      <modifiedWord/>
      <trackRevisions>false</trackRevisions>
    </reviewItem>
    <reviewItem>
      <errorID>e929772d-ac6f-4380-b182-94855c337550</errorID>
      <errorWord>程</errorWord>
      <group>L1_Word</group>
      <groupName>字词问题</groupName>
      <ability>L2_Typo</ability>
      <abilityName>字词错误</abilityName>
      <candidateList>
        <item>程中</item>
      </candidateList>
      <explain/>
      <paraID>4BA0561D</paraID>
      <start>36</start>
      <end>37</end>
      <status>ignored</status>
      <modifiedWord/>
      <trackRevisions>false</trackRevisions>
    </reviewItem>
    <reviewItem>
      <errorID>b8b37b51-ddf1-4871-8e1e-0fa4706d4a63</errorID>
      <errorWord>证</errorWord>
      <group>L1_Word</group>
      <groupName>字词问题</groupName>
      <ability>L2_Typo</ability>
      <abilityName>字词错误</abilityName>
      <candidateList>
        <item>证金</item>
      </candidateList>
      <explain/>
      <paraID>5FECADA4</paraID>
      <start>30</start>
      <end>31</end>
      <status>unmodified</status>
      <modifiedWord/>
      <trackRevisions>false</trackRevisions>
    </reviewItem>
    <reviewItem>
      <errorID>9a9b0285-4997-464f-b7a6-6761c02b1e8d</errorID>
      <errorWord>,</errorWord>
      <group>L1_Format</group>
      <groupName>格式问题</groupName>
      <ability>L2_HalfPunc</ability>
      <abilityName>全半角检查</abilityName>
      <candidateList>
        <item>，</item>
      </candidateList>
      <explain>文本全半角错误。</explain>
      <paraID> D667AD6</paraID>
      <start>128</start>
      <end>129</end>
      <status>unmodified</status>
      <modifiedWord/>
      <trackRevisions>false</trackRevisions>
    </reviewItem>
    <reviewItem>
      <errorID>2d5021c7-baa2-403b-88de-157e42b9841a</errorID>
      <errorWord>百千万工程</errorWord>
      <group>L1_Political</group>
      <groupName>政治性问题</groupName>
      <ability>L2_Keyword</ability>
      <abilityName>固定表述</abilityName>
      <candidateList>
        <item>“百千万工程”</item>
      </candidateList>
      <explain>注意检查当前固定表述标点是否使用规范。</explain>
      <paraID> 4F2B8C6</paraID>
      <start>73</start>
      <end>78</end>
      <status>unmodified</status>
      <modifiedWord/>
      <trackRevisions>false</trackRevisions>
    </reviewItem>
    <reviewItem>
      <errorID>f50b7e83-d79b-4c3e-98b5-bea77ff10c9f</errorID>
      <errorWord>百千万工程</errorWord>
      <group>L1_Political</group>
      <groupName>政治性问题</groupName>
      <ability>L2_Keyword</ability>
      <abilityName>固定表述</abilityName>
      <candidateList>
        <item>“百千万工程”</item>
      </candidateList>
      <explain>注意检查当前固定表述标点是否使用规范。</explain>
      <paraID>3B67E3D3</paraID>
      <start>10</start>
      <end>15</end>
      <status>unmodified</status>
      <modifiedWord/>
      <trackRevisions>false</trackRevisions>
    </reviewItem>
    <reviewItem>
      <errorID>eaf0078d-e6f1-4a75-97fd-742e3c813610</errorID>
      <errorWord>格式格式</errorWord>
      <group>L1_Word</group>
      <groupName>字词问题</groupName>
      <ability>L2_Typo</ability>
      <abilityName>字词错误</abilityName>
      <candidateList>
        <item>格式</item>
      </candidateList>
      <explain/>
      <paraID>3B67E3D3</paraID>
      <start>56</start>
      <end>58</end>
      <status>modified</status>
      <modifiedWord>格式</modifiedWord>
      <trackRevisions>false</trackRevisions>
    </reviewItem>
    <reviewItem>
      <errorID>a8a570ad-884c-4886-961d-f95c709085c7</errorID>
      <errorWord>地</errorWord>
      <group>L1_Word</group>
      <groupName>字词问题</groupName>
      <ability>L2_DDD</ability>
      <abilityName>的地得用法</abilityName>
      <candidateList>
        <item>的</item>
      </candidateList>
      <explain>“的”常用于连接修饰语与名词性中心语，表示属性、所属或描述。</explain>
      <paraID>44DCEB32</paraID>
      <start>36</start>
      <end>37</end>
      <status>unmodified</status>
      <modifiedWord/>
      <trackRevisions>false</trackRevisions>
    </reviewItem>
    <reviewItem>
      <errorID>aac898c0-c7b3-4b78-9f82-0e3ecd447fd6</errorID>
      <errorWord>地</errorWord>
      <group>L1_Word</group>
      <groupName>字词问题</groupName>
      <ability>L2_DDD</ability>
      <abilityName>的地得用法</abilityName>
      <candidateList>
        <item>的</item>
      </candidateList>
      <explain>“的”常用于连接修饰语与名词性中心语，表示属性、所属或描述。</explain>
      <paraID>7CFDD934</paraID>
      <start>37</start>
      <end>38</end>
      <status>modified</status>
      <modifiedWord>的</modifiedWord>
      <trackRevisions>false</trackRevisions>
    </reviewItem>
    <reviewItem>
      <errorID>3c602e41-dbe9-4878-b564-6dbc705ccad2</errorID>
      <errorWord>法律、法规</errorWord>
      <group>L1_Word</group>
      <groupName>字词问题</groupName>
      <ability>L2_Typo</ability>
      <abilityName>字词错误</abilityName>
      <candidateList>
        <item>法律法规</item>
      </candidateList>
      <explain/>
      <paraID>10FB0658</paraID>
      <start>4</start>
      <end>9</end>
      <status>unmodified</status>
      <modifiedWord/>
      <trackRevisions>false</trackRevisions>
    </reviewItem>
    <reviewItem>
      <errorID>936c1a49-1151-47a4-aa6c-1baeda026c52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61BED950</paraID>
      <start>0</start>
      <end>2</end>
      <status>unmodified</status>
      <modifiedWord/>
      <trackRevisions>false</trackRevisions>
    </reviewItem>
    <reviewItem>
      <errorID>f8144408-8443-4507-83b2-5f4b5674fd33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1C6A1A35</paraID>
      <start>0</start>
      <end>2</end>
      <status>unmodified</status>
      <modifiedWord/>
      <trackRevisions>false</trackRevisions>
    </reviewItem>
    <reviewItem>
      <errorID>a750b56c-9408-48aa-8f8f-cef8e05d5bcd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2E9D3F91</paraID>
      <start>0</start>
      <end>2</end>
      <status>unmodified</status>
      <modifiedWord/>
      <trackRevisions>false</trackRevisions>
    </reviewItem>
    <reviewItem>
      <errorID>c650f58e-31a3-4bd7-9de5-0ced303547fb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695FA17D</paraID>
      <start>0</start>
      <end>2</end>
      <status>unmodified</status>
      <modifiedWord/>
      <trackRevisions>false</trackRevisions>
    </reviewItem>
    <reviewItem>
      <errorID>11a2bae8-f506-405e-8cf0-4b61b68b9c35</errorID>
      <errorWord>,</errorWord>
      <group>L1_Format</group>
      <groupName>格式问题</groupName>
      <ability>L2_HalfPunc</ability>
      <abilityName>全半角检查</abilityName>
      <candidateList>
        <item>，</item>
      </candidateList>
      <explain>文本全半角错误。</explain>
      <paraID>695FA17D</paraID>
      <start>62</start>
      <end>63</end>
      <status>unmodified</status>
      <modifiedWord/>
      <trackRevisions>false</trackRevisions>
    </reviewItem>
    <reviewItem>
      <errorID>c1100328-7eb1-4c11-9109-17a5c7b3f8cb</errorID>
      <errorWord>－（</errorWord>
      <group>L1_Format</group>
      <groupName>格式问题</groupName>
      <ability>L2_HalfPunc</ability>
      <abilityName>全半角检查</abilityName>
      <candidateList>
        <item>-(</item>
      </candidateList>
      <explain>文本全半角错误。</explain>
      <paraID>4D1FE51C</paraID>
      <start>5</start>
      <end>7</end>
      <status>unmodified</status>
      <modifiedWord/>
      <trackRevisions>false</trackRevisions>
    </reviewItem>
    <reviewItem>
      <errorID>c9390f02-0b11-415c-85e9-62b75bd9385f</errorID>
      <errorWord>－</errorWord>
      <group>L1_Format</group>
      <groupName>格式问题</groupName>
      <ability>L2_HalfPunc</ability>
      <abilityName>全半角检查</abilityName>
      <candidateList>
        <item>-</item>
      </candidateList>
      <explain>文本全半角错误。</explain>
      <paraID>4D1FE51C</paraID>
      <start>11</start>
      <end>12</end>
      <status>unmodified</status>
      <modifiedWord/>
      <trackRevisions>false</trackRevisions>
    </reviewItem>
    <reviewItem>
      <errorID>8301a157-49ae-48b1-8111-17516975ce95</errorID>
      <errorWord>）</errorWord>
      <group>L1_Format</group>
      <groupName>格式问题</groupName>
      <ability>L2_HalfPunc</ability>
      <abilityName>全半角检查</abilityName>
      <candidateList>
        <item>)</item>
      </candidateList>
      <explain>文本全半角错误。</explain>
      <paraID>4D1FE51C</paraID>
      <start>18</start>
      <end>19</end>
      <status>unmodified</status>
      <modifiedWord/>
      <trackRevisions>false</trackRevisions>
    </reviewItem>
    <reviewItem>
      <errorID>064de9cb-93a8-4233-bbf4-234085c36032</errorID>
      <errorWord>的的</errorWord>
      <group>L1_Word</group>
      <groupName>字词问题</groupName>
      <ability>L2_Typo</ability>
      <abilityName>字词错误</abilityName>
      <candidateList>
        <item>的</item>
      </candidateList>
      <explain>“的”常用于连接修饰语与名词性中心语，表示属性、所属或描述。</explain>
      <paraID>2A53C32D</paraID>
      <start>74</start>
      <end>75</end>
      <status>modified</status>
      <modifiedWord>的</modifiedWord>
      <trackRevisions>false</trackRevisions>
    </reviewItem>
    <reviewItem>
      <errorID>f32328f9-5429-4bbd-83d4-a01c9bd00490</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53CE7DA3</paraID>
      <start>7</start>
      <end>18</end>
      <status>unmodified</status>
      <modifiedWord/>
      <trackRevisions>false</trackRevisions>
    </reviewItem>
    <reviewItem>
      <errorID>28db4bd1-4030-468b-a156-877c452ddba2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6D0231FC</paraID>
      <start>0</start>
      <end>2</end>
      <status>unmodified</status>
      <modifiedWord/>
      <trackRevisions>false</trackRevisions>
    </reviewItem>
    <reviewItem>
      <errorID>8c13dfa7-9f1a-41ab-8807-8c5c0fe5bc90</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1AFDFC6B</paraID>
      <start>4</start>
      <end>15</end>
      <status>unmodified</status>
      <modifiedWord/>
      <trackRevisions>false</trackRevisions>
    </reviewItem>
    <reviewItem>
      <errorID>d4e272f9-a739-446c-9147-27633e054428</errorID>
      <errorWord>2020年01月01日</errorWord>
      <group>L1_Knowledge</group>
      <groupName>知识性问题</groupName>
      <ability>L2_Time</ability>
      <abilityName>日期时间</abilityName>
      <candidateList>
        <item>2020年1月1日</item>
      </candidateList>
      <explain>根据日常书写习惯，月份和日期一般会省略前导零。</explain>
      <paraID>51D6C023</paraID>
      <start>7</start>
      <end>18</end>
      <status>unmodified</status>
      <modifiedWord/>
      <trackRevisions>false</trackRevisions>
    </reviewItem>
    <reviewItem>
      <errorID>b9563de3-4a2e-4bbd-b68a-08359a6f7c88</errorID>
      <errorWord>国</errorWord>
      <group>L1_Word</group>
      <groupName>字词问题</groupName>
      <ability>L2_Typo</ability>
      <abilityName>字词错误</abilityName>
      <candidateList>
        <item>国家</item>
      </candidateList>
      <explain/>
      <paraID>58393E4C</paraID>
      <start>9</start>
      <end>10</end>
      <status>unmodified</status>
      <modifiedWord/>
      <trackRevisions>false</trackRevisions>
    </reviewItem>
    <reviewItem>
      <errorID>5938ed0e-7bc8-4ea3-bf91-0ccc1a6c1c12</errorID>
      <errorWord>(</errorWord>
      <group>L1_Format</group>
      <groupName>格式问题</groupName>
      <ability>L2_HalfPunc</ability>
      <abilityName>全半角检查</abilityName>
      <candidateList>
        <item>（</item>
      </candidateList>
      <explain>文本全半角错误。</explain>
      <paraID>58393E4C</paraID>
      <start>22</start>
      <end>23</end>
      <status>unmodified</status>
      <modifiedWord/>
      <trackRevisions>false</trackRevisions>
    </reviewItem>
    <reviewItem>
      <errorID>ef92bcf5-4c23-431e-830e-84a7875e32ed</errorID>
      <errorWord>)</errorWord>
      <group>L1_Format</group>
      <groupName>格式问题</groupName>
      <ability>L2_HalfPunc</ability>
      <abilityName>全半角检查</abilityName>
      <candidateList>
        <item>）</item>
      </candidateList>
      <explain>文本全半角错误。</explain>
      <paraID>58393E4C</paraID>
      <start>30</start>
      <end>31</end>
      <status>unmodified</status>
      <modifiedWord/>
      <trackRevisions>false</trackRevisions>
    </reviewItem>
    <reviewItem>
      <errorID>d43302f3-5519-4501-8f75-a6b2cc16d12e</errorID>
      <errorWord>注</errorWord>
      <group>L1_Knowledge</group>
      <groupName>知识性问题</groupName>
      <ability>L2_Knowledge</ability>
      <abilityName>其他知识</abilityName>
      <candidateList>
        <item>项</item>
      </candidateList>
      <explain>请检查“注”是否为量词使用错误，建议修改为“项”。</explain>
      <paraID>15CCA8D3</paraID>
      <start>27</start>
      <end>28</end>
      <status>unmodified</status>
      <modifiedWord/>
      <trackRevisions>false</trackRevisions>
    </reviewItem>
    <reviewItem>
      <errorID>12b62dae-48ee-47c8-a8e8-db5a8113450c</errorID>
      <errorWord>)</errorWord>
      <group>L1_Format</group>
      <groupName>格式问题</groupName>
      <ability>L2_HalfPunc</ability>
      <abilityName>全半角检查</abilityName>
      <candidateList>
        <item>）</item>
      </candidateList>
      <explain>文本全半角错误。</explain>
      <paraID>475C281E</paraID>
      <start>47</start>
      <end>48</end>
      <status>unmodified</status>
      <modifiedWord/>
      <trackRevisions>false</trackRevisions>
    </reviewItem>
    <reviewItem>
      <errorID>26887272-1788-4d39-b8c1-f464f959786e</errorID>
      <errorWord>,</errorWord>
      <group>L1_Format</group>
      <groupName>格式问题</groupName>
      <ability>L2_HalfPunc</ability>
      <abilityName>全半角检查</abilityName>
      <candidateList>
        <item>，</item>
      </candidateList>
      <explain>文本全半角错误。</explain>
      <paraID>1684C90E</paraID>
      <start>16</start>
      <end>17</end>
      <status>unmodified</status>
      <modifiedWord/>
      <trackRevisions>false</trackRevisions>
    </reviewItem>
    <reviewItem>
      <errorID>612151e2-31c6-49ee-87a0-84b73d0a0f07</errorID>
      <errorWord>－（</errorWord>
      <group>L1_Format</group>
      <groupName>格式问题</groupName>
      <ability>L2_HalfPunc</ability>
      <abilityName>全半角检查</abilityName>
      <candidateList>
        <item>-(</item>
      </candidateList>
      <explain>文本全半角错误。</explain>
      <paraID>71C92F26</paraID>
      <start>5</start>
      <end>7</end>
      <status>unmodified</status>
      <modifiedWord/>
      <trackRevisions>false</trackRevisions>
    </reviewItem>
    <reviewItem>
      <errorID>fe5f5227-0df0-401f-be1d-3603c1924295</errorID>
      <errorWord>－</errorWord>
      <group>L1_Format</group>
      <groupName>格式问题</groupName>
      <ability>L2_HalfPunc</ability>
      <abilityName>全半角检查</abilityName>
      <candidateList>
        <item>-</item>
      </candidateList>
      <explain>文本全半角错误。</explain>
      <paraID>71C92F26</paraID>
      <start>10</start>
      <end>11</end>
      <status>unmodified</status>
      <modifiedWord/>
      <trackRevisions>false</trackRevisions>
    </reviewItem>
    <reviewItem>
      <errorID>ee1a4c8a-2dee-4024-997c-f40ef40369a5</errorID>
      <errorWord>）</errorWord>
      <group>L1_Format</group>
      <groupName>格式问题</groupName>
      <ability>L2_HalfPunc</ability>
      <abilityName>全半角检查</abilityName>
      <candidateList>
        <item>)</item>
      </candidateList>
      <explain>文本全半角错误。</explain>
      <paraID>71C92F26</paraID>
      <start>15</start>
      <end>16</end>
      <status>unmodified</status>
      <modifiedWord/>
      <trackRevisions>false</trackRevisions>
    </reviewItem>
    <reviewItem>
      <errorID>0a134ede-5e82-4908-8076-39d4c446308b</errorID>
      <errorWord>,</errorWord>
      <group>L1_Format</group>
      <groupName>格式问题</groupName>
      <ability>L2_HalfPunc</ability>
      <abilityName>全半角检查</abilityName>
      <candidateList>
        <item>，</item>
      </candidateList>
      <explain>文本全半角错误。</explain>
      <paraID>4D823C4B</paraID>
      <start>174</start>
      <end>175</end>
      <status>unmodified</status>
      <modifiedWord/>
      <trackRevisions>false</trackRevisions>
    </reviewItem>
    <reviewItem>
      <errorID>7c50bb00-c2e5-4302-aa37-47feeb14254d</errorID>
      <errorWord>收</errorWord>
      <group>L1_Word</group>
      <groupName>字词问题</groupName>
      <ability>L2_Typo</ability>
      <abilityName>字词错误</abilityName>
      <candidateList>
        <item>收到</item>
      </candidateList>
      <explain/>
      <paraID>165314F3</paraID>
      <start>11</start>
      <end>12</end>
      <status>unmodified</status>
      <modifiedWord/>
      <trackRevisions>false</trackRevisions>
    </reviewItem>
    <reviewItem>
      <errorID>ddf4a77e-8858-4e8b-9a6e-c82e5da10282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3AB5B4D8</paraID>
      <start>0</start>
      <end>2</end>
      <status>unmodified</status>
      <modifiedWord/>
      <trackRevisions>false</trackRevisions>
    </reviewItem>
    <reviewItem>
      <errorID>63e4c9e1-42a0-43a5-9661-1504ffff4c8c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56669D73</paraID>
      <start>0</start>
      <end>2</end>
      <status>unmodified</status>
      <modifiedWord/>
      <trackRevisions>false</trackRevisions>
    </reviewItem>
    <reviewItem>
      <errorID>f2165bd2-1a84-4fc3-b786-9faa28be5cda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5129B660</paraID>
      <start>0</start>
      <end>2</end>
      <status>unmodified</status>
      <modifiedWord/>
      <trackRevisions>false</trackRevisions>
    </reviewItem>
    <reviewItem>
      <errorID>beeb2f34-fed4-4097-a364-13582e730150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576061E8</paraID>
      <start>0</start>
      <end>2</end>
      <status>unmodified</status>
      <modifiedWord/>
      <trackRevisions>false</trackRevisions>
    </reviewItem>
    <reviewItem>
      <errorID>53f1614d-33bb-4d46-9f79-50c50770ee3f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1015F45</paraID>
      <start>0</start>
      <end>2</end>
      <status>unmodified</status>
      <modifiedWord/>
      <trackRevisions>false</trackRevisions>
    </reviewItem>
    <reviewItem>
      <errorID>15f8bac3-9be7-4e66-b039-b602bb391d0b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54F408E6</paraID>
      <start>0</start>
      <end>2</end>
      <status>unmodified</status>
      <modifiedWord/>
      <trackRevisions>false</trackRevisions>
    </reviewItem>
    <reviewItem>
      <errorID>b49902e5-811a-485c-aa7c-05fb87c53933</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3319B5E7</paraID>
      <start>63</start>
      <end>66</end>
      <status>unmodified</status>
      <modifiedWord/>
      <trackRevisions>false</trackRevisions>
    </reviewItem>
    <reviewItem>
      <errorID>ce4b306f-8564-4388-8140-32c3da86c849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712062EB</paraID>
      <start>4</start>
      <end>6</end>
      <status>unmodified</status>
      <modifiedWord/>
      <trackRevisions>false</trackRevisions>
    </reviewItem>
    <reviewItem>
      <errorID>8aaf4928-2862-4829-851c-441aaec57613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A378CA2</paraID>
      <start>4</start>
      <end>6</end>
      <status>unmodified</status>
      <modifiedWord/>
      <trackRevisions>false</trackRevisions>
    </reviewItem>
    <reviewItem>
      <errorID>8be52c2d-4b2b-4e43-af24-c4e95f35432b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492D6AC8</paraID>
      <start>4</start>
      <end>6</end>
      <status>unmodified</status>
      <modifiedWord/>
      <trackRevisions>false</trackRevisions>
    </reviewItem>
    <reviewItem>
      <errorID>229037e2-a8a0-4ad9-8ce9-5a901df45561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CD05AB4</paraID>
      <start>0</start>
      <end>2</end>
      <status>unmodified</status>
      <modifiedWord/>
      <trackRevisions>false</trackRevisions>
    </reviewItem>
    <reviewItem>
      <errorID>ca2d6a1f-8f22-4f58-bf26-fd3d0e4522b5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57890759</paraID>
      <start>0</start>
      <end>2</end>
      <status>unmodified</status>
      <modifiedWord/>
      <trackRevisions>false</trackRevisions>
    </reviewItem>
    <reviewItem>
      <errorID>0653f76a-3e26-471c-b1b9-561435cc83eb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8538B93</paraID>
      <start>4</start>
      <end>6</end>
      <status>unmodified</status>
      <modifiedWord/>
      <trackRevisions>false</trackRevisions>
    </reviewItem>
    <reviewItem>
      <errorID>839c42cf-f7df-4d4b-9e4b-d57cc15ee328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6B77C09</paraID>
      <start>4</start>
      <end>6</end>
      <status>unmodified</status>
      <modifiedWord/>
      <trackRevisions>false</trackRevisions>
    </reviewItem>
    <reviewItem>
      <errorID>88d1c9d9-ab4e-4459-9c69-16cff328a191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41F80FD8</paraID>
      <start>0</start>
      <end>2</end>
      <status>unmodified</status>
      <modifiedWord/>
      <trackRevisions>false</trackRevisions>
    </reviewItem>
    <reviewItem>
      <errorID>458f08f8-c70e-40dc-b32b-e336452184c2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6F7387BE</paraID>
      <start>0</start>
      <end>2</end>
      <status>unmodified</status>
      <modifiedWord/>
      <trackRevisions>false</trackRevisions>
    </reviewItem>
    <reviewItem>
      <errorID>00772e5b-5892-45be-8770-5ae78af961b5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582AFAD6</paraID>
      <start>4</start>
      <end>6</end>
      <status>unmodified</status>
      <modifiedWord/>
      <trackRevisions>false</trackRevisions>
    </reviewItem>
    <reviewItem>
      <errorID>cfbf63e5-42f4-423d-875a-75d594291f6f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70864089</paraID>
      <start>4</start>
      <end>6</end>
      <status>unmodified</status>
      <modifiedWord/>
      <trackRevisions>false</trackRevisions>
    </reviewItem>
    <reviewItem>
      <errorID>162c7265-6914-43b6-8cbb-746041460691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1E841860</paraID>
      <start>0</start>
      <end>2</end>
      <status>unmodified</status>
      <modifiedWord/>
      <trackRevisions>false</trackRevisions>
    </reviewItem>
    <reviewItem>
      <errorID>7cf82b3a-957a-49a9-b0b5-952077e828ca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196BA109</paraID>
      <start>0</start>
      <end>2</end>
      <status>unmodified</status>
      <modifiedWord/>
      <trackRevisions>false</trackRevisions>
    </reviewItem>
    <reviewItem>
      <errorID>00bd7636-86c3-407f-9f5b-39c175865e5c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615034CA</paraID>
      <start>0</start>
      <end>2</end>
      <status>unmodified</status>
      <modifiedWord/>
      <trackRevisions>false</trackRevisions>
    </reviewItem>
    <reviewItem>
      <errorID>47f35ab6-9e7e-4f26-8b32-37f4b0b2808a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601B3845</paraID>
      <start>4</start>
      <end>6</end>
      <status>unmodified</status>
      <modifiedWord/>
      <trackRevisions>false</trackRevisions>
    </reviewItem>
    <reviewItem>
      <errorID>bc7563bb-6114-4d56-aef0-ba2114465895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2DF39182</paraID>
      <start>4</start>
      <end>6</end>
      <status>unmodified</status>
      <modifiedWord/>
      <trackRevisions>false</trackRevisions>
    </reviewItem>
    <reviewItem>
      <errorID>1dcd9723-2106-4893-a537-1450abd06f2b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57E9F50C</paraID>
      <start>0</start>
      <end>2</end>
      <status>unmodified</status>
      <modifiedWord/>
      <trackRevisions>false</trackRevisions>
    </reviewItem>
    <reviewItem>
      <errorID>c2566384-6c23-45f6-a15a-4e4c1a795a47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11E704A7</paraID>
      <start>4</start>
      <end>6</end>
      <status>unmodified</status>
      <modifiedWord/>
      <trackRevisions>false</trackRevisions>
    </reviewItem>
    <reviewItem>
      <errorID>4e3d41ec-5356-4ebc-8ad6-6d2cd10aff06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669F3AAF</paraID>
      <start>0</start>
      <end>2</end>
      <status>unmodified</status>
      <modifiedWord/>
      <trackRevisions>false</trackRevisions>
    </reviewItem>
    <reviewItem>
      <errorID>5970223c-8c19-408d-aa90-8ff3441d0fd3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FDE667C</paraID>
      <start>0</start>
      <end>2</end>
      <status>unmodified</status>
      <modifiedWord/>
      <trackRevisions>false</trackRevisions>
    </reviewItem>
    <reviewItem>
      <errorID>c18c1eb6-2c38-4c9e-a14d-c97a29e39b89</errorID>
      <errorWord>与</errorWord>
      <group>L1_Word</group>
      <groupName>字词问题</groupName>
      <ability>L2_Typo</ability>
      <abilityName>字词错误</abilityName>
      <candidateList>
        <item>于</item>
      </candidateList>
      <explain>存在发音相同字词的误用。</explain>
      <paraID>486B342F</paraID>
      <start>33</start>
      <end>34</end>
      <status>unmodified</status>
      <modifiedWord/>
      <trackRevisions>false</trackRevisions>
    </reviewItem>
    <reviewItem>
      <errorID>783bdcbe-4beb-45af-b4e3-6ee192b9eb49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86904AA</paraID>
      <start>0</start>
      <end>2</end>
      <status>unmodified</status>
      <modifiedWord/>
      <trackRevisions>false</trackRevisions>
    </reviewItem>
    <reviewItem>
      <errorID>b9f2b417-1bc2-44b4-b2e7-4064a8dbbdb6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F9E3510</paraID>
      <start>0</start>
      <end>2</end>
      <status>unmodified</status>
      <modifiedWord/>
      <trackRevisions>false</trackRevisions>
    </reviewItem>
    <reviewItem>
      <errorID>153ffb70-9b04-4d04-b7a9-bafc10ed486e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4AC0FB52</paraID>
      <start>0</start>
      <end>2</end>
      <status>unmodified</status>
      <modifiedWord/>
      <trackRevisions>false</trackRevisions>
    </reviewItem>
    <reviewItem>
      <errorID>ecc4ec83-16f7-4e2c-8be2-995c3fae279c</errorID>
      <errorWord>其它</errorWord>
      <group>L1_Word</group>
      <groupName>字词问题</groupName>
      <ability>L2_Alias</ability>
      <abilityName>也作/曾用词</abilityName>
      <candidateList>
        <item>其他</item>
      </candidateList>
      <explain>词汇[其它]为不规范表述或旧称，其规范书面表述为[其他]。</explain>
      <paraID>7792D3D1</paraID>
      <start>20</start>
      <end>22</end>
      <status>modified</status>
      <modifiedWord>其他</modifiedWord>
      <trackRevisions>false</trackRevisions>
    </reviewItem>
    <reviewItem>
      <errorID>280d6d11-7480-4927-a48a-a666a8deeb4b</errorID>
      <errorWord>其它</errorWord>
      <group>L1_Word</group>
      <groupName>字词问题</groupName>
      <ability>L2_Alias</ability>
      <abilityName>也作/曾用词</abilityName>
      <candidateList>
        <item>其他</item>
      </candidateList>
      <explain>词汇[其它]为不规范表述或旧称，其规范书面表述为[其他]。</explain>
      <paraID>5600E91F</paraID>
      <start>2</start>
      <end>4</end>
      <status>modified</status>
      <modifiedWord>其他</modifiedWord>
      <trackRevisions>false</trackRevisions>
    </reviewItem>
    <reviewItem>
      <errorID>ce4b234b-c6f7-42d3-8b8d-3aa8b72dea35</errorID>
      <errorWord>其它</errorWord>
      <group>L1_Word</group>
      <groupName>字词问题</groupName>
      <ability>L2_Alias</ability>
      <abilityName>也作/曾用词</abilityName>
      <candidateList>
        <item>其他</item>
      </candidateList>
      <explain>词汇[其它]为不规范表述或旧称，其规范书面表述为[其他]。</explain>
      <paraID>11895D14</paraID>
      <start>2</start>
      <end>4</end>
      <status>modified</status>
      <modifiedWord>其他</modifiedWord>
      <trackRevisions>false</trackRevisions>
    </reviewItem>
    <reviewItem>
      <errorID>51e9be38-373c-4742-a49f-e37fb381e8e8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3A84E6E7</paraID>
      <start>100</start>
      <end>101</end>
      <status>unmodified</status>
      <modifiedWord/>
      <trackRevisions>false</trackRevisions>
    </reviewItem>
    <reviewItem>
      <errorID>e30b520c-c478-46df-88f8-71bd7f90fb94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3A84E6E7</paraID>
      <start>102</start>
      <end>103</end>
      <status>unmodified</status>
      <modifiedWord/>
      <trackRevisions>false</trackRevisions>
    </reviewItem>
    <reviewItem>
      <errorID>19937b42-48ef-44fc-809f-e16f8ca4b9a4</errorID>
      <errorWord>(</errorWord>
      <group>L1_Format</group>
      <groupName>格式问题</groupName>
      <ability>L2_HalfPunc</ability>
      <abilityName>全半角检查</abilityName>
      <candidateList>
        <item>（</item>
      </candidateList>
      <explain>文本全半角错误。</explain>
      <paraID>4A826DFB</paraID>
      <start>14</start>
      <end>15</end>
      <status>unmodified</status>
      <modifiedWord/>
      <trackRevisions>false</trackRevisions>
    </reviewItem>
    <reviewItem>
      <errorID>46ed807c-4622-4305-a7d2-002373c4c2fb</errorID>
      <errorWord>)</errorWord>
      <group>L1_Format</group>
      <groupName>格式问题</groupName>
      <ability>L2_HalfPunc</ability>
      <abilityName>全半角检查</abilityName>
      <candidateList>
        <item>）</item>
      </candidateList>
      <explain>文本全半角错误。</explain>
      <paraID>4A826DFB</paraID>
      <start>20</start>
      <end>21</end>
      <status>unmodified</status>
      <modifiedWord/>
      <trackRevisions>false</trackRevisions>
    </reviewItem>
    <reviewItem>
      <errorID>e0b93924-e134-4622-8f90-5e2282e380dd</errorID>
      <errorWord>(</errorWord>
      <group>L1_Format</group>
      <groupName>格式问题</groupName>
      <ability>L2_HalfPunc</ability>
      <abilityName>全半角检查</abilityName>
      <candidateList>
        <item>（</item>
      </candidateList>
      <explain>文本全半角错误。</explain>
      <paraID>1D19F1B0</paraID>
      <start>10</start>
      <end>11</end>
      <status>unmodified</status>
      <modifiedWord/>
      <trackRevisions>false</trackRevisions>
    </reviewItem>
    <reviewItem>
      <errorID>ac8faa09-47b4-48b7-96d5-988edb152366</errorID>
      <errorWord>)</errorWord>
      <group>L1_Format</group>
      <groupName>格式问题</groupName>
      <ability>L2_HalfPunc</ability>
      <abilityName>全半角检查</abilityName>
      <candidateList>
        <item>）</item>
      </candidateList>
      <explain>文本全半角错误。</explain>
      <paraID>1D19F1B0</paraID>
      <start>19</start>
      <end>20</end>
      <status>unmodified</status>
      <modifiedWord/>
      <trackRevisions>false</trackRevisions>
    </reviewItem>
    <reviewItem>
      <errorID>c45ea318-9d1c-489c-bb73-ac8f567313ef</errorID>
      <errorWord>)</errorWord>
      <group>L1_Format</group>
      <groupName>格式问题</groupName>
      <ability>L2_HalfPunc</ability>
      <abilityName>全半角检查</abilityName>
      <candidateList>
        <item>）</item>
      </candidateList>
      <explain>文本全半角错误。</explain>
      <paraID>1D19F1B0</paraID>
      <start>42</start>
      <end>43</end>
      <status>unmodified</status>
      <modifiedWord/>
      <trackRevisions>false</trackRevisions>
    </reviewItem>
    <reviewItem>
      <errorID>4e7490fd-4742-4ec7-bb0b-fc1155e8c302</errorID>
      <errorWord>(</errorWord>
      <group>L1_Format</group>
      <groupName>格式问题</groupName>
      <ability>L2_HalfPunc</ability>
      <abilityName>全半角检查</abilityName>
      <candidateList>
        <item>（</item>
      </candidateList>
      <explain>文本全半角错误。</explain>
      <paraID>1D19F1B0</paraID>
      <start>46</start>
      <end>47</end>
      <status>unmodified</status>
      <modifiedWord/>
      <trackRevisions>false</trackRevisions>
    </reviewItem>
    <reviewItem>
      <errorID>d1b251e5-651c-4587-b14b-9755ca52a5f0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1D19F1B0</paraID>
      <start>49</start>
      <end>50</end>
      <status>unmodified</status>
      <modifiedWord/>
      <trackRevisions>false</trackRevisions>
    </reviewItem>
    <reviewItem>
      <errorID>771376e1-f0ca-4773-9eda-24a82ce7e6cc</errorID>
      <errorWord>"</errorWord>
      <group>L1_Format</group>
      <groupName>格式问题</groupName>
      <ability>L2_HalfPunc</ability>
      <abilityName>全半角检查</abilityName>
      <candidateList>
        <item>”</item>
      </candidateList>
      <explain>文本全半角错误。</explain>
      <paraID>1D19F1B0</paraID>
      <start>53</start>
      <end>54</end>
      <status>unmodified</status>
      <modifiedWord/>
      <trackRevisions>false</trackRevisions>
    </reviewItem>
    <reviewItem>
      <errorID>40776f32-96b0-4971-8a32-117375081a96</errorID>
      <errorWord>)</errorWord>
      <group>L1_Format</group>
      <groupName>格式问题</groupName>
      <ability>L2_HalfPunc</ability>
      <abilityName>全半角检查</abilityName>
      <candidateList>
        <item>）</item>
      </candidateList>
      <explain>文本全半角错误。</explain>
      <paraID>1D19F1B0</paraID>
      <start>55</start>
      <end>56</end>
      <status>unmodified</status>
      <modifiedWord/>
      <trackRevisions>false</trackRevisions>
    </reviewItem>
    <reviewItem>
      <errorID>357a9579-7978-4e54-ba1e-1e930bb5c205</errorID>
      <errorWord>,</errorWord>
      <group>L1_Format</group>
      <groupName>格式问题</groupName>
      <ability>L2_HalfPunc</ability>
      <abilityName>全半角检查</abilityName>
      <candidateList>
        <item>，</item>
      </candidateList>
      <explain>文本全半角错误。</explain>
      <paraID>1D19F1B0</paraID>
      <start>70</start>
      <end>71</end>
      <status>unmodified</status>
      <modifiedWord/>
      <trackRevisions>false</trackRevisions>
    </reviewItem>
    <reviewItem>
      <errorID>c30dda14-ae45-4fca-ac05-a1673ee0842a</errorID>
      <errorWord>(</errorWord>
      <group>L1_Format</group>
      <groupName>格式问题</groupName>
      <ability>L2_HalfPunc</ability>
      <abilityName>全半角检查</abilityName>
      <candidateList>
        <item>（</item>
      </candidateList>
      <explain>文本全半角错误。</explain>
      <paraID>1D913BF0</paraID>
      <start>28</start>
      <end>29</end>
      <status>unmodified</status>
      <modifiedWord/>
      <trackRevisions>false</trackRevisions>
    </reviewItem>
    <reviewItem>
      <errorID>4730a2f2-6bd0-4cc2-976a-3cdd08c59ddf</errorID>
      <errorWord>)</errorWord>
      <group>L1_Format</group>
      <groupName>格式问题</groupName>
      <ability>L2_HalfPunc</ability>
      <abilityName>全半角检查</abilityName>
      <candidateList>
        <item>）</item>
      </candidateList>
      <explain>文本全半角错误。</explain>
      <paraID>1D913BF0</paraID>
      <start>31</start>
      <end>32</end>
      <status>unmodified</status>
      <modifiedWord/>
      <trackRevisions>false</trackRevisions>
    </reviewItem>
    <reviewItem>
      <errorID>565a4103-245d-4898-8e6e-22881765cf98</errorID>
      <errorWord>,</errorWord>
      <group>L1_Format</group>
      <groupName>格式问题</groupName>
      <ability>L2_HalfPunc</ability>
      <abilityName>全半角检查</abilityName>
      <candidateList>
        <item>，</item>
      </candidateList>
      <explain>文本全半角错误。</explain>
      <paraID>6ED211BA</paraID>
      <start>14</start>
      <end>15</end>
      <status>unmodified</status>
      <modifiedWord/>
      <trackRevisions>false</trackRevisions>
    </reviewItem>
    <reviewItem>
      <errorID>ec37a7fe-a120-458b-859d-8e119d951053</errorID>
      <errorWord>,</errorWord>
      <group>L1_Format</group>
      <groupName>格式问题</groupName>
      <ability>L2_HalfPunc</ability>
      <abilityName>全半角检查</abilityName>
      <candidateList>
        <item>，</item>
      </candidateList>
      <explain>文本全半角错误。</explain>
      <paraID>6ED211BA</paraID>
      <start>32</start>
      <end>33</end>
      <status>unmodified</status>
      <modifiedWord/>
      <trackRevisions>false</trackRevisions>
    </reviewItem>
    <reviewItem>
      <errorID>9373baa0-be8e-4e1f-8fba-ded3d6f9be28</errorID>
      <errorWord>,</errorWord>
      <group>L1_Format</group>
      <groupName>格式问题</groupName>
      <ability>L2_HalfPunc</ability>
      <abilityName>全半角检查</abilityName>
      <candidateList>
        <item>，</item>
      </candidateList>
      <explain>文本全半角错误。</explain>
      <paraID>6ED211BA</paraID>
      <start>78</start>
      <end>79</end>
      <status>unmodified</status>
      <modifiedWord/>
      <trackRevisions>false</trackRevisions>
    </reviewItem>
    <reviewItem>
      <errorID>506068b7-34b4-4db0-ba74-86def302ae10</errorID>
      <errorWord>,</errorWord>
      <group>L1_Format</group>
      <groupName>格式问题</groupName>
      <ability>L2_HalfPunc</ability>
      <abilityName>全半角检查</abilityName>
      <candidateList>
        <item>，</item>
      </candidateList>
      <explain>文本全半角错误。</explain>
      <paraID>6ED211BA</paraID>
      <start>101</start>
      <end>102</end>
      <status>unmodified</status>
      <modifiedWord/>
      <trackRevisions>false</trackRevisions>
    </reviewItem>
    <reviewItem>
      <errorID>a4c845c4-536d-4a18-a6f5-4622218fe513</errorID>
      <errorWord>,</errorWord>
      <group>L1_Format</group>
      <groupName>格式问题</groupName>
      <ability>L2_HalfPunc</ability>
      <abilityName>全半角检查</abilityName>
      <candidateList>
        <item>，</item>
      </candidateList>
      <explain>文本全半角错误。</explain>
      <paraID>4EFF46D4</paraID>
      <start>23</start>
      <end>24</end>
      <status>unmodified</status>
      <modifiedWord/>
      <trackRevisions>false</trackRevisions>
    </reviewItem>
    <reviewItem>
      <errorID>cb105237-219a-4b1a-8803-2fcd7e6392c8</errorID>
      <errorWord>,</errorWord>
      <group>L1_Format</group>
      <groupName>格式问题</groupName>
      <ability>L2_HalfPunc</ability>
      <abilityName>全半角检查</abilityName>
      <candidateList>
        <item>，</item>
      </candidateList>
      <explain>文本全半角错误。</explain>
      <paraID>3D5CA0B1</paraID>
      <start>12</start>
      <end>13</end>
      <status>unmodified</status>
      <modifiedWord/>
      <trackRevisions>false</trackRevisions>
    </reviewItem>
    <reviewItem>
      <errorID>a3845e7c-9ccd-4067-9253-fad1be709272</errorID>
      <errorWord>,</errorWord>
      <group>L1_Format</group>
      <groupName>格式问题</groupName>
      <ability>L2_HalfPunc</ability>
      <abilityName>全半角检查</abilityName>
      <candidateList>
        <item>，</item>
      </candidateList>
      <explain>文本全半角错误。</explain>
      <paraID>3D5CA0B1</paraID>
      <start>30</start>
      <end>31</end>
      <status>unmodified</status>
      <modifiedWord/>
      <trackRevisions>false</trackRevisions>
    </reviewItem>
    <reviewItem>
      <errorID>0ffc45d6-a1a1-4e43-a50f-446bae18f8c7</errorID>
      <errorWord>,</errorWord>
      <group>L1_Format</group>
      <groupName>格式问题</groupName>
      <ability>L2_HalfPunc</ability>
      <abilityName>全半角检查</abilityName>
      <candidateList>
        <item>，</item>
      </candidateList>
      <explain>文本全半角错误。</explain>
      <paraID> AE3313E</paraID>
      <start>13</start>
      <end>14</end>
      <status>unmodified</status>
      <modifiedWord/>
      <trackRevisions>false</trackRevisions>
    </reviewItem>
    <reviewItem>
      <errorID>44bec5fc-251e-421d-b954-3a909f3b3c9a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1E711D27</paraID>
      <start>0</start>
      <end>2</end>
      <status>unmodified</status>
      <modifiedWord/>
      <trackRevisions>false</trackRevisions>
    </reviewItem>
    <reviewItem>
      <errorID>0278a0e1-7bdc-494f-a82d-d08135096b3e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6B149D4E</paraID>
      <start>0</start>
      <end>2</end>
      <status>unmodified</status>
      <modifiedWord/>
      <trackRevisions>false</trackRevisions>
    </reviewItem>
    <reviewItem>
      <errorID>f052cec3-c28a-4e1c-bfc8-5365062902fb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47612FA3</paraID>
      <start>0</start>
      <end>2</end>
      <status>unmodified</status>
      <modifiedWord/>
      <trackRevisions>false</trackRevisions>
    </reviewItem>
    <reviewItem>
      <errorID>4529c2e9-0124-4bf2-97a0-4663961f3f0a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7468B66B</paraID>
      <start>0</start>
      <end>2</end>
      <status>unmodified</status>
      <modifiedWord/>
      <trackRevisions>false</trackRevisions>
    </reviewItem>
    <reviewItem>
      <errorID>aca5d362-86a0-44ac-a2d1-b5c863ce7c0c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6D76BE34</paraID>
      <start>0</start>
      <end>2</end>
      <status>unmodified</status>
      <modifiedWord/>
      <trackRevisions>false</trackRevisions>
    </reviewItem>
    <reviewItem>
      <errorID>9cf927fe-133b-460b-978d-457e31e0ff39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4275308A</paraID>
      <start>0</start>
      <end>2</end>
      <status>unmodified</status>
      <modifiedWord/>
      <trackRevisions>false</trackRevisions>
    </reviewItem>
    <reviewItem>
      <errorID>d13acaa3-a998-4140-8b54-48d3124cd1d4</errorID>
      <errorWord>(</errorWord>
      <group>L1_Format</group>
      <groupName>格式问题</groupName>
      <ability>L2_HalfPunc</ability>
      <abilityName>全半角检查</abilityName>
      <candidateList>
        <item>（</item>
      </candidateList>
      <explain>文本全半角错误。</explain>
      <paraID>4EBD92D5</paraID>
      <start>47</start>
      <end>48</end>
      <status>unmodified</status>
      <modifiedWord/>
      <trackRevisions>false</trackRevisions>
    </reviewItem>
    <reviewItem>
      <errorID>bd14f30e-e829-4bc7-938f-e96823f332b6</errorID>
      <errorWord>(</errorWord>
      <group>L1_Format</group>
      <groupName>格式问题</groupName>
      <ability>L2_HalfPunc</ability>
      <abilityName>全半角检查</abilityName>
      <candidateList>
        <item>（</item>
      </candidateList>
      <explain>文本全半角错误。</explain>
      <paraID>4BB322F6</paraID>
      <start>21</start>
      <end>22</end>
      <status>unmodified</status>
      <modifiedWord/>
      <trackRevisions>false</trackRevisions>
    </reviewItem>
    <reviewItem>
      <errorID>e1a9b789-b650-4922-9bee-972c5bd380d9</errorID>
      <errorWord>)</errorWord>
      <group>L1_Format</group>
      <groupName>格式问题</groupName>
      <ability>L2_HalfPunc</ability>
      <abilityName>全半角检查</abilityName>
      <candidateList>
        <item>）</item>
      </candidateList>
      <explain>文本全半角错误。</explain>
      <paraID>4BB322F6</paraID>
      <start>31</start>
      <end>32</end>
      <status>unmodified</status>
      <modifiedWord/>
      <trackRevisions>false</trackRevisions>
    </reviewItem>
    <reviewItem>
      <errorID>d0d21002-de4e-43cb-812a-5590ae6e2b3a</errorID>
      <errorWord>(</errorWord>
      <group>L1_Format</group>
      <groupName>格式问题</groupName>
      <ability>L2_HalfPunc</ability>
      <abilityName>全半角检查</abilityName>
      <candidateList>
        <item>（</item>
      </candidateList>
      <explain>文本全半角错误。</explain>
      <paraID>31C0E7E7</paraID>
      <start>7</start>
      <end>8</end>
      <status>unmodified</status>
      <modifiedWord/>
      <trackRevisions>false</trackRevisions>
    </reviewItem>
    <reviewItem>
      <errorID>d3520b0a-6b13-4ed1-8bf2-9d075092d8a1</errorID>
      <errorWord>)</errorWord>
      <group>L1_Format</group>
      <groupName>格式问题</groupName>
      <ability>L2_HalfPunc</ability>
      <abilityName>全半角检查</abilityName>
      <candidateList>
        <item>）</item>
      </candidateList>
      <explain>文本全半角错误。</explain>
      <paraID>31C0E7E7</paraID>
      <start>12</start>
      <end>13</end>
      <status>unmodified</status>
      <modifiedWord/>
      <trackRevisions>false</trackRevisions>
    </reviewItem>
    <reviewItem>
      <errorID>470a3245-36bf-49a3-9c0b-31672901112a</errorID>
      <errorWord>(</errorWord>
      <group>L1_Format</group>
      <groupName>格式问题</groupName>
      <ability>L2_HalfPunc</ability>
      <abilityName>全半角检查</abilityName>
      <candidateList>
        <item>（</item>
      </candidateList>
      <explain>文本全半角错误。</explain>
      <paraID>64AE314C</paraID>
      <start>7</start>
      <end>8</end>
      <status>unmodified</status>
      <modifiedWord/>
      <trackRevisions>false</trackRevisions>
    </reviewItem>
    <reviewItem>
      <errorID>a40d2905-61be-441b-9197-d1f143f5e4a4</errorID>
      <errorWord>)</errorWord>
      <group>L1_Format</group>
      <groupName>格式问题</groupName>
      <ability>L2_HalfPunc</ability>
      <abilityName>全半角检查</abilityName>
      <candidateList>
        <item>）</item>
      </candidateList>
      <explain>文本全半角错误。</explain>
      <paraID>64AE314C</paraID>
      <start>11</start>
      <end>12</end>
      <status>unmodified</status>
      <modifiedWord/>
      <trackRevisions>false</trackRevisions>
    </reviewItem>
    <reviewItem>
      <errorID>a709c3d4-e471-42e0-94b7-b05453f5a92e</errorID>
      <errorWord>(</errorWord>
      <group>L1_Format</group>
      <groupName>格式问题</groupName>
      <ability>L2_HalfPunc</ability>
      <abilityName>全半角检查</abilityName>
      <candidateList>
        <item>（</item>
      </candidateList>
      <explain>文本全半角错误。</explain>
      <paraID>64B7ED73</paraID>
      <start>0</start>
      <end>1</end>
      <status>unmodified</status>
      <modifiedWord/>
      <trackRevisions>false</trackRevisions>
    </reviewItem>
    <reviewItem>
      <errorID>0cf305e8-a715-4cc5-8c66-3ce9bb508dbc</errorID>
      <errorWord>)</errorWord>
      <group>L1_Format</group>
      <groupName>格式问题</groupName>
      <ability>L2_HalfPunc</ability>
      <abilityName>全半角检查</abilityName>
      <candidateList>
        <item>）</item>
      </candidateList>
      <explain>文本全半角错误。</explain>
      <paraID>64B7ED73</paraID>
      <start>3</start>
      <end>4</end>
      <status>unmodified</status>
      <modifiedWord/>
      <trackRevisions>false</trackRevisions>
    </reviewItem>
    <reviewItem>
      <errorID>a709c3d4-e471-42e0-94b7-b05453f5a92e</errorID>
      <errorWord>(</errorWord>
      <group>L1_Format</group>
      <groupName>格式问题</groupName>
      <ability>L2_HalfPunc</ability>
      <abilityName>全半角检查</abilityName>
      <candidateList>
        <item>（</item>
      </candidateList>
      <explain>文本全半角错误。</explain>
      <paraID>7275AB00</paraID>
      <start>0</start>
      <end>1</end>
      <status>unmodified</status>
      <modifiedWord/>
      <trackRevisions>false</trackRevisions>
    </reviewItem>
    <reviewItem>
      <errorID>0cf305e8-a715-4cc5-8c66-3ce9bb508dbc</errorID>
      <errorWord>)</errorWord>
      <group>L1_Format</group>
      <groupName>格式问题</groupName>
      <ability>L2_HalfPunc</ability>
      <abilityName>全半角检查</abilityName>
      <candidateList>
        <item>）</item>
      </candidateList>
      <explain>文本全半角错误。</explain>
      <paraID>7275AB00</paraID>
      <start>3</start>
      <end>4</end>
      <status>unmodified</status>
      <modifiedWord/>
      <trackRevisions>false</trackRevisions>
    </reviewItem>
    <reviewItem>
      <errorID>a709c3d4-e471-42e0-94b7-b05453f5a92e</errorID>
      <errorWord>(</errorWord>
      <group>L1_Format</group>
      <groupName>格式问题</groupName>
      <ability>L2_HalfPunc</ability>
      <abilityName>全半角检查</abilityName>
      <candidateList>
        <item>（</item>
      </candidateList>
      <explain>文本全半角错误。</explain>
      <paraID>14E4A259</paraID>
      <start>0</start>
      <end>1</end>
      <status>unmodified</status>
      <modifiedWord/>
      <trackRevisions>false</trackRevisions>
    </reviewItem>
    <reviewItem>
      <errorID>0cf305e8-a715-4cc5-8c66-3ce9bb508dbc</errorID>
      <errorWord>)</errorWord>
      <group>L1_Format</group>
      <groupName>格式问题</groupName>
      <ability>L2_HalfPunc</ability>
      <abilityName>全半角检查</abilityName>
      <candidateList>
        <item>）</item>
      </candidateList>
      <explain>文本全半角错误。</explain>
      <paraID>14E4A259</paraID>
      <start>3</start>
      <end>4</end>
      <status>unmodified</status>
      <modifiedWord/>
      <trackRevisions>false</trackRevisions>
    </reviewItem>
    <reviewItem>
      <errorID>a3c71904-2365-4a3d-b4a5-b187a4cb1390</errorID>
      <errorWord>:</errorWord>
      <group>L1_Format</group>
      <groupName>格式问题</groupName>
      <ability>L2_HalfPunc</ability>
      <abilityName>全半角检查</abilityName>
      <candidateList>
        <item>：</item>
      </candidateList>
      <explain>文本全半角错误。</explain>
      <paraID>70CE19C7</paraID>
      <start>122</start>
      <end>123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72772-f247-4bdc-9677-285072429a8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23983</Words>
  <Characters>25872</Characters>
  <Lines>0</Lines>
  <Paragraphs>0</Paragraphs>
  <TotalTime>47</TotalTime>
  <ScaleCrop>false</ScaleCrop>
  <LinksUpToDate>false</LinksUpToDate>
  <CharactersWithSpaces>26200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2026-03-05T07:04:00Z</dcterms:created>
  <dc:creator>明正</dc:creator>
  <cp:lastModifiedBy>WPS_1481086387</cp:lastModifiedBy>
  <cp:lastPrinted>2026-05-07T07:59:00Z</cp:lastPrinted>
  <dcterms:modified xsi:type="dcterms:W3CDTF">2026-05-11T07:06:16Z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770110F626AD4DFF898D8097A9797FA7_13</vt:lpwstr>
  </property>
  <property fmtid="{D5CDD505-2E9C-101B-9397-08002B2CF9AE}" pid="4" name="KSOTemplateDocerSaveRecord">
    <vt:lpwstr>eyJoZGlkIjoiNGJjNjJjMGVlYTViMGNhMTYzYTVlMTk2M2NhNTMxOTEiLCJ1c2VySWQiOiIyNTUzNTE1MTMifQ==</vt:lpwstr>
  </property>
</Properties>
</file>