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E3A33">
      <w:pPr>
        <w:pStyle w:val="54"/>
        <w:keepNext w:val="0"/>
        <w:keepLines w:val="0"/>
        <w:pageBreakBefore w:val="0"/>
        <w:kinsoku/>
        <w:wordWrap w:val="0"/>
        <w:bidi w:val="0"/>
        <w:adjustRightInd w:val="0"/>
        <w:snapToGrid w:val="0"/>
        <w:spacing w:line="360" w:lineRule="auto"/>
        <w:ind w:right="84" w:rightChars="40"/>
        <w:jc w:val="center"/>
        <w:rPr>
          <w:rFonts w:hint="eastAsia" w:ascii="宋体" w:hAnsi="宋体" w:eastAsia="宋体" w:cs="宋体"/>
          <w:b/>
          <w:bCs w:val="0"/>
          <w:snapToGrid w:val="0"/>
          <w:color w:val="auto"/>
          <w:kern w:val="0"/>
          <w:sz w:val="48"/>
          <w:szCs w:val="48"/>
          <w:lang w:val="en-US" w:eastAsia="zh-CN"/>
        </w:rPr>
      </w:pPr>
      <w:r>
        <w:rPr>
          <w:rFonts w:hint="eastAsia" w:ascii="宋体" w:hAnsi="宋体" w:eastAsia="宋体" w:cs="宋体"/>
          <w:b/>
          <w:bCs w:val="0"/>
          <w:snapToGrid w:val="0"/>
          <w:color w:val="auto"/>
          <w:kern w:val="0"/>
          <w:sz w:val="48"/>
          <w:szCs w:val="48"/>
          <w:lang w:val="en-US" w:eastAsia="zh-CN"/>
        </w:rPr>
        <w:drawing>
          <wp:inline distT="0" distB="0" distL="114300" distR="114300">
            <wp:extent cx="6185535" cy="8195945"/>
            <wp:effectExtent l="0" t="0" r="12065" b="8255"/>
            <wp:docPr id="5" name="图片 5" descr="招文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招文封面"/>
                    <pic:cNvPicPr>
                      <a:picLocks noChangeAspect="1"/>
                    </pic:cNvPicPr>
                  </pic:nvPicPr>
                  <pic:blipFill>
                    <a:blip r:embed="rId27"/>
                    <a:stretch>
                      <a:fillRect/>
                    </a:stretch>
                  </pic:blipFill>
                  <pic:spPr>
                    <a:xfrm>
                      <a:off x="0" y="0"/>
                      <a:ext cx="6185535" cy="8195945"/>
                    </a:xfrm>
                    <a:prstGeom prst="rect">
                      <a:avLst/>
                    </a:prstGeom>
                  </pic:spPr>
                </pic:pic>
              </a:graphicData>
            </a:graphic>
          </wp:inline>
        </w:drawing>
      </w:r>
    </w:p>
    <w:p w14:paraId="0010BB89">
      <w:pPr>
        <w:pStyle w:val="54"/>
        <w:keepNext w:val="0"/>
        <w:keepLines w:val="0"/>
        <w:pageBreakBefore w:val="0"/>
        <w:kinsoku/>
        <w:wordWrap w:val="0"/>
        <w:bidi w:val="0"/>
        <w:adjustRightInd w:val="0"/>
        <w:snapToGrid w:val="0"/>
        <w:spacing w:line="360" w:lineRule="auto"/>
        <w:ind w:right="84" w:rightChars="40"/>
        <w:jc w:val="center"/>
        <w:rPr>
          <w:rFonts w:hint="eastAsia" w:ascii="宋体" w:hAnsi="宋体" w:eastAsia="宋体" w:cs="宋体"/>
          <w:b/>
          <w:bCs w:val="0"/>
          <w:snapToGrid w:val="0"/>
          <w:color w:val="auto"/>
          <w:kern w:val="0"/>
          <w:sz w:val="48"/>
          <w:szCs w:val="48"/>
          <w:lang w:val="en-US" w:eastAsia="zh-CN"/>
        </w:rPr>
      </w:pPr>
    </w:p>
    <w:p w14:paraId="0A6D314A">
      <w:pPr>
        <w:keepNext w:val="0"/>
        <w:keepLines w:val="0"/>
        <w:pageBreakBefore w:val="0"/>
        <w:kinsoku/>
        <w:wordWrap w:val="0"/>
        <w:overflowPunct/>
        <w:topLinePunct w:val="0"/>
        <w:bidi w:val="0"/>
        <w:ind w:right="84" w:rightChars="40"/>
        <w:jc w:val="center"/>
        <w:rPr>
          <w:rFonts w:hint="eastAsia" w:ascii="宋体" w:hAnsi="宋体" w:eastAsia="宋体" w:cs="宋体"/>
          <w:b/>
          <w:bCs/>
          <w:color w:val="auto"/>
          <w:spacing w:val="0"/>
          <w:sz w:val="28"/>
          <w:szCs w:val="28"/>
          <w:highlight w:val="none"/>
        </w:rPr>
        <w:sectPr>
          <w:headerReference r:id="rId3" w:type="default"/>
          <w:footerReference r:id="rId4"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bookmarkStart w:id="280" w:name="_GoBack"/>
      <w:bookmarkEnd w:id="280"/>
    </w:p>
    <w:p w14:paraId="088BE4E2">
      <w:pPr>
        <w:keepNext w:val="0"/>
        <w:keepLines w:val="0"/>
        <w:pageBreakBefore w:val="0"/>
        <w:kinsoku/>
        <w:wordWrap w:val="0"/>
        <w:overflowPunct/>
        <w:topLinePunct w:val="0"/>
        <w:bidi w:val="0"/>
        <w:ind w:right="84" w:rightChars="40"/>
        <w:jc w:val="center"/>
        <w:rPr>
          <w:rFonts w:hint="eastAsia" w:ascii="宋体" w:hAnsi="宋体" w:eastAsia="宋体" w:cs="宋体"/>
          <w:b/>
          <w:bCs/>
          <w:color w:val="auto"/>
          <w:spacing w:val="0"/>
          <w:sz w:val="28"/>
          <w:szCs w:val="28"/>
          <w:highlight w:val="none"/>
        </w:rPr>
      </w:pPr>
      <w:r>
        <w:rPr>
          <w:rFonts w:hint="eastAsia" w:ascii="宋体" w:hAnsi="宋体" w:eastAsia="宋体" w:cs="宋体"/>
          <w:b/>
          <w:bCs/>
          <w:color w:val="auto"/>
          <w:spacing w:val="0"/>
          <w:sz w:val="28"/>
          <w:szCs w:val="28"/>
          <w:highlight w:val="none"/>
        </w:rPr>
        <w:t>目录</w:t>
      </w:r>
    </w:p>
    <w:p w14:paraId="2B395834">
      <w:pPr>
        <w:pStyle w:val="9"/>
        <w:tabs>
          <w:tab w:val="right" w:leader="dot" w:pos="9746"/>
        </w:tabs>
        <w:ind w:right="84" w:rightChars="40"/>
        <w:rPr>
          <w:color w:val="auto"/>
          <w:highlight w:val="none"/>
        </w:rPr>
      </w:pPr>
      <w:r>
        <w:rPr>
          <w:rFonts w:hint="eastAsia" w:ascii="宋体" w:hAnsi="宋体" w:eastAsia="宋体" w:cs="宋体"/>
          <w:color w:val="auto"/>
          <w:spacing w:val="0"/>
          <w:sz w:val="24"/>
          <w:szCs w:val="24"/>
          <w:highlight w:val="none"/>
        </w:rPr>
        <w:fldChar w:fldCharType="begin"/>
      </w:r>
      <w:r>
        <w:rPr>
          <w:rFonts w:hint="eastAsia" w:ascii="宋体" w:hAnsi="宋体" w:eastAsia="宋体" w:cs="宋体"/>
          <w:color w:val="auto"/>
          <w:spacing w:val="0"/>
          <w:sz w:val="24"/>
          <w:szCs w:val="24"/>
          <w:highlight w:val="none"/>
        </w:rPr>
        <w:instrText xml:space="preserve">TOC \o "1-3" \h \u </w:instrText>
      </w:r>
      <w:r>
        <w:rPr>
          <w:rFonts w:hint="eastAsia" w:ascii="宋体" w:hAnsi="宋体" w:eastAsia="宋体" w:cs="宋体"/>
          <w:color w:val="auto"/>
          <w:spacing w:val="0"/>
          <w:sz w:val="24"/>
          <w:szCs w:val="24"/>
          <w:highlight w:val="none"/>
        </w:rPr>
        <w:fldChar w:fldCharType="separate"/>
      </w: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_Toc30582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第一章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投标人须知</w:t>
      </w:r>
      <w:r>
        <w:rPr>
          <w:color w:val="auto"/>
          <w:highlight w:val="none"/>
        </w:rPr>
        <w:tab/>
      </w:r>
      <w:r>
        <w:rPr>
          <w:color w:val="auto"/>
          <w:highlight w:val="none"/>
        </w:rPr>
        <w:fldChar w:fldCharType="begin"/>
      </w:r>
      <w:r>
        <w:rPr>
          <w:color w:val="auto"/>
          <w:highlight w:val="none"/>
        </w:rPr>
        <w:instrText xml:space="preserve"> PAGEREF _Toc30582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eastAsia="宋体" w:cs="宋体"/>
          <w:color w:val="auto"/>
          <w:spacing w:val="0"/>
          <w:szCs w:val="24"/>
          <w:highlight w:val="none"/>
        </w:rPr>
        <w:fldChar w:fldCharType="end"/>
      </w:r>
    </w:p>
    <w:p w14:paraId="22D23050">
      <w:pPr>
        <w:pStyle w:val="10"/>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_Toc7286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第一节</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_Toc7286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eastAsia="宋体" w:cs="宋体"/>
          <w:color w:val="auto"/>
          <w:spacing w:val="0"/>
          <w:szCs w:val="24"/>
          <w:highlight w:val="none"/>
        </w:rPr>
        <w:fldChar w:fldCharType="end"/>
      </w:r>
    </w:p>
    <w:p w14:paraId="4DAC17FD">
      <w:pPr>
        <w:pStyle w:val="10"/>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_Toc20415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第二节 重要事项时间地点一览表</w:t>
      </w:r>
      <w:r>
        <w:rPr>
          <w:color w:val="auto"/>
          <w:highlight w:val="none"/>
        </w:rPr>
        <w:tab/>
      </w:r>
      <w:r>
        <w:rPr>
          <w:color w:val="auto"/>
          <w:highlight w:val="none"/>
        </w:rPr>
        <w:fldChar w:fldCharType="begin"/>
      </w:r>
      <w:r>
        <w:rPr>
          <w:color w:val="auto"/>
          <w:highlight w:val="none"/>
        </w:rPr>
        <w:instrText xml:space="preserve"> PAGEREF _Toc20415 \h </w:instrText>
      </w:r>
      <w:r>
        <w:rPr>
          <w:color w:val="auto"/>
          <w:highlight w:val="none"/>
        </w:rPr>
        <w:fldChar w:fldCharType="separate"/>
      </w:r>
      <w:r>
        <w:rPr>
          <w:color w:val="auto"/>
          <w:highlight w:val="none"/>
        </w:rPr>
        <w:t>12</w:t>
      </w:r>
      <w:r>
        <w:rPr>
          <w:color w:val="auto"/>
          <w:highlight w:val="none"/>
        </w:rPr>
        <w:fldChar w:fldCharType="end"/>
      </w:r>
      <w:r>
        <w:rPr>
          <w:rFonts w:hint="eastAsia" w:ascii="宋体" w:hAnsi="宋体" w:eastAsia="宋体" w:cs="宋体"/>
          <w:color w:val="auto"/>
          <w:spacing w:val="0"/>
          <w:szCs w:val="24"/>
          <w:highlight w:val="none"/>
        </w:rPr>
        <w:fldChar w:fldCharType="end"/>
      </w:r>
    </w:p>
    <w:p w14:paraId="1E97C778">
      <w:pPr>
        <w:pStyle w:val="10"/>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_Toc32443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第三节</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投标人须知正文</w:t>
      </w:r>
      <w:r>
        <w:rPr>
          <w:color w:val="auto"/>
          <w:highlight w:val="none"/>
        </w:rPr>
        <w:tab/>
      </w:r>
      <w:r>
        <w:rPr>
          <w:color w:val="auto"/>
          <w:highlight w:val="none"/>
        </w:rPr>
        <w:fldChar w:fldCharType="begin"/>
      </w:r>
      <w:r>
        <w:rPr>
          <w:color w:val="auto"/>
          <w:highlight w:val="none"/>
        </w:rPr>
        <w:instrText xml:space="preserve"> PAGEREF _Toc32443 \h </w:instrText>
      </w:r>
      <w:r>
        <w:rPr>
          <w:color w:val="auto"/>
          <w:highlight w:val="none"/>
        </w:rPr>
        <w:fldChar w:fldCharType="separate"/>
      </w:r>
      <w:r>
        <w:rPr>
          <w:color w:val="auto"/>
          <w:highlight w:val="none"/>
        </w:rPr>
        <w:t>13</w:t>
      </w:r>
      <w:r>
        <w:rPr>
          <w:color w:val="auto"/>
          <w:highlight w:val="none"/>
        </w:rPr>
        <w:fldChar w:fldCharType="end"/>
      </w:r>
      <w:r>
        <w:rPr>
          <w:rFonts w:hint="eastAsia" w:ascii="宋体" w:hAnsi="宋体" w:eastAsia="宋体" w:cs="宋体"/>
          <w:color w:val="auto"/>
          <w:spacing w:val="0"/>
          <w:szCs w:val="24"/>
          <w:highlight w:val="none"/>
        </w:rPr>
        <w:fldChar w:fldCharType="end"/>
      </w:r>
    </w:p>
    <w:p w14:paraId="67CC9CB4">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_Toc18479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．项目概况、招标范围和标段划分、投标费用等</w:t>
      </w:r>
      <w:r>
        <w:rPr>
          <w:color w:val="auto"/>
          <w:highlight w:val="none"/>
        </w:rPr>
        <w:tab/>
      </w:r>
      <w:r>
        <w:rPr>
          <w:color w:val="auto"/>
          <w:highlight w:val="none"/>
        </w:rPr>
        <w:fldChar w:fldCharType="begin"/>
      </w:r>
      <w:r>
        <w:rPr>
          <w:color w:val="auto"/>
          <w:highlight w:val="none"/>
        </w:rPr>
        <w:instrText xml:space="preserve"> PAGEREF _Toc18479 \h </w:instrText>
      </w:r>
      <w:r>
        <w:rPr>
          <w:color w:val="auto"/>
          <w:highlight w:val="none"/>
        </w:rPr>
        <w:fldChar w:fldCharType="separate"/>
      </w:r>
      <w:r>
        <w:rPr>
          <w:color w:val="auto"/>
          <w:highlight w:val="none"/>
        </w:rPr>
        <w:t>13</w:t>
      </w:r>
      <w:r>
        <w:rPr>
          <w:color w:val="auto"/>
          <w:highlight w:val="none"/>
        </w:rPr>
        <w:fldChar w:fldCharType="end"/>
      </w:r>
      <w:r>
        <w:rPr>
          <w:rFonts w:hint="eastAsia" w:ascii="宋体" w:hAnsi="宋体" w:eastAsia="宋体" w:cs="宋体"/>
          <w:color w:val="auto"/>
          <w:spacing w:val="0"/>
          <w:szCs w:val="24"/>
          <w:highlight w:val="none"/>
        </w:rPr>
        <w:fldChar w:fldCharType="end"/>
      </w:r>
    </w:p>
    <w:p w14:paraId="5BEF9805">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_Toc5575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w:t>
      </w:r>
      <w:r>
        <w:rPr>
          <w:rFonts w:hint="eastAsia" w:ascii="宋体" w:hAnsi="宋体" w:eastAsia="宋体" w:cs="宋体"/>
          <w:bCs w:val="0"/>
          <w:color w:val="auto"/>
          <w:spacing w:val="0"/>
          <w:szCs w:val="24"/>
          <w:highlight w:val="none"/>
          <w:lang w:eastAsia="zh-CN"/>
        </w:rPr>
        <w:t>投标人</w:t>
      </w:r>
      <w:r>
        <w:rPr>
          <w:rFonts w:hint="eastAsia" w:ascii="宋体" w:hAnsi="宋体" w:eastAsia="宋体" w:cs="宋体"/>
          <w:bCs w:val="0"/>
          <w:color w:val="auto"/>
          <w:spacing w:val="0"/>
          <w:szCs w:val="24"/>
          <w:highlight w:val="none"/>
        </w:rPr>
        <w:t>资质要求</w:t>
      </w:r>
      <w:r>
        <w:rPr>
          <w:color w:val="auto"/>
          <w:highlight w:val="none"/>
        </w:rPr>
        <w:tab/>
      </w:r>
      <w:r>
        <w:rPr>
          <w:color w:val="auto"/>
          <w:highlight w:val="none"/>
        </w:rPr>
        <w:fldChar w:fldCharType="begin"/>
      </w:r>
      <w:r>
        <w:rPr>
          <w:color w:val="auto"/>
          <w:highlight w:val="none"/>
        </w:rPr>
        <w:instrText xml:space="preserve"> PAGEREF _Toc5575 \h </w:instrText>
      </w:r>
      <w:r>
        <w:rPr>
          <w:color w:val="auto"/>
          <w:highlight w:val="none"/>
        </w:rPr>
        <w:fldChar w:fldCharType="separate"/>
      </w:r>
      <w:r>
        <w:rPr>
          <w:color w:val="auto"/>
          <w:highlight w:val="none"/>
        </w:rPr>
        <w:t>13</w:t>
      </w:r>
      <w:r>
        <w:rPr>
          <w:color w:val="auto"/>
          <w:highlight w:val="none"/>
        </w:rPr>
        <w:fldChar w:fldCharType="end"/>
      </w:r>
      <w:r>
        <w:rPr>
          <w:rFonts w:hint="eastAsia" w:ascii="宋体" w:hAnsi="宋体" w:eastAsia="宋体" w:cs="宋体"/>
          <w:color w:val="auto"/>
          <w:spacing w:val="0"/>
          <w:szCs w:val="24"/>
          <w:highlight w:val="none"/>
        </w:rPr>
        <w:fldChar w:fldCharType="end"/>
      </w:r>
    </w:p>
    <w:p w14:paraId="5095CD8A">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_Toc26517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3．招标文件的获取</w:t>
      </w:r>
      <w:r>
        <w:rPr>
          <w:color w:val="auto"/>
          <w:highlight w:val="none"/>
        </w:rPr>
        <w:tab/>
      </w:r>
      <w:r>
        <w:rPr>
          <w:color w:val="auto"/>
          <w:highlight w:val="none"/>
        </w:rPr>
        <w:fldChar w:fldCharType="begin"/>
      </w:r>
      <w:r>
        <w:rPr>
          <w:color w:val="auto"/>
          <w:highlight w:val="none"/>
        </w:rPr>
        <w:instrText xml:space="preserve"> PAGEREF _Toc26517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pacing w:val="0"/>
          <w:szCs w:val="24"/>
          <w:highlight w:val="none"/>
        </w:rPr>
        <w:fldChar w:fldCharType="end"/>
      </w:r>
    </w:p>
    <w:p w14:paraId="3337A173">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_Toc22809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4</w:t>
      </w:r>
      <w:r>
        <w:rPr>
          <w:rFonts w:hint="eastAsia" w:ascii="宋体" w:hAnsi="宋体" w:eastAsia="宋体" w:cs="宋体"/>
          <w:bCs/>
          <w:color w:val="auto"/>
          <w:spacing w:val="0"/>
          <w:szCs w:val="24"/>
          <w:highlight w:val="none"/>
          <w:lang w:val="en-US" w:eastAsia="zh-CN"/>
        </w:rPr>
        <w:t xml:space="preserve"> </w:t>
      </w:r>
      <w:r>
        <w:rPr>
          <w:rFonts w:hint="eastAsia" w:ascii="宋体" w:hAnsi="宋体" w:eastAsia="宋体" w:cs="宋体"/>
          <w:bCs/>
          <w:color w:val="auto"/>
          <w:spacing w:val="0"/>
          <w:szCs w:val="24"/>
          <w:highlight w:val="none"/>
        </w:rPr>
        <w:t>．工期要求</w:t>
      </w:r>
      <w:r>
        <w:rPr>
          <w:color w:val="auto"/>
          <w:highlight w:val="none"/>
        </w:rPr>
        <w:tab/>
      </w:r>
      <w:r>
        <w:rPr>
          <w:color w:val="auto"/>
          <w:highlight w:val="none"/>
        </w:rPr>
        <w:fldChar w:fldCharType="begin"/>
      </w:r>
      <w:r>
        <w:rPr>
          <w:color w:val="auto"/>
          <w:highlight w:val="none"/>
        </w:rPr>
        <w:instrText xml:space="preserve"> PAGEREF _Toc22809 \h </w:instrText>
      </w:r>
      <w:r>
        <w:rPr>
          <w:color w:val="auto"/>
          <w:highlight w:val="none"/>
        </w:rPr>
        <w:fldChar w:fldCharType="separate"/>
      </w:r>
      <w:r>
        <w:rPr>
          <w:color w:val="auto"/>
          <w:highlight w:val="none"/>
        </w:rPr>
        <w:t>17</w:t>
      </w:r>
      <w:r>
        <w:rPr>
          <w:color w:val="auto"/>
          <w:highlight w:val="none"/>
        </w:rPr>
        <w:fldChar w:fldCharType="end"/>
      </w:r>
      <w:r>
        <w:rPr>
          <w:rFonts w:hint="eastAsia" w:ascii="宋体" w:hAnsi="宋体" w:eastAsia="宋体" w:cs="宋体"/>
          <w:color w:val="auto"/>
          <w:spacing w:val="0"/>
          <w:szCs w:val="24"/>
          <w:highlight w:val="none"/>
        </w:rPr>
        <w:fldChar w:fldCharType="end"/>
      </w:r>
    </w:p>
    <w:p w14:paraId="496AC90A">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_Toc19378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5</w:t>
      </w:r>
      <w:r>
        <w:rPr>
          <w:rFonts w:hint="eastAsia" w:ascii="宋体" w:hAnsi="宋体" w:eastAsia="宋体" w:cs="宋体"/>
          <w:bCs/>
          <w:color w:val="auto"/>
          <w:spacing w:val="0"/>
          <w:szCs w:val="24"/>
          <w:highlight w:val="none"/>
          <w:lang w:val="en-US" w:eastAsia="zh-CN"/>
        </w:rPr>
        <w:t xml:space="preserve"> </w:t>
      </w:r>
      <w:r>
        <w:rPr>
          <w:rFonts w:hint="eastAsia" w:ascii="宋体" w:hAnsi="宋体" w:eastAsia="宋体" w:cs="宋体"/>
          <w:bCs/>
          <w:color w:val="auto"/>
          <w:spacing w:val="0"/>
          <w:szCs w:val="24"/>
          <w:highlight w:val="none"/>
        </w:rPr>
        <w:t>．质量标准和材料、机械要求</w:t>
      </w:r>
      <w:r>
        <w:rPr>
          <w:color w:val="auto"/>
          <w:highlight w:val="none"/>
        </w:rPr>
        <w:tab/>
      </w:r>
      <w:r>
        <w:rPr>
          <w:color w:val="auto"/>
          <w:highlight w:val="none"/>
        </w:rPr>
        <w:fldChar w:fldCharType="begin"/>
      </w:r>
      <w:r>
        <w:rPr>
          <w:color w:val="auto"/>
          <w:highlight w:val="none"/>
        </w:rPr>
        <w:instrText xml:space="preserve"> PAGEREF _Toc19378 \h </w:instrText>
      </w:r>
      <w:r>
        <w:rPr>
          <w:color w:val="auto"/>
          <w:highlight w:val="none"/>
        </w:rPr>
        <w:fldChar w:fldCharType="separate"/>
      </w:r>
      <w:r>
        <w:rPr>
          <w:color w:val="auto"/>
          <w:highlight w:val="none"/>
        </w:rPr>
        <w:t>17</w:t>
      </w:r>
      <w:r>
        <w:rPr>
          <w:color w:val="auto"/>
          <w:highlight w:val="none"/>
        </w:rPr>
        <w:fldChar w:fldCharType="end"/>
      </w:r>
      <w:r>
        <w:rPr>
          <w:rFonts w:hint="eastAsia" w:ascii="宋体" w:hAnsi="宋体" w:eastAsia="宋体" w:cs="宋体"/>
          <w:color w:val="auto"/>
          <w:spacing w:val="0"/>
          <w:szCs w:val="24"/>
          <w:highlight w:val="none"/>
        </w:rPr>
        <w:fldChar w:fldCharType="end"/>
      </w:r>
    </w:p>
    <w:p w14:paraId="09EEEA22">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_Toc27303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6 ．施工条件及现场踏勘</w:t>
      </w:r>
      <w:r>
        <w:rPr>
          <w:color w:val="auto"/>
          <w:highlight w:val="none"/>
        </w:rPr>
        <w:tab/>
      </w:r>
      <w:r>
        <w:rPr>
          <w:color w:val="auto"/>
          <w:highlight w:val="none"/>
        </w:rPr>
        <w:fldChar w:fldCharType="begin"/>
      </w:r>
      <w:r>
        <w:rPr>
          <w:color w:val="auto"/>
          <w:highlight w:val="none"/>
        </w:rPr>
        <w:instrText xml:space="preserve"> PAGEREF _Toc27303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eastAsia="宋体" w:cs="宋体"/>
          <w:color w:val="auto"/>
          <w:spacing w:val="0"/>
          <w:szCs w:val="24"/>
          <w:highlight w:val="none"/>
        </w:rPr>
        <w:fldChar w:fldCharType="end"/>
      </w:r>
    </w:p>
    <w:p w14:paraId="5CC2C7C0">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_Toc1272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7 ．招标文件的提问和答疑</w:t>
      </w:r>
      <w:r>
        <w:rPr>
          <w:color w:val="auto"/>
          <w:highlight w:val="none"/>
        </w:rPr>
        <w:tab/>
      </w:r>
      <w:r>
        <w:rPr>
          <w:color w:val="auto"/>
          <w:highlight w:val="none"/>
        </w:rPr>
        <w:fldChar w:fldCharType="begin"/>
      </w:r>
      <w:r>
        <w:rPr>
          <w:color w:val="auto"/>
          <w:highlight w:val="none"/>
        </w:rPr>
        <w:instrText xml:space="preserve"> PAGEREF _Toc1272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eastAsia="宋体" w:cs="宋体"/>
          <w:color w:val="auto"/>
          <w:spacing w:val="0"/>
          <w:szCs w:val="24"/>
          <w:highlight w:val="none"/>
        </w:rPr>
        <w:fldChar w:fldCharType="end"/>
      </w:r>
    </w:p>
    <w:p w14:paraId="01855FC4">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_Toc32294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8 ．</w:t>
      </w:r>
      <w:r>
        <w:rPr>
          <w:rFonts w:hint="eastAsia" w:ascii="宋体" w:hAnsi="宋体" w:eastAsia="宋体" w:cs="宋体"/>
          <w:bCs/>
          <w:color w:val="auto"/>
          <w:spacing w:val="0"/>
          <w:szCs w:val="24"/>
          <w:highlight w:val="none"/>
          <w:lang w:val="en-US" w:eastAsia="zh-CN"/>
        </w:rPr>
        <w:t>最高投标限价</w:t>
      </w:r>
      <w:r>
        <w:rPr>
          <w:color w:val="auto"/>
          <w:highlight w:val="none"/>
        </w:rPr>
        <w:tab/>
      </w:r>
      <w:r>
        <w:rPr>
          <w:color w:val="auto"/>
          <w:highlight w:val="none"/>
        </w:rPr>
        <w:fldChar w:fldCharType="begin"/>
      </w:r>
      <w:r>
        <w:rPr>
          <w:color w:val="auto"/>
          <w:highlight w:val="none"/>
        </w:rPr>
        <w:instrText xml:space="preserve"> PAGEREF _Toc32294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eastAsia="宋体" w:cs="宋体"/>
          <w:color w:val="auto"/>
          <w:spacing w:val="0"/>
          <w:szCs w:val="24"/>
          <w:highlight w:val="none"/>
        </w:rPr>
        <w:fldChar w:fldCharType="end"/>
      </w:r>
    </w:p>
    <w:p w14:paraId="19CCF6E4">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_Toc28971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9 ．投标报价</w:t>
      </w:r>
      <w:r>
        <w:rPr>
          <w:color w:val="auto"/>
          <w:highlight w:val="none"/>
        </w:rPr>
        <w:tab/>
      </w:r>
      <w:r>
        <w:rPr>
          <w:color w:val="auto"/>
          <w:highlight w:val="none"/>
        </w:rPr>
        <w:fldChar w:fldCharType="begin"/>
      </w:r>
      <w:r>
        <w:rPr>
          <w:color w:val="auto"/>
          <w:highlight w:val="none"/>
        </w:rPr>
        <w:instrText xml:space="preserve"> PAGEREF _Toc28971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eastAsia="宋体" w:cs="宋体"/>
          <w:color w:val="auto"/>
          <w:spacing w:val="0"/>
          <w:szCs w:val="24"/>
          <w:highlight w:val="none"/>
        </w:rPr>
        <w:fldChar w:fldCharType="end"/>
      </w:r>
    </w:p>
    <w:p w14:paraId="1EA06A10">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_Toc6052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10 ．投标文件的编制要求</w:t>
      </w:r>
      <w:r>
        <w:rPr>
          <w:color w:val="auto"/>
          <w:highlight w:val="none"/>
        </w:rPr>
        <w:tab/>
      </w:r>
      <w:r>
        <w:rPr>
          <w:color w:val="auto"/>
          <w:highlight w:val="none"/>
        </w:rPr>
        <w:fldChar w:fldCharType="begin"/>
      </w:r>
      <w:r>
        <w:rPr>
          <w:color w:val="auto"/>
          <w:highlight w:val="none"/>
        </w:rPr>
        <w:instrText xml:space="preserve"> PAGEREF _Toc6052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eastAsia="宋体" w:cs="宋体"/>
          <w:color w:val="auto"/>
          <w:spacing w:val="0"/>
          <w:szCs w:val="24"/>
          <w:highlight w:val="none"/>
        </w:rPr>
        <w:fldChar w:fldCharType="end"/>
      </w:r>
    </w:p>
    <w:p w14:paraId="5023CF45">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_Toc5134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 xml:space="preserve">11. </w:t>
      </w:r>
      <w:r>
        <w:rPr>
          <w:rFonts w:hint="eastAsia" w:ascii="宋体" w:hAnsi="宋体" w:eastAsia="宋体" w:cs="宋体"/>
          <w:color w:val="auto"/>
          <w:spacing w:val="0"/>
          <w:szCs w:val="24"/>
          <w:highlight w:val="none"/>
        </w:rPr>
        <w:t>电子投标</w:t>
      </w:r>
      <w:r>
        <w:rPr>
          <w:color w:val="auto"/>
          <w:highlight w:val="none"/>
        </w:rPr>
        <w:tab/>
      </w:r>
      <w:r>
        <w:rPr>
          <w:color w:val="auto"/>
          <w:highlight w:val="none"/>
        </w:rPr>
        <w:fldChar w:fldCharType="begin"/>
      </w:r>
      <w:r>
        <w:rPr>
          <w:color w:val="auto"/>
          <w:highlight w:val="none"/>
        </w:rPr>
        <w:instrText xml:space="preserve"> PAGEREF _Toc5134 \h </w:instrText>
      </w:r>
      <w:r>
        <w:rPr>
          <w:color w:val="auto"/>
          <w:highlight w:val="none"/>
        </w:rPr>
        <w:fldChar w:fldCharType="separate"/>
      </w:r>
      <w:r>
        <w:rPr>
          <w:color w:val="auto"/>
          <w:highlight w:val="none"/>
        </w:rPr>
        <w:t>26</w:t>
      </w:r>
      <w:r>
        <w:rPr>
          <w:color w:val="auto"/>
          <w:highlight w:val="none"/>
        </w:rPr>
        <w:fldChar w:fldCharType="end"/>
      </w:r>
      <w:r>
        <w:rPr>
          <w:rFonts w:hint="eastAsia" w:ascii="宋体" w:hAnsi="宋体" w:eastAsia="宋体" w:cs="宋体"/>
          <w:color w:val="auto"/>
          <w:spacing w:val="0"/>
          <w:szCs w:val="24"/>
          <w:highlight w:val="none"/>
        </w:rPr>
        <w:fldChar w:fldCharType="end"/>
      </w:r>
    </w:p>
    <w:p w14:paraId="52BC9544">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_Toc17408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lang w:val="en-US" w:eastAsia="zh-CN"/>
        </w:rPr>
        <w:t>12.</w:t>
      </w:r>
      <w:r>
        <w:rPr>
          <w:rFonts w:hint="eastAsia" w:ascii="宋体" w:hAnsi="宋体" w:eastAsia="宋体" w:cs="宋体"/>
          <w:bCs/>
          <w:color w:val="auto"/>
          <w:spacing w:val="0"/>
          <w:w w:val="101"/>
          <w:szCs w:val="24"/>
          <w:highlight w:val="none"/>
        </w:rPr>
        <w:t xml:space="preserve"> </w:t>
      </w:r>
      <w:r>
        <w:rPr>
          <w:rFonts w:hint="eastAsia" w:ascii="宋体" w:hAnsi="宋体" w:eastAsia="宋体" w:cs="宋体"/>
          <w:bCs/>
          <w:color w:val="auto"/>
          <w:spacing w:val="0"/>
          <w:szCs w:val="24"/>
          <w:highlight w:val="none"/>
        </w:rPr>
        <w:t>电子投标及投标解密失败及突发情况的补救方案</w:t>
      </w:r>
      <w:r>
        <w:rPr>
          <w:color w:val="auto"/>
          <w:highlight w:val="none"/>
        </w:rPr>
        <w:tab/>
      </w:r>
      <w:r>
        <w:rPr>
          <w:color w:val="auto"/>
          <w:highlight w:val="none"/>
        </w:rPr>
        <w:fldChar w:fldCharType="begin"/>
      </w:r>
      <w:r>
        <w:rPr>
          <w:color w:val="auto"/>
          <w:highlight w:val="none"/>
        </w:rPr>
        <w:instrText xml:space="preserve"> PAGEREF _Toc17408 \h </w:instrText>
      </w:r>
      <w:r>
        <w:rPr>
          <w:color w:val="auto"/>
          <w:highlight w:val="none"/>
        </w:rPr>
        <w:fldChar w:fldCharType="separate"/>
      </w:r>
      <w:r>
        <w:rPr>
          <w:color w:val="auto"/>
          <w:highlight w:val="none"/>
        </w:rPr>
        <w:t>26</w:t>
      </w:r>
      <w:r>
        <w:rPr>
          <w:color w:val="auto"/>
          <w:highlight w:val="none"/>
        </w:rPr>
        <w:fldChar w:fldCharType="end"/>
      </w:r>
      <w:r>
        <w:rPr>
          <w:rFonts w:hint="eastAsia" w:ascii="宋体" w:hAnsi="宋体" w:eastAsia="宋体" w:cs="宋体"/>
          <w:color w:val="auto"/>
          <w:spacing w:val="0"/>
          <w:szCs w:val="24"/>
          <w:highlight w:val="none"/>
        </w:rPr>
        <w:fldChar w:fldCharType="end"/>
      </w:r>
    </w:p>
    <w:p w14:paraId="53135D61">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_Toc9865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13 ．投标文件的提交</w:t>
      </w:r>
      <w:r>
        <w:rPr>
          <w:color w:val="auto"/>
          <w:highlight w:val="none"/>
        </w:rPr>
        <w:tab/>
      </w:r>
      <w:r>
        <w:rPr>
          <w:color w:val="auto"/>
          <w:highlight w:val="none"/>
        </w:rPr>
        <w:fldChar w:fldCharType="begin"/>
      </w:r>
      <w:r>
        <w:rPr>
          <w:color w:val="auto"/>
          <w:highlight w:val="none"/>
        </w:rPr>
        <w:instrText xml:space="preserve"> PAGEREF _Toc9865 \h </w:instrText>
      </w:r>
      <w:r>
        <w:rPr>
          <w:color w:val="auto"/>
          <w:highlight w:val="none"/>
        </w:rPr>
        <w:fldChar w:fldCharType="separate"/>
      </w:r>
      <w:r>
        <w:rPr>
          <w:color w:val="auto"/>
          <w:highlight w:val="none"/>
        </w:rPr>
        <w:t>27</w:t>
      </w:r>
      <w:r>
        <w:rPr>
          <w:color w:val="auto"/>
          <w:highlight w:val="none"/>
        </w:rPr>
        <w:fldChar w:fldCharType="end"/>
      </w:r>
      <w:r>
        <w:rPr>
          <w:rFonts w:hint="eastAsia" w:ascii="宋体" w:hAnsi="宋体" w:eastAsia="宋体" w:cs="宋体"/>
          <w:color w:val="auto"/>
          <w:spacing w:val="0"/>
          <w:szCs w:val="24"/>
          <w:highlight w:val="none"/>
        </w:rPr>
        <w:fldChar w:fldCharType="end"/>
      </w:r>
    </w:p>
    <w:p w14:paraId="1E497728">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_Toc16892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14 ．开标</w:t>
      </w:r>
      <w:r>
        <w:rPr>
          <w:color w:val="auto"/>
          <w:highlight w:val="none"/>
        </w:rPr>
        <w:tab/>
      </w:r>
      <w:r>
        <w:rPr>
          <w:color w:val="auto"/>
          <w:highlight w:val="none"/>
        </w:rPr>
        <w:fldChar w:fldCharType="begin"/>
      </w:r>
      <w:r>
        <w:rPr>
          <w:color w:val="auto"/>
          <w:highlight w:val="none"/>
        </w:rPr>
        <w:instrText xml:space="preserve"> PAGEREF _Toc16892 \h </w:instrText>
      </w:r>
      <w:r>
        <w:rPr>
          <w:color w:val="auto"/>
          <w:highlight w:val="none"/>
        </w:rPr>
        <w:fldChar w:fldCharType="separate"/>
      </w:r>
      <w:r>
        <w:rPr>
          <w:color w:val="auto"/>
          <w:highlight w:val="none"/>
        </w:rPr>
        <w:t>27</w:t>
      </w:r>
      <w:r>
        <w:rPr>
          <w:color w:val="auto"/>
          <w:highlight w:val="none"/>
        </w:rPr>
        <w:fldChar w:fldCharType="end"/>
      </w:r>
      <w:r>
        <w:rPr>
          <w:rFonts w:hint="eastAsia" w:ascii="宋体" w:hAnsi="宋体" w:eastAsia="宋体" w:cs="宋体"/>
          <w:color w:val="auto"/>
          <w:spacing w:val="0"/>
          <w:szCs w:val="24"/>
          <w:highlight w:val="none"/>
        </w:rPr>
        <w:fldChar w:fldCharType="end"/>
      </w:r>
    </w:p>
    <w:p w14:paraId="5AB0EF80">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_Toc6122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15 ．评标</w:t>
      </w:r>
      <w:r>
        <w:rPr>
          <w:color w:val="auto"/>
          <w:highlight w:val="none"/>
        </w:rPr>
        <w:tab/>
      </w:r>
      <w:r>
        <w:rPr>
          <w:color w:val="auto"/>
          <w:highlight w:val="none"/>
        </w:rPr>
        <w:fldChar w:fldCharType="begin"/>
      </w:r>
      <w:r>
        <w:rPr>
          <w:color w:val="auto"/>
          <w:highlight w:val="none"/>
        </w:rPr>
        <w:instrText xml:space="preserve"> PAGEREF _Toc6122 \h </w:instrText>
      </w:r>
      <w:r>
        <w:rPr>
          <w:color w:val="auto"/>
          <w:highlight w:val="none"/>
        </w:rPr>
        <w:fldChar w:fldCharType="separate"/>
      </w:r>
      <w:r>
        <w:rPr>
          <w:color w:val="auto"/>
          <w:highlight w:val="none"/>
        </w:rPr>
        <w:t>28</w:t>
      </w:r>
      <w:r>
        <w:rPr>
          <w:color w:val="auto"/>
          <w:highlight w:val="none"/>
        </w:rPr>
        <w:fldChar w:fldCharType="end"/>
      </w:r>
      <w:r>
        <w:rPr>
          <w:rFonts w:hint="eastAsia" w:ascii="宋体" w:hAnsi="宋体" w:eastAsia="宋体" w:cs="宋体"/>
          <w:color w:val="auto"/>
          <w:spacing w:val="0"/>
          <w:szCs w:val="24"/>
          <w:highlight w:val="none"/>
        </w:rPr>
        <w:fldChar w:fldCharType="end"/>
      </w:r>
    </w:p>
    <w:p w14:paraId="59D8728A">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_Toc2300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30"/>
          <w:highlight w:val="none"/>
        </w:rPr>
        <w:t>综合评分表</w:t>
      </w:r>
      <w:r>
        <w:rPr>
          <w:color w:val="auto"/>
          <w:highlight w:val="none"/>
        </w:rPr>
        <w:tab/>
      </w:r>
      <w:r>
        <w:rPr>
          <w:color w:val="auto"/>
          <w:highlight w:val="none"/>
        </w:rPr>
        <w:fldChar w:fldCharType="begin"/>
      </w:r>
      <w:r>
        <w:rPr>
          <w:color w:val="auto"/>
          <w:highlight w:val="none"/>
        </w:rPr>
        <w:instrText xml:space="preserve"> PAGEREF _Toc2300 \h </w:instrText>
      </w:r>
      <w:r>
        <w:rPr>
          <w:color w:val="auto"/>
          <w:highlight w:val="none"/>
        </w:rPr>
        <w:fldChar w:fldCharType="separate"/>
      </w:r>
      <w:r>
        <w:rPr>
          <w:color w:val="auto"/>
          <w:highlight w:val="none"/>
        </w:rPr>
        <w:t>33</w:t>
      </w:r>
      <w:r>
        <w:rPr>
          <w:color w:val="auto"/>
          <w:highlight w:val="none"/>
        </w:rPr>
        <w:fldChar w:fldCharType="end"/>
      </w:r>
      <w:r>
        <w:rPr>
          <w:rFonts w:hint="eastAsia" w:ascii="宋体" w:hAnsi="宋体" w:eastAsia="宋体" w:cs="宋体"/>
          <w:color w:val="auto"/>
          <w:spacing w:val="0"/>
          <w:szCs w:val="24"/>
          <w:highlight w:val="none"/>
        </w:rPr>
        <w:fldChar w:fldCharType="end"/>
      </w:r>
    </w:p>
    <w:p w14:paraId="3A27D124">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_Toc23079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zCs w:val="24"/>
          <w:highlight w:val="none"/>
          <w:lang w:eastAsia="zh-CN"/>
        </w:rPr>
        <w:t>16 ．评标结果公示</w:t>
      </w:r>
      <w:r>
        <w:rPr>
          <w:color w:val="auto"/>
          <w:highlight w:val="none"/>
        </w:rPr>
        <w:tab/>
      </w:r>
      <w:r>
        <w:rPr>
          <w:color w:val="auto"/>
          <w:highlight w:val="none"/>
        </w:rPr>
        <w:fldChar w:fldCharType="begin"/>
      </w:r>
      <w:r>
        <w:rPr>
          <w:color w:val="auto"/>
          <w:highlight w:val="none"/>
        </w:rPr>
        <w:instrText xml:space="preserve"> PAGEREF _Toc23079 \h </w:instrText>
      </w:r>
      <w:r>
        <w:rPr>
          <w:color w:val="auto"/>
          <w:highlight w:val="none"/>
        </w:rPr>
        <w:fldChar w:fldCharType="separate"/>
      </w:r>
      <w:r>
        <w:rPr>
          <w:color w:val="auto"/>
          <w:highlight w:val="none"/>
        </w:rPr>
        <w:t>40</w:t>
      </w:r>
      <w:r>
        <w:rPr>
          <w:color w:val="auto"/>
          <w:highlight w:val="none"/>
        </w:rPr>
        <w:fldChar w:fldCharType="end"/>
      </w:r>
      <w:r>
        <w:rPr>
          <w:rFonts w:hint="eastAsia" w:ascii="宋体" w:hAnsi="宋体" w:eastAsia="宋体" w:cs="宋体"/>
          <w:color w:val="auto"/>
          <w:spacing w:val="0"/>
          <w:szCs w:val="24"/>
          <w:highlight w:val="none"/>
        </w:rPr>
        <w:fldChar w:fldCharType="end"/>
      </w:r>
    </w:p>
    <w:p w14:paraId="0DF2EF62">
      <w:pPr>
        <w:pStyle w:val="10"/>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_Toc17075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第四节</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否决投标条件</w:t>
      </w:r>
      <w:r>
        <w:rPr>
          <w:color w:val="auto"/>
          <w:highlight w:val="none"/>
        </w:rPr>
        <w:tab/>
      </w:r>
      <w:r>
        <w:rPr>
          <w:color w:val="auto"/>
          <w:highlight w:val="none"/>
        </w:rPr>
        <w:fldChar w:fldCharType="begin"/>
      </w:r>
      <w:r>
        <w:rPr>
          <w:color w:val="auto"/>
          <w:highlight w:val="none"/>
        </w:rPr>
        <w:instrText xml:space="preserve"> PAGEREF _Toc17075 \h </w:instrText>
      </w:r>
      <w:r>
        <w:rPr>
          <w:color w:val="auto"/>
          <w:highlight w:val="none"/>
        </w:rPr>
        <w:fldChar w:fldCharType="separate"/>
      </w:r>
      <w:r>
        <w:rPr>
          <w:color w:val="auto"/>
          <w:highlight w:val="none"/>
        </w:rPr>
        <w:t>41</w:t>
      </w:r>
      <w:r>
        <w:rPr>
          <w:color w:val="auto"/>
          <w:highlight w:val="none"/>
        </w:rPr>
        <w:fldChar w:fldCharType="end"/>
      </w:r>
      <w:r>
        <w:rPr>
          <w:rFonts w:hint="eastAsia" w:ascii="宋体" w:hAnsi="宋体" w:eastAsia="宋体" w:cs="宋体"/>
          <w:color w:val="auto"/>
          <w:spacing w:val="0"/>
          <w:szCs w:val="24"/>
          <w:highlight w:val="none"/>
        </w:rPr>
        <w:fldChar w:fldCharType="end"/>
      </w:r>
    </w:p>
    <w:p w14:paraId="0D3B39F3">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_Toc22869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．资格评审环节</w:t>
      </w:r>
      <w:r>
        <w:rPr>
          <w:color w:val="auto"/>
          <w:highlight w:val="none"/>
        </w:rPr>
        <w:tab/>
      </w:r>
      <w:r>
        <w:rPr>
          <w:color w:val="auto"/>
          <w:highlight w:val="none"/>
        </w:rPr>
        <w:fldChar w:fldCharType="begin"/>
      </w:r>
      <w:r>
        <w:rPr>
          <w:color w:val="auto"/>
          <w:highlight w:val="none"/>
        </w:rPr>
        <w:instrText xml:space="preserve"> PAGEREF _Toc22869 \h </w:instrText>
      </w:r>
      <w:r>
        <w:rPr>
          <w:color w:val="auto"/>
          <w:highlight w:val="none"/>
        </w:rPr>
        <w:fldChar w:fldCharType="separate"/>
      </w:r>
      <w:r>
        <w:rPr>
          <w:color w:val="auto"/>
          <w:highlight w:val="none"/>
        </w:rPr>
        <w:t>41</w:t>
      </w:r>
      <w:r>
        <w:rPr>
          <w:color w:val="auto"/>
          <w:highlight w:val="none"/>
        </w:rPr>
        <w:fldChar w:fldCharType="end"/>
      </w:r>
      <w:r>
        <w:rPr>
          <w:rFonts w:hint="eastAsia" w:ascii="宋体" w:hAnsi="宋体" w:eastAsia="宋体" w:cs="宋体"/>
          <w:color w:val="auto"/>
          <w:spacing w:val="0"/>
          <w:szCs w:val="24"/>
          <w:highlight w:val="none"/>
        </w:rPr>
        <w:fldChar w:fldCharType="end"/>
      </w:r>
    </w:p>
    <w:p w14:paraId="7A68E3C4">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_Toc14160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．形式评审环节</w:t>
      </w:r>
      <w:r>
        <w:rPr>
          <w:color w:val="auto"/>
          <w:highlight w:val="none"/>
        </w:rPr>
        <w:tab/>
      </w:r>
      <w:r>
        <w:rPr>
          <w:color w:val="auto"/>
          <w:highlight w:val="none"/>
        </w:rPr>
        <w:fldChar w:fldCharType="begin"/>
      </w:r>
      <w:r>
        <w:rPr>
          <w:color w:val="auto"/>
          <w:highlight w:val="none"/>
        </w:rPr>
        <w:instrText xml:space="preserve"> PAGEREF _Toc14160 \h </w:instrText>
      </w:r>
      <w:r>
        <w:rPr>
          <w:color w:val="auto"/>
          <w:highlight w:val="none"/>
        </w:rPr>
        <w:fldChar w:fldCharType="separate"/>
      </w:r>
      <w:r>
        <w:rPr>
          <w:color w:val="auto"/>
          <w:highlight w:val="none"/>
        </w:rPr>
        <w:t>42</w:t>
      </w:r>
      <w:r>
        <w:rPr>
          <w:color w:val="auto"/>
          <w:highlight w:val="none"/>
        </w:rPr>
        <w:fldChar w:fldCharType="end"/>
      </w:r>
      <w:r>
        <w:rPr>
          <w:rFonts w:hint="eastAsia" w:ascii="宋体" w:hAnsi="宋体" w:eastAsia="宋体" w:cs="宋体"/>
          <w:color w:val="auto"/>
          <w:spacing w:val="0"/>
          <w:szCs w:val="24"/>
          <w:highlight w:val="none"/>
        </w:rPr>
        <w:fldChar w:fldCharType="end"/>
      </w:r>
    </w:p>
    <w:p w14:paraId="0906F926">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_Toc16300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 ．响应性评审环节</w:t>
      </w:r>
      <w:r>
        <w:rPr>
          <w:color w:val="auto"/>
          <w:highlight w:val="none"/>
        </w:rPr>
        <w:tab/>
      </w:r>
      <w:r>
        <w:rPr>
          <w:color w:val="auto"/>
          <w:highlight w:val="none"/>
        </w:rPr>
        <w:fldChar w:fldCharType="begin"/>
      </w:r>
      <w:r>
        <w:rPr>
          <w:color w:val="auto"/>
          <w:highlight w:val="none"/>
        </w:rPr>
        <w:instrText xml:space="preserve"> PAGEREF _Toc16300 \h </w:instrText>
      </w:r>
      <w:r>
        <w:rPr>
          <w:color w:val="auto"/>
          <w:highlight w:val="none"/>
        </w:rPr>
        <w:fldChar w:fldCharType="separate"/>
      </w:r>
      <w:r>
        <w:rPr>
          <w:color w:val="auto"/>
          <w:highlight w:val="none"/>
        </w:rPr>
        <w:t>42</w:t>
      </w:r>
      <w:r>
        <w:rPr>
          <w:color w:val="auto"/>
          <w:highlight w:val="none"/>
        </w:rPr>
        <w:fldChar w:fldCharType="end"/>
      </w:r>
      <w:r>
        <w:rPr>
          <w:rFonts w:hint="eastAsia" w:ascii="宋体" w:hAnsi="宋体" w:eastAsia="宋体" w:cs="宋体"/>
          <w:color w:val="auto"/>
          <w:spacing w:val="0"/>
          <w:szCs w:val="24"/>
          <w:highlight w:val="none"/>
        </w:rPr>
        <w:fldChar w:fldCharType="end"/>
      </w:r>
    </w:p>
    <w:p w14:paraId="3C4207A4">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_Toc26594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4 ．其他</w:t>
      </w:r>
      <w:r>
        <w:rPr>
          <w:color w:val="auto"/>
          <w:highlight w:val="none"/>
        </w:rPr>
        <w:tab/>
      </w:r>
      <w:r>
        <w:rPr>
          <w:color w:val="auto"/>
          <w:highlight w:val="none"/>
        </w:rPr>
        <w:fldChar w:fldCharType="begin"/>
      </w:r>
      <w:r>
        <w:rPr>
          <w:color w:val="auto"/>
          <w:highlight w:val="none"/>
        </w:rPr>
        <w:instrText xml:space="preserve"> PAGEREF _Toc26594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eastAsia="宋体" w:cs="宋体"/>
          <w:color w:val="auto"/>
          <w:spacing w:val="0"/>
          <w:szCs w:val="24"/>
          <w:highlight w:val="none"/>
        </w:rPr>
        <w:fldChar w:fldCharType="end"/>
      </w:r>
    </w:p>
    <w:p w14:paraId="10C25343">
      <w:pPr>
        <w:pStyle w:val="10"/>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_Toc29390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snapToGrid/>
          <w:color w:val="auto"/>
          <w:kern w:val="2"/>
          <w:szCs w:val="24"/>
          <w:highlight w:val="none"/>
          <w:lang w:eastAsia="zh-CN"/>
        </w:rPr>
        <w:t>第五节 定标规定及细则（本项目采用票决数量法定标）</w:t>
      </w:r>
      <w:r>
        <w:rPr>
          <w:color w:val="auto"/>
          <w:highlight w:val="none"/>
        </w:rPr>
        <w:tab/>
      </w:r>
      <w:r>
        <w:rPr>
          <w:color w:val="auto"/>
          <w:highlight w:val="none"/>
        </w:rPr>
        <w:fldChar w:fldCharType="begin"/>
      </w:r>
      <w:r>
        <w:rPr>
          <w:color w:val="auto"/>
          <w:highlight w:val="none"/>
        </w:rPr>
        <w:instrText xml:space="preserve"> PAGEREF _Toc29390 \h </w:instrText>
      </w:r>
      <w:r>
        <w:rPr>
          <w:color w:val="auto"/>
          <w:highlight w:val="none"/>
        </w:rPr>
        <w:fldChar w:fldCharType="separate"/>
      </w:r>
      <w:r>
        <w:rPr>
          <w:color w:val="auto"/>
          <w:highlight w:val="none"/>
        </w:rPr>
        <w:t>44</w:t>
      </w:r>
      <w:r>
        <w:rPr>
          <w:color w:val="auto"/>
          <w:highlight w:val="none"/>
        </w:rPr>
        <w:fldChar w:fldCharType="end"/>
      </w:r>
      <w:r>
        <w:rPr>
          <w:rFonts w:hint="eastAsia" w:ascii="宋体" w:hAnsi="宋体" w:eastAsia="宋体" w:cs="宋体"/>
          <w:color w:val="auto"/>
          <w:spacing w:val="0"/>
          <w:szCs w:val="24"/>
          <w:highlight w:val="none"/>
        </w:rPr>
        <w:fldChar w:fldCharType="end"/>
      </w:r>
    </w:p>
    <w:p w14:paraId="0776E0E0">
      <w:pPr>
        <w:pStyle w:val="10"/>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_Toc12559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snapToGrid/>
          <w:color w:val="auto"/>
          <w:kern w:val="2"/>
          <w:szCs w:val="24"/>
          <w:highlight w:val="none"/>
          <w:lang w:eastAsia="zh-CN"/>
        </w:rPr>
        <w:t>第六节 中标确认</w:t>
      </w:r>
      <w:r>
        <w:rPr>
          <w:color w:val="auto"/>
          <w:highlight w:val="none"/>
        </w:rPr>
        <w:tab/>
      </w:r>
      <w:r>
        <w:rPr>
          <w:color w:val="auto"/>
          <w:highlight w:val="none"/>
        </w:rPr>
        <w:fldChar w:fldCharType="begin"/>
      </w:r>
      <w:r>
        <w:rPr>
          <w:color w:val="auto"/>
          <w:highlight w:val="none"/>
        </w:rPr>
        <w:instrText xml:space="preserve"> PAGEREF _Toc12559 \h </w:instrText>
      </w:r>
      <w:r>
        <w:rPr>
          <w:color w:val="auto"/>
          <w:highlight w:val="none"/>
        </w:rPr>
        <w:fldChar w:fldCharType="separate"/>
      </w:r>
      <w:r>
        <w:rPr>
          <w:color w:val="auto"/>
          <w:highlight w:val="none"/>
        </w:rPr>
        <w:t>47</w:t>
      </w:r>
      <w:r>
        <w:rPr>
          <w:color w:val="auto"/>
          <w:highlight w:val="none"/>
        </w:rPr>
        <w:fldChar w:fldCharType="end"/>
      </w:r>
      <w:r>
        <w:rPr>
          <w:rFonts w:hint="eastAsia" w:ascii="宋体" w:hAnsi="宋体" w:eastAsia="宋体" w:cs="宋体"/>
          <w:color w:val="auto"/>
          <w:spacing w:val="0"/>
          <w:szCs w:val="24"/>
          <w:highlight w:val="none"/>
        </w:rPr>
        <w:fldChar w:fldCharType="end"/>
      </w:r>
    </w:p>
    <w:p w14:paraId="24DA7020">
      <w:pPr>
        <w:pStyle w:val="9"/>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_Toc23600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第二章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中标人须知</w:t>
      </w:r>
      <w:r>
        <w:rPr>
          <w:color w:val="auto"/>
          <w:highlight w:val="none"/>
        </w:rPr>
        <w:tab/>
      </w:r>
      <w:r>
        <w:rPr>
          <w:color w:val="auto"/>
          <w:highlight w:val="none"/>
        </w:rPr>
        <w:fldChar w:fldCharType="begin"/>
      </w:r>
      <w:r>
        <w:rPr>
          <w:color w:val="auto"/>
          <w:highlight w:val="none"/>
        </w:rPr>
        <w:instrText xml:space="preserve"> PAGEREF _Toc23600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spacing w:val="0"/>
          <w:szCs w:val="24"/>
          <w:highlight w:val="none"/>
        </w:rPr>
        <w:fldChar w:fldCharType="end"/>
      </w:r>
    </w:p>
    <w:p w14:paraId="445417FE">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_Toc24658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．中标通知书</w:t>
      </w:r>
      <w:r>
        <w:rPr>
          <w:color w:val="auto"/>
          <w:highlight w:val="none"/>
        </w:rPr>
        <w:tab/>
      </w:r>
      <w:r>
        <w:rPr>
          <w:color w:val="auto"/>
          <w:highlight w:val="none"/>
        </w:rPr>
        <w:fldChar w:fldCharType="begin"/>
      </w:r>
      <w:r>
        <w:rPr>
          <w:color w:val="auto"/>
          <w:highlight w:val="none"/>
        </w:rPr>
        <w:instrText xml:space="preserve"> PAGEREF _Toc24658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spacing w:val="0"/>
          <w:szCs w:val="24"/>
          <w:highlight w:val="none"/>
        </w:rPr>
        <w:fldChar w:fldCharType="end"/>
      </w:r>
    </w:p>
    <w:p w14:paraId="40FEB98F">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_Toc24015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．中标结果公示</w:t>
      </w:r>
      <w:r>
        <w:rPr>
          <w:color w:val="auto"/>
          <w:highlight w:val="none"/>
        </w:rPr>
        <w:tab/>
      </w:r>
      <w:r>
        <w:rPr>
          <w:color w:val="auto"/>
          <w:highlight w:val="none"/>
        </w:rPr>
        <w:fldChar w:fldCharType="begin"/>
      </w:r>
      <w:r>
        <w:rPr>
          <w:color w:val="auto"/>
          <w:highlight w:val="none"/>
        </w:rPr>
        <w:instrText xml:space="preserve"> PAGEREF _Toc24015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spacing w:val="0"/>
          <w:szCs w:val="24"/>
          <w:highlight w:val="none"/>
        </w:rPr>
        <w:fldChar w:fldCharType="end"/>
      </w:r>
    </w:p>
    <w:p w14:paraId="4ECF3C0B">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_Toc14427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 ．履约保证</w:t>
      </w:r>
      <w:r>
        <w:rPr>
          <w:color w:val="auto"/>
          <w:highlight w:val="none"/>
        </w:rPr>
        <w:tab/>
      </w:r>
      <w:r>
        <w:rPr>
          <w:color w:val="auto"/>
          <w:highlight w:val="none"/>
        </w:rPr>
        <w:fldChar w:fldCharType="begin"/>
      </w:r>
      <w:r>
        <w:rPr>
          <w:color w:val="auto"/>
          <w:highlight w:val="none"/>
        </w:rPr>
        <w:instrText xml:space="preserve"> PAGEREF _Toc14427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spacing w:val="0"/>
          <w:szCs w:val="24"/>
          <w:highlight w:val="none"/>
        </w:rPr>
        <w:fldChar w:fldCharType="end"/>
      </w:r>
    </w:p>
    <w:p w14:paraId="33F5A810">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_Toc7584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4 ．合同订立</w:t>
      </w:r>
      <w:r>
        <w:rPr>
          <w:color w:val="auto"/>
          <w:highlight w:val="none"/>
        </w:rPr>
        <w:tab/>
      </w:r>
      <w:r>
        <w:rPr>
          <w:color w:val="auto"/>
          <w:highlight w:val="none"/>
        </w:rPr>
        <w:fldChar w:fldCharType="begin"/>
      </w:r>
      <w:r>
        <w:rPr>
          <w:color w:val="auto"/>
          <w:highlight w:val="none"/>
        </w:rPr>
        <w:instrText xml:space="preserve"> PAGEREF _Toc7584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spacing w:val="0"/>
          <w:szCs w:val="24"/>
          <w:highlight w:val="none"/>
        </w:rPr>
        <w:fldChar w:fldCharType="end"/>
      </w:r>
    </w:p>
    <w:p w14:paraId="56C2A8F4">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_Toc1353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5 ．放弃中标的处理</w:t>
      </w:r>
      <w:r>
        <w:rPr>
          <w:color w:val="auto"/>
          <w:highlight w:val="none"/>
        </w:rPr>
        <w:tab/>
      </w:r>
      <w:r>
        <w:rPr>
          <w:color w:val="auto"/>
          <w:highlight w:val="none"/>
        </w:rPr>
        <w:fldChar w:fldCharType="begin"/>
      </w:r>
      <w:r>
        <w:rPr>
          <w:color w:val="auto"/>
          <w:highlight w:val="none"/>
        </w:rPr>
        <w:instrText xml:space="preserve"> PAGEREF _Toc1353 \h </w:instrText>
      </w:r>
      <w:r>
        <w:rPr>
          <w:color w:val="auto"/>
          <w:highlight w:val="none"/>
        </w:rPr>
        <w:fldChar w:fldCharType="separate"/>
      </w:r>
      <w:r>
        <w:rPr>
          <w:color w:val="auto"/>
          <w:highlight w:val="none"/>
        </w:rPr>
        <w:t>51</w:t>
      </w:r>
      <w:r>
        <w:rPr>
          <w:color w:val="auto"/>
          <w:highlight w:val="none"/>
        </w:rPr>
        <w:fldChar w:fldCharType="end"/>
      </w:r>
      <w:r>
        <w:rPr>
          <w:rFonts w:hint="eastAsia" w:ascii="宋体" w:hAnsi="宋体" w:eastAsia="宋体" w:cs="宋体"/>
          <w:color w:val="auto"/>
          <w:spacing w:val="0"/>
          <w:szCs w:val="24"/>
          <w:highlight w:val="none"/>
        </w:rPr>
        <w:fldChar w:fldCharType="end"/>
      </w:r>
    </w:p>
    <w:p w14:paraId="1EB39F46">
      <w:pPr>
        <w:pStyle w:val="9"/>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_Toc25938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第三章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拟签订合同的主要条款</w:t>
      </w:r>
      <w:r>
        <w:rPr>
          <w:color w:val="auto"/>
          <w:highlight w:val="none"/>
        </w:rPr>
        <w:tab/>
      </w:r>
      <w:r>
        <w:rPr>
          <w:color w:val="auto"/>
          <w:highlight w:val="none"/>
        </w:rPr>
        <w:fldChar w:fldCharType="begin"/>
      </w:r>
      <w:r>
        <w:rPr>
          <w:color w:val="auto"/>
          <w:highlight w:val="none"/>
        </w:rPr>
        <w:instrText xml:space="preserve"> PAGEREF _Toc25938 \h </w:instrText>
      </w:r>
      <w:r>
        <w:rPr>
          <w:color w:val="auto"/>
          <w:highlight w:val="none"/>
        </w:rPr>
        <w:fldChar w:fldCharType="separate"/>
      </w:r>
      <w:r>
        <w:rPr>
          <w:color w:val="auto"/>
          <w:highlight w:val="none"/>
        </w:rPr>
        <w:t>52</w:t>
      </w:r>
      <w:r>
        <w:rPr>
          <w:color w:val="auto"/>
          <w:highlight w:val="none"/>
        </w:rPr>
        <w:fldChar w:fldCharType="end"/>
      </w:r>
      <w:r>
        <w:rPr>
          <w:rFonts w:hint="eastAsia" w:ascii="宋体" w:hAnsi="宋体" w:eastAsia="宋体" w:cs="宋体"/>
          <w:color w:val="auto"/>
          <w:spacing w:val="0"/>
          <w:szCs w:val="24"/>
          <w:highlight w:val="none"/>
        </w:rPr>
        <w:fldChar w:fldCharType="end"/>
      </w:r>
    </w:p>
    <w:p w14:paraId="1DFA4F5B">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_Toc10198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．工程承包方式</w:t>
      </w:r>
      <w:r>
        <w:rPr>
          <w:color w:val="auto"/>
          <w:highlight w:val="none"/>
        </w:rPr>
        <w:tab/>
      </w:r>
      <w:r>
        <w:rPr>
          <w:color w:val="auto"/>
          <w:highlight w:val="none"/>
        </w:rPr>
        <w:fldChar w:fldCharType="begin"/>
      </w:r>
      <w:r>
        <w:rPr>
          <w:color w:val="auto"/>
          <w:highlight w:val="none"/>
        </w:rPr>
        <w:instrText xml:space="preserve"> PAGEREF _Toc10198 \h </w:instrText>
      </w:r>
      <w:r>
        <w:rPr>
          <w:color w:val="auto"/>
          <w:highlight w:val="none"/>
        </w:rPr>
        <w:fldChar w:fldCharType="separate"/>
      </w:r>
      <w:r>
        <w:rPr>
          <w:color w:val="auto"/>
          <w:highlight w:val="none"/>
        </w:rPr>
        <w:t>52</w:t>
      </w:r>
      <w:r>
        <w:rPr>
          <w:color w:val="auto"/>
          <w:highlight w:val="none"/>
        </w:rPr>
        <w:fldChar w:fldCharType="end"/>
      </w:r>
      <w:r>
        <w:rPr>
          <w:rFonts w:hint="eastAsia" w:ascii="宋体" w:hAnsi="宋体" w:eastAsia="宋体" w:cs="宋体"/>
          <w:color w:val="auto"/>
          <w:spacing w:val="0"/>
          <w:szCs w:val="24"/>
          <w:highlight w:val="none"/>
        </w:rPr>
        <w:fldChar w:fldCharType="end"/>
      </w:r>
    </w:p>
    <w:p w14:paraId="66D48C12">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_Toc355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．工程结算原则</w:t>
      </w:r>
      <w:r>
        <w:rPr>
          <w:color w:val="auto"/>
          <w:highlight w:val="none"/>
        </w:rPr>
        <w:tab/>
      </w:r>
      <w:r>
        <w:rPr>
          <w:color w:val="auto"/>
          <w:highlight w:val="none"/>
        </w:rPr>
        <w:fldChar w:fldCharType="begin"/>
      </w:r>
      <w:r>
        <w:rPr>
          <w:color w:val="auto"/>
          <w:highlight w:val="none"/>
        </w:rPr>
        <w:instrText xml:space="preserve"> PAGEREF _Toc355 \h </w:instrText>
      </w:r>
      <w:r>
        <w:rPr>
          <w:color w:val="auto"/>
          <w:highlight w:val="none"/>
        </w:rPr>
        <w:fldChar w:fldCharType="separate"/>
      </w:r>
      <w:r>
        <w:rPr>
          <w:color w:val="auto"/>
          <w:highlight w:val="none"/>
        </w:rPr>
        <w:t>52</w:t>
      </w:r>
      <w:r>
        <w:rPr>
          <w:color w:val="auto"/>
          <w:highlight w:val="none"/>
        </w:rPr>
        <w:fldChar w:fldCharType="end"/>
      </w:r>
      <w:r>
        <w:rPr>
          <w:rFonts w:hint="eastAsia" w:ascii="宋体" w:hAnsi="宋体" w:eastAsia="宋体" w:cs="宋体"/>
          <w:color w:val="auto"/>
          <w:spacing w:val="0"/>
          <w:szCs w:val="24"/>
          <w:highlight w:val="none"/>
        </w:rPr>
        <w:fldChar w:fldCharType="end"/>
      </w:r>
    </w:p>
    <w:p w14:paraId="4D794F54">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_Toc30372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 工程付款办法</w:t>
      </w:r>
      <w:r>
        <w:rPr>
          <w:color w:val="auto"/>
          <w:highlight w:val="none"/>
        </w:rPr>
        <w:tab/>
      </w:r>
      <w:r>
        <w:rPr>
          <w:color w:val="auto"/>
          <w:highlight w:val="none"/>
        </w:rPr>
        <w:fldChar w:fldCharType="begin"/>
      </w:r>
      <w:r>
        <w:rPr>
          <w:color w:val="auto"/>
          <w:highlight w:val="none"/>
        </w:rPr>
        <w:instrText xml:space="preserve"> PAGEREF _Toc30372 \h </w:instrText>
      </w:r>
      <w:r>
        <w:rPr>
          <w:color w:val="auto"/>
          <w:highlight w:val="none"/>
        </w:rPr>
        <w:fldChar w:fldCharType="separate"/>
      </w:r>
      <w:r>
        <w:rPr>
          <w:color w:val="auto"/>
          <w:highlight w:val="none"/>
        </w:rPr>
        <w:t>58</w:t>
      </w:r>
      <w:r>
        <w:rPr>
          <w:color w:val="auto"/>
          <w:highlight w:val="none"/>
        </w:rPr>
        <w:fldChar w:fldCharType="end"/>
      </w:r>
      <w:r>
        <w:rPr>
          <w:rFonts w:hint="eastAsia" w:ascii="宋体" w:hAnsi="宋体" w:eastAsia="宋体" w:cs="宋体"/>
          <w:color w:val="auto"/>
          <w:spacing w:val="0"/>
          <w:szCs w:val="24"/>
          <w:highlight w:val="none"/>
        </w:rPr>
        <w:fldChar w:fldCharType="end"/>
      </w:r>
    </w:p>
    <w:p w14:paraId="739BFE12">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_Toc8596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4 ．其他专用合同条款</w:t>
      </w:r>
      <w:r>
        <w:rPr>
          <w:color w:val="auto"/>
          <w:highlight w:val="none"/>
        </w:rPr>
        <w:tab/>
      </w:r>
      <w:r>
        <w:rPr>
          <w:color w:val="auto"/>
          <w:highlight w:val="none"/>
        </w:rPr>
        <w:fldChar w:fldCharType="begin"/>
      </w:r>
      <w:r>
        <w:rPr>
          <w:color w:val="auto"/>
          <w:highlight w:val="none"/>
        </w:rPr>
        <w:instrText xml:space="preserve"> PAGEREF _Toc8596 \h </w:instrText>
      </w:r>
      <w:r>
        <w:rPr>
          <w:color w:val="auto"/>
          <w:highlight w:val="none"/>
        </w:rPr>
        <w:fldChar w:fldCharType="separate"/>
      </w:r>
      <w:r>
        <w:rPr>
          <w:color w:val="auto"/>
          <w:highlight w:val="none"/>
        </w:rPr>
        <w:t>59</w:t>
      </w:r>
      <w:r>
        <w:rPr>
          <w:color w:val="auto"/>
          <w:highlight w:val="none"/>
        </w:rPr>
        <w:fldChar w:fldCharType="end"/>
      </w:r>
      <w:r>
        <w:rPr>
          <w:rFonts w:hint="eastAsia" w:ascii="宋体" w:hAnsi="宋体" w:eastAsia="宋体" w:cs="宋体"/>
          <w:color w:val="auto"/>
          <w:spacing w:val="0"/>
          <w:szCs w:val="24"/>
          <w:highlight w:val="none"/>
        </w:rPr>
        <w:fldChar w:fldCharType="end"/>
      </w:r>
    </w:p>
    <w:p w14:paraId="16F6B7D7">
      <w:pPr>
        <w:pStyle w:val="9"/>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_Toc3929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第四章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技术要求</w:t>
      </w:r>
      <w:r>
        <w:rPr>
          <w:color w:val="auto"/>
          <w:highlight w:val="none"/>
        </w:rPr>
        <w:tab/>
      </w:r>
      <w:r>
        <w:rPr>
          <w:color w:val="auto"/>
          <w:highlight w:val="none"/>
        </w:rPr>
        <w:fldChar w:fldCharType="begin"/>
      </w:r>
      <w:r>
        <w:rPr>
          <w:color w:val="auto"/>
          <w:highlight w:val="none"/>
        </w:rPr>
        <w:instrText xml:space="preserve"> PAGEREF _Toc3929 \h </w:instrText>
      </w:r>
      <w:r>
        <w:rPr>
          <w:color w:val="auto"/>
          <w:highlight w:val="none"/>
        </w:rPr>
        <w:fldChar w:fldCharType="separate"/>
      </w:r>
      <w:r>
        <w:rPr>
          <w:color w:val="auto"/>
          <w:highlight w:val="none"/>
        </w:rPr>
        <w:t>68</w:t>
      </w:r>
      <w:r>
        <w:rPr>
          <w:color w:val="auto"/>
          <w:highlight w:val="none"/>
        </w:rPr>
        <w:fldChar w:fldCharType="end"/>
      </w:r>
      <w:r>
        <w:rPr>
          <w:rFonts w:hint="eastAsia" w:ascii="宋体" w:hAnsi="宋体" w:eastAsia="宋体" w:cs="宋体"/>
          <w:color w:val="auto"/>
          <w:spacing w:val="0"/>
          <w:szCs w:val="24"/>
          <w:highlight w:val="none"/>
        </w:rPr>
        <w:fldChar w:fldCharType="end"/>
      </w:r>
    </w:p>
    <w:p w14:paraId="13FC5303">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_Toc3645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．房屋建筑工程建设项目</w:t>
      </w:r>
      <w:r>
        <w:rPr>
          <w:color w:val="auto"/>
          <w:highlight w:val="none"/>
        </w:rPr>
        <w:tab/>
      </w:r>
      <w:r>
        <w:rPr>
          <w:color w:val="auto"/>
          <w:highlight w:val="none"/>
        </w:rPr>
        <w:fldChar w:fldCharType="begin"/>
      </w:r>
      <w:r>
        <w:rPr>
          <w:color w:val="auto"/>
          <w:highlight w:val="none"/>
        </w:rPr>
        <w:instrText xml:space="preserve"> PAGEREF _Toc3645 \h </w:instrText>
      </w:r>
      <w:r>
        <w:rPr>
          <w:color w:val="auto"/>
          <w:highlight w:val="none"/>
        </w:rPr>
        <w:fldChar w:fldCharType="separate"/>
      </w:r>
      <w:r>
        <w:rPr>
          <w:color w:val="auto"/>
          <w:highlight w:val="none"/>
        </w:rPr>
        <w:t>68</w:t>
      </w:r>
      <w:r>
        <w:rPr>
          <w:color w:val="auto"/>
          <w:highlight w:val="none"/>
        </w:rPr>
        <w:fldChar w:fldCharType="end"/>
      </w:r>
      <w:r>
        <w:rPr>
          <w:rFonts w:hint="eastAsia" w:ascii="宋体" w:hAnsi="宋体" w:eastAsia="宋体" w:cs="宋体"/>
          <w:color w:val="auto"/>
          <w:spacing w:val="0"/>
          <w:szCs w:val="24"/>
          <w:highlight w:val="none"/>
        </w:rPr>
        <w:fldChar w:fldCharType="end"/>
      </w:r>
    </w:p>
    <w:p w14:paraId="06FC6DE4">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_Toc15654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．市政基础设施工程建设项目</w:t>
      </w:r>
      <w:r>
        <w:rPr>
          <w:color w:val="auto"/>
          <w:highlight w:val="none"/>
        </w:rPr>
        <w:tab/>
      </w:r>
      <w:r>
        <w:rPr>
          <w:color w:val="auto"/>
          <w:highlight w:val="none"/>
        </w:rPr>
        <w:fldChar w:fldCharType="begin"/>
      </w:r>
      <w:r>
        <w:rPr>
          <w:color w:val="auto"/>
          <w:highlight w:val="none"/>
        </w:rPr>
        <w:instrText xml:space="preserve"> PAGEREF _Toc15654 \h </w:instrText>
      </w:r>
      <w:r>
        <w:rPr>
          <w:color w:val="auto"/>
          <w:highlight w:val="none"/>
        </w:rPr>
        <w:fldChar w:fldCharType="separate"/>
      </w:r>
      <w:r>
        <w:rPr>
          <w:color w:val="auto"/>
          <w:highlight w:val="none"/>
        </w:rPr>
        <w:t>68</w:t>
      </w:r>
      <w:r>
        <w:rPr>
          <w:color w:val="auto"/>
          <w:highlight w:val="none"/>
        </w:rPr>
        <w:fldChar w:fldCharType="end"/>
      </w:r>
      <w:r>
        <w:rPr>
          <w:rFonts w:hint="eastAsia" w:ascii="宋体" w:hAnsi="宋体" w:eastAsia="宋体" w:cs="宋体"/>
          <w:color w:val="auto"/>
          <w:spacing w:val="0"/>
          <w:szCs w:val="24"/>
          <w:highlight w:val="none"/>
        </w:rPr>
        <w:fldChar w:fldCharType="end"/>
      </w:r>
    </w:p>
    <w:p w14:paraId="01E9797F">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_Toc24857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 ．备查要求</w:t>
      </w:r>
      <w:r>
        <w:rPr>
          <w:color w:val="auto"/>
          <w:highlight w:val="none"/>
        </w:rPr>
        <w:tab/>
      </w:r>
      <w:r>
        <w:rPr>
          <w:color w:val="auto"/>
          <w:highlight w:val="none"/>
        </w:rPr>
        <w:fldChar w:fldCharType="begin"/>
      </w:r>
      <w:r>
        <w:rPr>
          <w:color w:val="auto"/>
          <w:highlight w:val="none"/>
        </w:rPr>
        <w:instrText xml:space="preserve"> PAGEREF _Toc24857 \h </w:instrText>
      </w:r>
      <w:r>
        <w:rPr>
          <w:color w:val="auto"/>
          <w:highlight w:val="none"/>
        </w:rPr>
        <w:fldChar w:fldCharType="separate"/>
      </w:r>
      <w:r>
        <w:rPr>
          <w:color w:val="auto"/>
          <w:highlight w:val="none"/>
        </w:rPr>
        <w:t>69</w:t>
      </w:r>
      <w:r>
        <w:rPr>
          <w:color w:val="auto"/>
          <w:highlight w:val="none"/>
        </w:rPr>
        <w:fldChar w:fldCharType="end"/>
      </w:r>
      <w:r>
        <w:rPr>
          <w:rFonts w:hint="eastAsia" w:ascii="宋体" w:hAnsi="宋体" w:eastAsia="宋体" w:cs="宋体"/>
          <w:color w:val="auto"/>
          <w:spacing w:val="0"/>
          <w:szCs w:val="24"/>
          <w:highlight w:val="none"/>
        </w:rPr>
        <w:fldChar w:fldCharType="end"/>
      </w:r>
    </w:p>
    <w:p w14:paraId="35CCB245">
      <w:pPr>
        <w:pStyle w:val="9"/>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_Toc2281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第五章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图纸和招标工程量清单</w:t>
      </w:r>
      <w:r>
        <w:rPr>
          <w:color w:val="auto"/>
          <w:highlight w:val="none"/>
        </w:rPr>
        <w:tab/>
      </w:r>
      <w:r>
        <w:rPr>
          <w:color w:val="auto"/>
          <w:highlight w:val="none"/>
        </w:rPr>
        <w:fldChar w:fldCharType="begin"/>
      </w:r>
      <w:r>
        <w:rPr>
          <w:color w:val="auto"/>
          <w:highlight w:val="none"/>
        </w:rPr>
        <w:instrText xml:space="preserve"> PAGEREF _Toc2281 \h </w:instrText>
      </w:r>
      <w:r>
        <w:rPr>
          <w:color w:val="auto"/>
          <w:highlight w:val="none"/>
        </w:rPr>
        <w:fldChar w:fldCharType="separate"/>
      </w:r>
      <w:r>
        <w:rPr>
          <w:color w:val="auto"/>
          <w:highlight w:val="none"/>
        </w:rPr>
        <w:t>70</w:t>
      </w:r>
      <w:r>
        <w:rPr>
          <w:color w:val="auto"/>
          <w:highlight w:val="none"/>
        </w:rPr>
        <w:fldChar w:fldCharType="end"/>
      </w:r>
      <w:r>
        <w:rPr>
          <w:rFonts w:hint="eastAsia" w:ascii="宋体" w:hAnsi="宋体" w:eastAsia="宋体" w:cs="宋体"/>
          <w:color w:val="auto"/>
          <w:spacing w:val="0"/>
          <w:szCs w:val="24"/>
          <w:highlight w:val="none"/>
        </w:rPr>
        <w:fldChar w:fldCharType="end"/>
      </w:r>
    </w:p>
    <w:p w14:paraId="740D39C9">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_Toc9588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．图纸</w:t>
      </w:r>
      <w:r>
        <w:rPr>
          <w:color w:val="auto"/>
          <w:highlight w:val="none"/>
        </w:rPr>
        <w:tab/>
      </w:r>
      <w:r>
        <w:rPr>
          <w:color w:val="auto"/>
          <w:highlight w:val="none"/>
        </w:rPr>
        <w:fldChar w:fldCharType="begin"/>
      </w:r>
      <w:r>
        <w:rPr>
          <w:color w:val="auto"/>
          <w:highlight w:val="none"/>
        </w:rPr>
        <w:instrText xml:space="preserve"> PAGEREF _Toc9588 \h </w:instrText>
      </w:r>
      <w:r>
        <w:rPr>
          <w:color w:val="auto"/>
          <w:highlight w:val="none"/>
        </w:rPr>
        <w:fldChar w:fldCharType="separate"/>
      </w:r>
      <w:r>
        <w:rPr>
          <w:color w:val="auto"/>
          <w:highlight w:val="none"/>
        </w:rPr>
        <w:t>70</w:t>
      </w:r>
      <w:r>
        <w:rPr>
          <w:color w:val="auto"/>
          <w:highlight w:val="none"/>
        </w:rPr>
        <w:fldChar w:fldCharType="end"/>
      </w:r>
      <w:r>
        <w:rPr>
          <w:rFonts w:hint="eastAsia" w:ascii="宋体" w:hAnsi="宋体" w:eastAsia="宋体" w:cs="宋体"/>
          <w:color w:val="auto"/>
          <w:spacing w:val="0"/>
          <w:szCs w:val="24"/>
          <w:highlight w:val="none"/>
        </w:rPr>
        <w:fldChar w:fldCharType="end"/>
      </w:r>
    </w:p>
    <w:p w14:paraId="11266A90">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_Toc26384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．招标工程量清单</w:t>
      </w:r>
      <w:r>
        <w:rPr>
          <w:color w:val="auto"/>
          <w:highlight w:val="none"/>
        </w:rPr>
        <w:tab/>
      </w:r>
      <w:r>
        <w:rPr>
          <w:color w:val="auto"/>
          <w:highlight w:val="none"/>
        </w:rPr>
        <w:fldChar w:fldCharType="begin"/>
      </w:r>
      <w:r>
        <w:rPr>
          <w:color w:val="auto"/>
          <w:highlight w:val="none"/>
        </w:rPr>
        <w:instrText xml:space="preserve"> PAGEREF _Toc26384 \h </w:instrText>
      </w:r>
      <w:r>
        <w:rPr>
          <w:color w:val="auto"/>
          <w:highlight w:val="none"/>
        </w:rPr>
        <w:fldChar w:fldCharType="separate"/>
      </w:r>
      <w:r>
        <w:rPr>
          <w:color w:val="auto"/>
          <w:highlight w:val="none"/>
        </w:rPr>
        <w:t>70</w:t>
      </w:r>
      <w:r>
        <w:rPr>
          <w:color w:val="auto"/>
          <w:highlight w:val="none"/>
        </w:rPr>
        <w:fldChar w:fldCharType="end"/>
      </w:r>
      <w:r>
        <w:rPr>
          <w:rFonts w:hint="eastAsia" w:ascii="宋体" w:hAnsi="宋体" w:eastAsia="宋体" w:cs="宋体"/>
          <w:color w:val="auto"/>
          <w:spacing w:val="0"/>
          <w:szCs w:val="24"/>
          <w:highlight w:val="none"/>
        </w:rPr>
        <w:fldChar w:fldCharType="end"/>
      </w:r>
    </w:p>
    <w:p w14:paraId="4EB7F02B">
      <w:pPr>
        <w:pStyle w:val="9"/>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_Toc8944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第六章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投标文件格式</w:t>
      </w:r>
      <w:r>
        <w:rPr>
          <w:color w:val="auto"/>
          <w:highlight w:val="none"/>
        </w:rPr>
        <w:tab/>
      </w:r>
      <w:r>
        <w:rPr>
          <w:color w:val="auto"/>
          <w:highlight w:val="none"/>
        </w:rPr>
        <w:fldChar w:fldCharType="begin"/>
      </w:r>
      <w:r>
        <w:rPr>
          <w:color w:val="auto"/>
          <w:highlight w:val="none"/>
        </w:rPr>
        <w:instrText xml:space="preserve"> PAGEREF _Toc8944 \h </w:instrText>
      </w:r>
      <w:r>
        <w:rPr>
          <w:color w:val="auto"/>
          <w:highlight w:val="none"/>
        </w:rPr>
        <w:fldChar w:fldCharType="separate"/>
      </w:r>
      <w:r>
        <w:rPr>
          <w:color w:val="auto"/>
          <w:highlight w:val="none"/>
        </w:rPr>
        <w:t>71</w:t>
      </w:r>
      <w:r>
        <w:rPr>
          <w:color w:val="auto"/>
          <w:highlight w:val="none"/>
        </w:rPr>
        <w:fldChar w:fldCharType="end"/>
      </w:r>
      <w:r>
        <w:rPr>
          <w:rFonts w:hint="eastAsia" w:ascii="宋体" w:hAnsi="宋体" w:eastAsia="宋体" w:cs="宋体"/>
          <w:color w:val="auto"/>
          <w:spacing w:val="0"/>
          <w:szCs w:val="24"/>
          <w:highlight w:val="none"/>
        </w:rPr>
        <w:fldChar w:fldCharType="end"/>
      </w:r>
    </w:p>
    <w:p w14:paraId="730DBCC6">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_Toc23014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格式一</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封面</w:t>
      </w:r>
      <w:r>
        <w:rPr>
          <w:color w:val="auto"/>
          <w:highlight w:val="none"/>
        </w:rPr>
        <w:tab/>
      </w:r>
      <w:r>
        <w:rPr>
          <w:color w:val="auto"/>
          <w:highlight w:val="none"/>
        </w:rPr>
        <w:fldChar w:fldCharType="begin"/>
      </w:r>
      <w:r>
        <w:rPr>
          <w:color w:val="auto"/>
          <w:highlight w:val="none"/>
        </w:rPr>
        <w:instrText xml:space="preserve"> PAGEREF _Toc23014 \h </w:instrText>
      </w:r>
      <w:r>
        <w:rPr>
          <w:color w:val="auto"/>
          <w:highlight w:val="none"/>
        </w:rPr>
        <w:fldChar w:fldCharType="separate"/>
      </w:r>
      <w:r>
        <w:rPr>
          <w:color w:val="auto"/>
          <w:highlight w:val="none"/>
        </w:rPr>
        <w:t>71</w:t>
      </w:r>
      <w:r>
        <w:rPr>
          <w:color w:val="auto"/>
          <w:highlight w:val="none"/>
        </w:rPr>
        <w:fldChar w:fldCharType="end"/>
      </w:r>
      <w:r>
        <w:rPr>
          <w:rFonts w:hint="eastAsia" w:ascii="宋体" w:hAnsi="宋体" w:eastAsia="宋体" w:cs="宋体"/>
          <w:color w:val="auto"/>
          <w:spacing w:val="0"/>
          <w:szCs w:val="24"/>
          <w:highlight w:val="none"/>
        </w:rPr>
        <w:fldChar w:fldCharType="end"/>
      </w:r>
    </w:p>
    <w:p w14:paraId="5988F2F9">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_Toc28466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格式二 投标函</w:t>
      </w:r>
      <w:r>
        <w:rPr>
          <w:color w:val="auto"/>
          <w:highlight w:val="none"/>
        </w:rPr>
        <w:tab/>
      </w:r>
      <w:r>
        <w:rPr>
          <w:color w:val="auto"/>
          <w:highlight w:val="none"/>
        </w:rPr>
        <w:fldChar w:fldCharType="begin"/>
      </w:r>
      <w:r>
        <w:rPr>
          <w:color w:val="auto"/>
          <w:highlight w:val="none"/>
        </w:rPr>
        <w:instrText xml:space="preserve"> PAGEREF _Toc28466 \h </w:instrText>
      </w:r>
      <w:r>
        <w:rPr>
          <w:color w:val="auto"/>
          <w:highlight w:val="none"/>
        </w:rPr>
        <w:fldChar w:fldCharType="separate"/>
      </w:r>
      <w:r>
        <w:rPr>
          <w:color w:val="auto"/>
          <w:highlight w:val="none"/>
        </w:rPr>
        <w:t>72</w:t>
      </w:r>
      <w:r>
        <w:rPr>
          <w:color w:val="auto"/>
          <w:highlight w:val="none"/>
        </w:rPr>
        <w:fldChar w:fldCharType="end"/>
      </w:r>
      <w:r>
        <w:rPr>
          <w:rFonts w:hint="eastAsia" w:ascii="宋体" w:hAnsi="宋体" w:eastAsia="宋体" w:cs="宋体"/>
          <w:color w:val="auto"/>
          <w:spacing w:val="0"/>
          <w:szCs w:val="24"/>
          <w:highlight w:val="none"/>
        </w:rPr>
        <w:fldChar w:fldCharType="end"/>
      </w:r>
    </w:p>
    <w:p w14:paraId="328385FB">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_Toc21234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格式三 各项承诺一览表</w:t>
      </w:r>
      <w:r>
        <w:rPr>
          <w:color w:val="auto"/>
          <w:highlight w:val="none"/>
        </w:rPr>
        <w:tab/>
      </w:r>
      <w:r>
        <w:rPr>
          <w:color w:val="auto"/>
          <w:highlight w:val="none"/>
        </w:rPr>
        <w:fldChar w:fldCharType="begin"/>
      </w:r>
      <w:r>
        <w:rPr>
          <w:color w:val="auto"/>
          <w:highlight w:val="none"/>
        </w:rPr>
        <w:instrText xml:space="preserve"> PAGEREF _Toc21234 \h </w:instrText>
      </w:r>
      <w:r>
        <w:rPr>
          <w:color w:val="auto"/>
          <w:highlight w:val="none"/>
        </w:rPr>
        <w:fldChar w:fldCharType="separate"/>
      </w:r>
      <w:r>
        <w:rPr>
          <w:color w:val="auto"/>
          <w:highlight w:val="none"/>
        </w:rPr>
        <w:t>73</w:t>
      </w:r>
      <w:r>
        <w:rPr>
          <w:color w:val="auto"/>
          <w:highlight w:val="none"/>
        </w:rPr>
        <w:fldChar w:fldCharType="end"/>
      </w:r>
      <w:r>
        <w:rPr>
          <w:rFonts w:hint="eastAsia" w:ascii="宋体" w:hAnsi="宋体" w:eastAsia="宋体" w:cs="宋体"/>
          <w:color w:val="auto"/>
          <w:spacing w:val="0"/>
          <w:szCs w:val="24"/>
          <w:highlight w:val="none"/>
        </w:rPr>
        <w:fldChar w:fldCharType="end"/>
      </w:r>
    </w:p>
    <w:p w14:paraId="1B086D96">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_Toc1592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_Toc1592 \h </w:instrText>
      </w:r>
      <w:r>
        <w:rPr>
          <w:color w:val="auto"/>
          <w:highlight w:val="none"/>
        </w:rPr>
        <w:fldChar w:fldCharType="separate"/>
      </w:r>
      <w:r>
        <w:rPr>
          <w:color w:val="auto"/>
          <w:highlight w:val="none"/>
        </w:rPr>
        <w:t>75</w:t>
      </w:r>
      <w:r>
        <w:rPr>
          <w:color w:val="auto"/>
          <w:highlight w:val="none"/>
        </w:rPr>
        <w:fldChar w:fldCharType="end"/>
      </w:r>
      <w:r>
        <w:rPr>
          <w:rFonts w:hint="eastAsia" w:ascii="宋体" w:hAnsi="宋体" w:eastAsia="宋体" w:cs="宋体"/>
          <w:color w:val="auto"/>
          <w:spacing w:val="0"/>
          <w:szCs w:val="24"/>
          <w:highlight w:val="none"/>
        </w:rPr>
        <w:fldChar w:fldCharType="end"/>
      </w:r>
    </w:p>
    <w:p w14:paraId="067FCD85">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_Toc13446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_Toc13446 \h </w:instrText>
      </w:r>
      <w:r>
        <w:rPr>
          <w:color w:val="auto"/>
          <w:highlight w:val="none"/>
        </w:rPr>
        <w:fldChar w:fldCharType="separate"/>
      </w:r>
      <w:r>
        <w:rPr>
          <w:color w:val="auto"/>
          <w:highlight w:val="none"/>
        </w:rPr>
        <w:t>76</w:t>
      </w:r>
      <w:r>
        <w:rPr>
          <w:color w:val="auto"/>
          <w:highlight w:val="none"/>
        </w:rPr>
        <w:fldChar w:fldCharType="end"/>
      </w:r>
      <w:r>
        <w:rPr>
          <w:rFonts w:hint="eastAsia" w:ascii="宋体" w:hAnsi="宋体" w:eastAsia="宋体" w:cs="宋体"/>
          <w:color w:val="auto"/>
          <w:spacing w:val="0"/>
          <w:szCs w:val="24"/>
          <w:highlight w:val="none"/>
        </w:rPr>
        <w:fldChar w:fldCharType="end"/>
      </w:r>
    </w:p>
    <w:p w14:paraId="0CD9E612">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_Toc26155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格式六 联合体协议书</w:t>
      </w:r>
      <w:r>
        <w:rPr>
          <w:color w:val="auto"/>
          <w:highlight w:val="none"/>
        </w:rPr>
        <w:tab/>
      </w:r>
      <w:r>
        <w:rPr>
          <w:color w:val="auto"/>
          <w:highlight w:val="none"/>
        </w:rPr>
        <w:fldChar w:fldCharType="begin"/>
      </w:r>
      <w:r>
        <w:rPr>
          <w:color w:val="auto"/>
          <w:highlight w:val="none"/>
        </w:rPr>
        <w:instrText xml:space="preserve"> PAGEREF _Toc26155 \h </w:instrText>
      </w:r>
      <w:r>
        <w:rPr>
          <w:color w:val="auto"/>
          <w:highlight w:val="none"/>
        </w:rPr>
        <w:fldChar w:fldCharType="separate"/>
      </w:r>
      <w:r>
        <w:rPr>
          <w:color w:val="auto"/>
          <w:highlight w:val="none"/>
        </w:rPr>
        <w:t>77</w:t>
      </w:r>
      <w:r>
        <w:rPr>
          <w:color w:val="auto"/>
          <w:highlight w:val="none"/>
        </w:rPr>
        <w:fldChar w:fldCharType="end"/>
      </w:r>
      <w:r>
        <w:rPr>
          <w:rFonts w:hint="eastAsia" w:ascii="宋体" w:hAnsi="宋体" w:eastAsia="宋体" w:cs="宋体"/>
          <w:color w:val="auto"/>
          <w:spacing w:val="0"/>
          <w:szCs w:val="24"/>
          <w:highlight w:val="none"/>
        </w:rPr>
        <w:fldChar w:fldCharType="end"/>
      </w:r>
    </w:p>
    <w:p w14:paraId="7688F96B">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_Toc7360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格式七 投标人基本情况表</w:t>
      </w:r>
      <w:r>
        <w:rPr>
          <w:color w:val="auto"/>
          <w:highlight w:val="none"/>
        </w:rPr>
        <w:tab/>
      </w:r>
      <w:r>
        <w:rPr>
          <w:color w:val="auto"/>
          <w:highlight w:val="none"/>
        </w:rPr>
        <w:fldChar w:fldCharType="begin"/>
      </w:r>
      <w:r>
        <w:rPr>
          <w:color w:val="auto"/>
          <w:highlight w:val="none"/>
        </w:rPr>
        <w:instrText xml:space="preserve"> PAGEREF _Toc7360 \h </w:instrText>
      </w:r>
      <w:r>
        <w:rPr>
          <w:color w:val="auto"/>
          <w:highlight w:val="none"/>
        </w:rPr>
        <w:fldChar w:fldCharType="separate"/>
      </w:r>
      <w:r>
        <w:rPr>
          <w:color w:val="auto"/>
          <w:highlight w:val="none"/>
        </w:rPr>
        <w:t>78</w:t>
      </w:r>
      <w:r>
        <w:rPr>
          <w:color w:val="auto"/>
          <w:highlight w:val="none"/>
        </w:rPr>
        <w:fldChar w:fldCharType="end"/>
      </w:r>
      <w:r>
        <w:rPr>
          <w:rFonts w:hint="eastAsia" w:ascii="宋体" w:hAnsi="宋体" w:eastAsia="宋体" w:cs="宋体"/>
          <w:color w:val="auto"/>
          <w:spacing w:val="0"/>
          <w:szCs w:val="24"/>
          <w:highlight w:val="none"/>
        </w:rPr>
        <w:fldChar w:fldCharType="end"/>
      </w:r>
    </w:p>
    <w:p w14:paraId="49E6585B">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_Toc21219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格式八 项目经理简历表</w:t>
      </w:r>
      <w:r>
        <w:rPr>
          <w:color w:val="auto"/>
          <w:highlight w:val="none"/>
        </w:rPr>
        <w:tab/>
      </w:r>
      <w:r>
        <w:rPr>
          <w:color w:val="auto"/>
          <w:highlight w:val="none"/>
        </w:rPr>
        <w:fldChar w:fldCharType="begin"/>
      </w:r>
      <w:r>
        <w:rPr>
          <w:color w:val="auto"/>
          <w:highlight w:val="none"/>
        </w:rPr>
        <w:instrText xml:space="preserve"> PAGEREF _Toc21219 \h </w:instrText>
      </w:r>
      <w:r>
        <w:rPr>
          <w:color w:val="auto"/>
          <w:highlight w:val="none"/>
        </w:rPr>
        <w:fldChar w:fldCharType="separate"/>
      </w:r>
      <w:r>
        <w:rPr>
          <w:color w:val="auto"/>
          <w:highlight w:val="none"/>
        </w:rPr>
        <w:t>79</w:t>
      </w:r>
      <w:r>
        <w:rPr>
          <w:color w:val="auto"/>
          <w:highlight w:val="none"/>
        </w:rPr>
        <w:fldChar w:fldCharType="end"/>
      </w:r>
      <w:r>
        <w:rPr>
          <w:rFonts w:hint="eastAsia" w:ascii="宋体" w:hAnsi="宋体" w:eastAsia="宋体" w:cs="宋体"/>
          <w:color w:val="auto"/>
          <w:spacing w:val="0"/>
          <w:szCs w:val="24"/>
          <w:highlight w:val="none"/>
        </w:rPr>
        <w:fldChar w:fldCharType="end"/>
      </w:r>
    </w:p>
    <w:p w14:paraId="09AC15DC">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_Toc11650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格式九 项目经理任职声明</w:t>
      </w:r>
      <w:r>
        <w:rPr>
          <w:color w:val="auto"/>
          <w:highlight w:val="none"/>
        </w:rPr>
        <w:tab/>
      </w:r>
      <w:r>
        <w:rPr>
          <w:color w:val="auto"/>
          <w:highlight w:val="none"/>
        </w:rPr>
        <w:fldChar w:fldCharType="begin"/>
      </w:r>
      <w:r>
        <w:rPr>
          <w:color w:val="auto"/>
          <w:highlight w:val="none"/>
        </w:rPr>
        <w:instrText xml:space="preserve"> PAGEREF _Toc11650 \h </w:instrText>
      </w:r>
      <w:r>
        <w:rPr>
          <w:color w:val="auto"/>
          <w:highlight w:val="none"/>
        </w:rPr>
        <w:fldChar w:fldCharType="separate"/>
      </w:r>
      <w:r>
        <w:rPr>
          <w:color w:val="auto"/>
          <w:highlight w:val="none"/>
        </w:rPr>
        <w:t>80</w:t>
      </w:r>
      <w:r>
        <w:rPr>
          <w:color w:val="auto"/>
          <w:highlight w:val="none"/>
        </w:rPr>
        <w:fldChar w:fldCharType="end"/>
      </w:r>
      <w:r>
        <w:rPr>
          <w:rFonts w:hint="eastAsia" w:ascii="宋体" w:hAnsi="宋体" w:eastAsia="宋体" w:cs="宋体"/>
          <w:color w:val="auto"/>
          <w:spacing w:val="0"/>
          <w:szCs w:val="24"/>
          <w:highlight w:val="none"/>
        </w:rPr>
        <w:fldChar w:fldCharType="end"/>
      </w:r>
    </w:p>
    <w:p w14:paraId="6893C816">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_Toc18047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 项目技术负责人简历表</w:t>
      </w:r>
      <w:r>
        <w:rPr>
          <w:color w:val="auto"/>
          <w:highlight w:val="none"/>
        </w:rPr>
        <w:tab/>
      </w:r>
      <w:r>
        <w:rPr>
          <w:color w:val="auto"/>
          <w:highlight w:val="none"/>
        </w:rPr>
        <w:fldChar w:fldCharType="begin"/>
      </w:r>
      <w:r>
        <w:rPr>
          <w:color w:val="auto"/>
          <w:highlight w:val="none"/>
        </w:rPr>
        <w:instrText xml:space="preserve"> PAGEREF _Toc18047 \h </w:instrText>
      </w:r>
      <w:r>
        <w:rPr>
          <w:color w:val="auto"/>
          <w:highlight w:val="none"/>
        </w:rPr>
        <w:fldChar w:fldCharType="separate"/>
      </w:r>
      <w:r>
        <w:rPr>
          <w:color w:val="auto"/>
          <w:highlight w:val="none"/>
        </w:rPr>
        <w:t>81</w:t>
      </w:r>
      <w:r>
        <w:rPr>
          <w:color w:val="auto"/>
          <w:highlight w:val="none"/>
        </w:rPr>
        <w:fldChar w:fldCharType="end"/>
      </w:r>
      <w:r>
        <w:rPr>
          <w:rFonts w:hint="eastAsia" w:ascii="宋体" w:hAnsi="宋体" w:eastAsia="宋体" w:cs="宋体"/>
          <w:color w:val="auto"/>
          <w:spacing w:val="0"/>
          <w:szCs w:val="24"/>
          <w:highlight w:val="none"/>
        </w:rPr>
        <w:fldChar w:fldCharType="end"/>
      </w:r>
    </w:p>
    <w:p w14:paraId="4E5569D8">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_Toc24872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格式十一 项目管理机构组成表</w:t>
      </w:r>
      <w:r>
        <w:rPr>
          <w:color w:val="auto"/>
          <w:highlight w:val="none"/>
        </w:rPr>
        <w:tab/>
      </w:r>
      <w:r>
        <w:rPr>
          <w:color w:val="auto"/>
          <w:highlight w:val="none"/>
        </w:rPr>
        <w:fldChar w:fldCharType="begin"/>
      </w:r>
      <w:r>
        <w:rPr>
          <w:color w:val="auto"/>
          <w:highlight w:val="none"/>
        </w:rPr>
        <w:instrText xml:space="preserve"> PAGEREF _Toc24872 \h </w:instrText>
      </w:r>
      <w:r>
        <w:rPr>
          <w:color w:val="auto"/>
          <w:highlight w:val="none"/>
        </w:rPr>
        <w:fldChar w:fldCharType="separate"/>
      </w:r>
      <w:r>
        <w:rPr>
          <w:color w:val="auto"/>
          <w:highlight w:val="none"/>
        </w:rPr>
        <w:t>82</w:t>
      </w:r>
      <w:r>
        <w:rPr>
          <w:color w:val="auto"/>
          <w:highlight w:val="none"/>
        </w:rPr>
        <w:fldChar w:fldCharType="end"/>
      </w:r>
      <w:r>
        <w:rPr>
          <w:rFonts w:hint="eastAsia" w:ascii="宋体" w:hAnsi="宋体" w:eastAsia="宋体" w:cs="宋体"/>
          <w:color w:val="auto"/>
          <w:spacing w:val="0"/>
          <w:szCs w:val="24"/>
          <w:highlight w:val="none"/>
        </w:rPr>
        <w:fldChar w:fldCharType="end"/>
      </w:r>
    </w:p>
    <w:p w14:paraId="456585B9">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_Toc32698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格式十二 建造师查询页（有效期+建造师签字）</w:t>
      </w:r>
      <w:r>
        <w:rPr>
          <w:color w:val="auto"/>
          <w:highlight w:val="none"/>
        </w:rPr>
        <w:tab/>
      </w:r>
      <w:r>
        <w:rPr>
          <w:color w:val="auto"/>
          <w:highlight w:val="none"/>
        </w:rPr>
        <w:fldChar w:fldCharType="begin"/>
      </w:r>
      <w:r>
        <w:rPr>
          <w:color w:val="auto"/>
          <w:highlight w:val="none"/>
        </w:rPr>
        <w:instrText xml:space="preserve"> PAGEREF _Toc32698 \h </w:instrText>
      </w:r>
      <w:r>
        <w:rPr>
          <w:color w:val="auto"/>
          <w:highlight w:val="none"/>
        </w:rPr>
        <w:fldChar w:fldCharType="separate"/>
      </w:r>
      <w:r>
        <w:rPr>
          <w:color w:val="auto"/>
          <w:highlight w:val="none"/>
        </w:rPr>
        <w:t>83</w:t>
      </w:r>
      <w:r>
        <w:rPr>
          <w:color w:val="auto"/>
          <w:highlight w:val="none"/>
        </w:rPr>
        <w:fldChar w:fldCharType="end"/>
      </w:r>
      <w:r>
        <w:rPr>
          <w:rFonts w:hint="eastAsia" w:ascii="宋体" w:hAnsi="宋体" w:eastAsia="宋体" w:cs="宋体"/>
          <w:color w:val="auto"/>
          <w:spacing w:val="0"/>
          <w:szCs w:val="24"/>
          <w:highlight w:val="none"/>
        </w:rPr>
        <w:fldChar w:fldCharType="end"/>
      </w:r>
    </w:p>
    <w:p w14:paraId="4BD965B9">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_Toc14863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格式十三</w:t>
      </w:r>
      <w:r>
        <w:rPr>
          <w:rFonts w:hint="eastAsia" w:ascii="宋体" w:hAnsi="宋体" w:eastAsia="宋体" w:cs="宋体"/>
          <w:bCs/>
          <w:color w:val="auto"/>
          <w:spacing w:val="0"/>
          <w:szCs w:val="24"/>
          <w:highlight w:val="none"/>
          <w:lang w:val="en-US" w:eastAsia="zh-CN"/>
        </w:rPr>
        <w:t xml:space="preserve"> </w:t>
      </w:r>
      <w:r>
        <w:rPr>
          <w:rFonts w:hint="eastAsia" w:ascii="宋体" w:hAnsi="宋体" w:eastAsia="宋体" w:cs="宋体"/>
          <w:bCs/>
          <w:color w:val="auto"/>
          <w:spacing w:val="0"/>
          <w:szCs w:val="22"/>
          <w:highlight w:val="none"/>
        </w:rPr>
        <w:t>危险性较大的分部分项工程清单及超过一定规模的危险性较大的分部分项工程清单</w:t>
      </w:r>
      <w:r>
        <w:rPr>
          <w:color w:val="auto"/>
          <w:highlight w:val="none"/>
        </w:rPr>
        <w:tab/>
      </w:r>
      <w:r>
        <w:rPr>
          <w:color w:val="auto"/>
          <w:highlight w:val="none"/>
        </w:rPr>
        <w:fldChar w:fldCharType="begin"/>
      </w:r>
      <w:r>
        <w:rPr>
          <w:color w:val="auto"/>
          <w:highlight w:val="none"/>
        </w:rPr>
        <w:instrText xml:space="preserve"> PAGEREF _Toc14863 \h </w:instrText>
      </w:r>
      <w:r>
        <w:rPr>
          <w:color w:val="auto"/>
          <w:highlight w:val="none"/>
        </w:rPr>
        <w:fldChar w:fldCharType="separate"/>
      </w:r>
      <w:r>
        <w:rPr>
          <w:color w:val="auto"/>
          <w:highlight w:val="none"/>
        </w:rPr>
        <w:t>85</w:t>
      </w:r>
      <w:r>
        <w:rPr>
          <w:color w:val="auto"/>
          <w:highlight w:val="none"/>
        </w:rPr>
        <w:fldChar w:fldCharType="end"/>
      </w:r>
      <w:r>
        <w:rPr>
          <w:rFonts w:hint="eastAsia" w:ascii="宋体" w:hAnsi="宋体" w:eastAsia="宋体" w:cs="宋体"/>
          <w:color w:val="auto"/>
          <w:spacing w:val="0"/>
          <w:szCs w:val="24"/>
          <w:highlight w:val="none"/>
        </w:rPr>
        <w:fldChar w:fldCharType="end"/>
      </w:r>
    </w:p>
    <w:p w14:paraId="6F292CE4">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_Toc25570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w:t>
      </w:r>
      <w:r>
        <w:rPr>
          <w:rFonts w:hint="eastAsia" w:ascii="宋体" w:hAnsi="宋体" w:eastAsia="宋体" w:cs="宋体"/>
          <w:bCs/>
          <w:color w:val="auto"/>
          <w:spacing w:val="0"/>
          <w:szCs w:val="24"/>
          <w:highlight w:val="none"/>
          <w:lang w:val="en-US" w:eastAsia="zh-CN"/>
        </w:rPr>
        <w:t>四</w:t>
      </w:r>
      <w:r>
        <w:rPr>
          <w:rFonts w:hint="eastAsia" w:ascii="宋体" w:hAnsi="宋体" w:eastAsia="宋体" w:cs="宋体"/>
          <w:bCs/>
          <w:color w:val="auto"/>
          <w:spacing w:val="0"/>
          <w:szCs w:val="24"/>
          <w:highlight w:val="none"/>
        </w:rPr>
        <w:t xml:space="preserve">  原件一览表</w:t>
      </w:r>
      <w:r>
        <w:rPr>
          <w:color w:val="auto"/>
          <w:highlight w:val="none"/>
        </w:rPr>
        <w:tab/>
      </w:r>
      <w:r>
        <w:rPr>
          <w:color w:val="auto"/>
          <w:highlight w:val="none"/>
        </w:rPr>
        <w:fldChar w:fldCharType="begin"/>
      </w:r>
      <w:r>
        <w:rPr>
          <w:color w:val="auto"/>
          <w:highlight w:val="none"/>
        </w:rPr>
        <w:instrText xml:space="preserve"> PAGEREF _Toc25570 \h </w:instrText>
      </w:r>
      <w:r>
        <w:rPr>
          <w:color w:val="auto"/>
          <w:highlight w:val="none"/>
        </w:rPr>
        <w:fldChar w:fldCharType="separate"/>
      </w:r>
      <w:r>
        <w:rPr>
          <w:color w:val="auto"/>
          <w:highlight w:val="none"/>
        </w:rPr>
        <w:t>90</w:t>
      </w:r>
      <w:r>
        <w:rPr>
          <w:color w:val="auto"/>
          <w:highlight w:val="none"/>
        </w:rPr>
        <w:fldChar w:fldCharType="end"/>
      </w:r>
      <w:r>
        <w:rPr>
          <w:rFonts w:hint="eastAsia" w:ascii="宋体" w:hAnsi="宋体" w:eastAsia="宋体" w:cs="宋体"/>
          <w:color w:val="auto"/>
          <w:spacing w:val="0"/>
          <w:szCs w:val="24"/>
          <w:highlight w:val="none"/>
        </w:rPr>
        <w:fldChar w:fldCharType="end"/>
      </w:r>
    </w:p>
    <w:p w14:paraId="2DE5B9DE">
      <w:pPr>
        <w:pStyle w:val="6"/>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_Toc19235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snapToGrid w:val="0"/>
          <w:color w:val="auto"/>
          <w:kern w:val="2"/>
          <w:szCs w:val="21"/>
          <w:highlight w:val="none"/>
          <w:lang w:eastAsia="en-US"/>
        </w:rPr>
        <w:t>格式十</w:t>
      </w:r>
      <w:r>
        <w:rPr>
          <w:rFonts w:hint="eastAsia" w:ascii="宋体" w:hAnsi="宋体" w:eastAsia="宋体" w:cs="宋体"/>
          <w:bCs/>
          <w:snapToGrid w:val="0"/>
          <w:color w:val="auto"/>
          <w:kern w:val="2"/>
          <w:szCs w:val="21"/>
          <w:highlight w:val="none"/>
          <w:lang w:val="en-US" w:eastAsia="zh-CN"/>
        </w:rPr>
        <w:t>五</w:t>
      </w:r>
      <w:r>
        <w:rPr>
          <w:rFonts w:hint="eastAsia" w:ascii="宋体" w:hAnsi="宋体" w:eastAsia="宋体" w:cs="宋体"/>
          <w:bCs/>
          <w:snapToGrid w:val="0"/>
          <w:color w:val="auto"/>
          <w:kern w:val="2"/>
          <w:szCs w:val="21"/>
          <w:highlight w:val="none"/>
          <w:lang w:eastAsia="en-US"/>
        </w:rPr>
        <w:t xml:space="preserve"> 定标因素评审资料</w:t>
      </w:r>
      <w:r>
        <w:rPr>
          <w:color w:val="auto"/>
          <w:highlight w:val="none"/>
        </w:rPr>
        <w:tab/>
      </w:r>
      <w:r>
        <w:rPr>
          <w:color w:val="auto"/>
          <w:highlight w:val="none"/>
        </w:rPr>
        <w:fldChar w:fldCharType="begin"/>
      </w:r>
      <w:r>
        <w:rPr>
          <w:color w:val="auto"/>
          <w:highlight w:val="none"/>
        </w:rPr>
        <w:instrText xml:space="preserve"> PAGEREF _Toc19235 \h </w:instrText>
      </w:r>
      <w:r>
        <w:rPr>
          <w:color w:val="auto"/>
          <w:highlight w:val="none"/>
        </w:rPr>
        <w:fldChar w:fldCharType="separate"/>
      </w:r>
      <w:r>
        <w:rPr>
          <w:color w:val="auto"/>
          <w:highlight w:val="none"/>
        </w:rPr>
        <w:t>91</w:t>
      </w:r>
      <w:r>
        <w:rPr>
          <w:color w:val="auto"/>
          <w:highlight w:val="none"/>
        </w:rPr>
        <w:fldChar w:fldCharType="end"/>
      </w:r>
      <w:r>
        <w:rPr>
          <w:rFonts w:hint="eastAsia" w:ascii="宋体" w:hAnsi="宋体" w:eastAsia="宋体" w:cs="宋体"/>
          <w:color w:val="auto"/>
          <w:spacing w:val="0"/>
          <w:szCs w:val="24"/>
          <w:highlight w:val="none"/>
        </w:rPr>
        <w:fldChar w:fldCharType="end"/>
      </w:r>
    </w:p>
    <w:p w14:paraId="7B603B7F">
      <w:pPr>
        <w:pStyle w:val="10"/>
        <w:tabs>
          <w:tab w:val="right" w:leader="dot" w:pos="9746"/>
        </w:tabs>
        <w:ind w:right="84" w:rightChars="40"/>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_Toc22945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第七章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建设工程施工合同</w:t>
      </w:r>
      <w:r>
        <w:rPr>
          <w:color w:val="auto"/>
          <w:highlight w:val="none"/>
        </w:rPr>
        <w:tab/>
      </w:r>
      <w:r>
        <w:rPr>
          <w:color w:val="auto"/>
          <w:highlight w:val="none"/>
        </w:rPr>
        <w:fldChar w:fldCharType="begin"/>
      </w:r>
      <w:r>
        <w:rPr>
          <w:color w:val="auto"/>
          <w:highlight w:val="none"/>
        </w:rPr>
        <w:instrText xml:space="preserve"> PAGEREF _Toc22945 \h </w:instrText>
      </w:r>
      <w:r>
        <w:rPr>
          <w:color w:val="auto"/>
          <w:highlight w:val="none"/>
        </w:rPr>
        <w:fldChar w:fldCharType="separate"/>
      </w:r>
      <w:r>
        <w:rPr>
          <w:color w:val="auto"/>
          <w:highlight w:val="none"/>
        </w:rPr>
        <w:t>92</w:t>
      </w:r>
      <w:r>
        <w:rPr>
          <w:color w:val="auto"/>
          <w:highlight w:val="none"/>
        </w:rPr>
        <w:fldChar w:fldCharType="end"/>
      </w:r>
      <w:r>
        <w:rPr>
          <w:rFonts w:hint="eastAsia" w:ascii="宋体" w:hAnsi="宋体" w:eastAsia="宋体" w:cs="宋体"/>
          <w:color w:val="auto"/>
          <w:spacing w:val="0"/>
          <w:szCs w:val="24"/>
          <w:highlight w:val="none"/>
        </w:rPr>
        <w:fldChar w:fldCharType="end"/>
      </w:r>
    </w:p>
    <w:p w14:paraId="7CE8F2FC">
      <w:pPr>
        <w:keepNext w:val="0"/>
        <w:keepLines w:val="0"/>
        <w:pageBreakBefore w:val="0"/>
        <w:kinsoku/>
        <w:wordWrap w:val="0"/>
        <w:overflowPunct/>
        <w:topLinePunct w:val="0"/>
        <w:bidi w:val="0"/>
        <w:spacing w:line="220" w:lineRule="auto"/>
        <w:ind w:right="84" w:rightChars="40"/>
        <w:jc w:val="center"/>
        <w:rPr>
          <w:rFonts w:hint="eastAsia" w:ascii="宋体" w:hAnsi="宋体" w:eastAsia="宋体" w:cs="宋体"/>
          <w:color w:val="auto"/>
          <w:spacing w:val="0"/>
          <w:sz w:val="24"/>
          <w:szCs w:val="24"/>
          <w:highlight w:val="none"/>
        </w:rPr>
        <w:sectPr>
          <w:footerReference r:id="rId5" w:type="default"/>
          <w:pgSz w:w="11906" w:h="16839"/>
          <w:pgMar w:top="1440" w:right="1080" w:bottom="1440" w:left="1080" w:header="1200" w:footer="1134" w:gutter="0"/>
          <w:pgBorders>
            <w:top w:val="none" w:sz="0" w:space="0"/>
            <w:left w:val="none" w:sz="0" w:space="0"/>
            <w:bottom w:val="none" w:sz="0" w:space="0"/>
            <w:right w:val="none" w:sz="0" w:space="0"/>
          </w:pgBorders>
          <w:pgNumType w:fmt="decimal" w:start="1"/>
          <w:cols w:space="720" w:num="1"/>
        </w:sectPr>
      </w:pPr>
      <w:r>
        <w:rPr>
          <w:rFonts w:hint="eastAsia" w:ascii="宋体" w:hAnsi="宋体" w:eastAsia="宋体" w:cs="宋体"/>
          <w:color w:val="auto"/>
          <w:spacing w:val="0"/>
          <w:szCs w:val="24"/>
          <w:highlight w:val="none"/>
        </w:rPr>
        <w:fldChar w:fldCharType="end"/>
      </w:r>
    </w:p>
    <w:p w14:paraId="73063668">
      <w:pPr>
        <w:pStyle w:val="5"/>
        <w:keepNext w:val="0"/>
        <w:keepLines w:val="0"/>
        <w:pageBreakBefore w:val="0"/>
        <w:kinsoku/>
        <w:wordWrap w:val="0"/>
        <w:overflowPunct/>
        <w:topLinePunct w:val="0"/>
        <w:bidi w:val="0"/>
        <w:spacing w:line="272" w:lineRule="auto"/>
        <w:ind w:right="84" w:rightChars="40"/>
        <w:rPr>
          <w:rFonts w:hint="eastAsia" w:ascii="宋体" w:hAnsi="宋体" w:eastAsia="宋体" w:cs="宋体"/>
          <w:color w:val="auto"/>
          <w:spacing w:val="0"/>
          <w:highlight w:val="none"/>
        </w:rPr>
      </w:pPr>
    </w:p>
    <w:p w14:paraId="49639CDB">
      <w:pPr>
        <w:keepNext w:val="0"/>
        <w:keepLines w:val="0"/>
        <w:pageBreakBefore w:val="0"/>
        <w:kinsoku/>
        <w:wordWrap w:val="0"/>
        <w:overflowPunct/>
        <w:topLinePunct w:val="0"/>
        <w:bidi w:val="0"/>
        <w:spacing w:before="78" w:line="219" w:lineRule="auto"/>
        <w:ind w:left="3416" w:right="84" w:rightChars="40"/>
        <w:outlineLvl w:val="0"/>
        <w:rPr>
          <w:rFonts w:hint="eastAsia" w:ascii="宋体" w:hAnsi="宋体" w:eastAsia="宋体" w:cs="宋体"/>
          <w:color w:val="auto"/>
          <w:spacing w:val="0"/>
          <w:sz w:val="24"/>
          <w:szCs w:val="24"/>
          <w:highlight w:val="none"/>
        </w:rPr>
      </w:pPr>
      <w:bookmarkStart w:id="0" w:name="bookmark1"/>
      <w:bookmarkEnd w:id="0"/>
      <w:bookmarkStart w:id="1" w:name="_Toc30582"/>
      <w:r>
        <w:rPr>
          <w:rFonts w:hint="eastAsia" w:ascii="宋体" w:hAnsi="宋体" w:eastAsia="宋体" w:cs="宋体"/>
          <w:b/>
          <w:bCs/>
          <w:color w:val="auto"/>
          <w:spacing w:val="0"/>
          <w:sz w:val="24"/>
          <w:szCs w:val="24"/>
          <w:highlight w:val="none"/>
        </w:rPr>
        <w:t>第一章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w:t>
      </w:r>
      <w:bookmarkEnd w:id="1"/>
    </w:p>
    <w:p w14:paraId="0C219C57">
      <w:pPr>
        <w:keepNext w:val="0"/>
        <w:keepLines w:val="0"/>
        <w:pageBreakBefore w:val="0"/>
        <w:kinsoku/>
        <w:wordWrap w:val="0"/>
        <w:overflowPunct/>
        <w:topLinePunct w:val="0"/>
        <w:bidi w:val="0"/>
        <w:spacing w:before="156" w:line="219" w:lineRule="auto"/>
        <w:ind w:left="17" w:right="84" w:rightChars="40"/>
        <w:outlineLvl w:val="1"/>
        <w:rPr>
          <w:rFonts w:hint="eastAsia" w:ascii="宋体" w:hAnsi="宋体" w:eastAsia="宋体" w:cs="宋体"/>
          <w:color w:val="auto"/>
          <w:spacing w:val="0"/>
          <w:sz w:val="24"/>
          <w:szCs w:val="24"/>
          <w:highlight w:val="none"/>
        </w:rPr>
      </w:pPr>
      <w:bookmarkStart w:id="2" w:name="bookmark3"/>
      <w:bookmarkEnd w:id="2"/>
      <w:bookmarkStart w:id="3" w:name="_Toc7286"/>
      <w:r>
        <w:rPr>
          <w:rFonts w:hint="eastAsia" w:ascii="宋体" w:hAnsi="宋体" w:eastAsia="宋体" w:cs="宋体"/>
          <w:b/>
          <w:bCs/>
          <w:color w:val="auto"/>
          <w:spacing w:val="0"/>
          <w:sz w:val="24"/>
          <w:szCs w:val="24"/>
          <w:highlight w:val="none"/>
        </w:rPr>
        <w:t>第一节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投标人须知前附表</w:t>
      </w:r>
      <w:bookmarkEnd w:id="3"/>
    </w:p>
    <w:p w14:paraId="451443B4">
      <w:pPr>
        <w:keepNext w:val="0"/>
        <w:keepLines w:val="0"/>
        <w:pageBreakBefore w:val="0"/>
        <w:kinsoku/>
        <w:wordWrap w:val="0"/>
        <w:overflowPunct/>
        <w:topLinePunct w:val="0"/>
        <w:bidi w:val="0"/>
        <w:spacing w:before="25"/>
        <w:ind w:right="84" w:rightChars="40"/>
        <w:rPr>
          <w:rFonts w:hint="eastAsia" w:ascii="宋体" w:hAnsi="宋体" w:eastAsia="宋体" w:cs="宋体"/>
          <w:color w:val="auto"/>
          <w:spacing w:val="0"/>
          <w:highlight w:val="none"/>
        </w:rPr>
      </w:pPr>
    </w:p>
    <w:tbl>
      <w:tblPr>
        <w:tblStyle w:val="14"/>
        <w:tblW w:w="1010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2376"/>
        <w:gridCol w:w="7146"/>
      </w:tblGrid>
      <w:tr w14:paraId="7ACC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center"/>
          </w:tcPr>
          <w:p w14:paraId="4758577E">
            <w:pPr>
              <w:keepNext w:val="0"/>
              <w:keepLines w:val="0"/>
              <w:pageBreakBefore w:val="0"/>
              <w:kinsoku/>
              <w:wordWrap w:val="0"/>
              <w:overflowPunct/>
              <w:topLinePunct w:val="0"/>
              <w:bidi w:val="0"/>
              <w:spacing w:before="203" w:line="209" w:lineRule="auto"/>
              <w:ind w:left="0" w:leftChars="0" w:right="84" w:rightChars="40" w:firstLine="0" w:firstLineChars="0"/>
              <w:jc w:val="center"/>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序号</w:t>
            </w:r>
          </w:p>
        </w:tc>
        <w:tc>
          <w:tcPr>
            <w:tcW w:w="2376" w:type="dxa"/>
            <w:vAlign w:val="center"/>
          </w:tcPr>
          <w:p w14:paraId="7B8ED52C">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内容</w:t>
            </w:r>
          </w:p>
        </w:tc>
        <w:tc>
          <w:tcPr>
            <w:tcW w:w="7146" w:type="dxa"/>
            <w:vAlign w:val="center"/>
          </w:tcPr>
          <w:p w14:paraId="0575BAF1">
            <w:pPr>
              <w:keepNext w:val="0"/>
              <w:keepLines w:val="0"/>
              <w:pageBreakBefore w:val="0"/>
              <w:widowControl w:val="0"/>
              <w:tabs>
                <w:tab w:val="left" w:pos="7140"/>
              </w:tabs>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说明与要求</w:t>
            </w:r>
          </w:p>
        </w:tc>
      </w:tr>
      <w:tr w14:paraId="53CA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34D199C6">
            <w:pPr>
              <w:keepNext w:val="0"/>
              <w:keepLines w:val="0"/>
              <w:pageBreakBefore w:val="0"/>
              <w:kinsoku/>
              <w:wordWrap w:val="0"/>
              <w:overflowPunct/>
              <w:topLinePunct w:val="0"/>
              <w:bidi w:val="0"/>
              <w:spacing w:before="223" w:line="195" w:lineRule="auto"/>
              <w:ind w:right="84" w:rightChars="40"/>
              <w:jc w:val="center"/>
              <w:rPr>
                <w:rFonts w:hint="eastAsia" w:ascii="宋体" w:hAnsi="宋体" w:eastAsia="宋体" w:cs="宋体"/>
                <w:color w:val="auto"/>
                <w:spacing w:val="0"/>
                <w:sz w:val="24"/>
                <w:szCs w:val="24"/>
                <w:highlight w:val="none"/>
              </w:rPr>
            </w:pPr>
            <w:bookmarkStart w:id="4" w:name="OLE_LINK2" w:colFirst="2" w:colLast="2"/>
            <w:r>
              <w:rPr>
                <w:rFonts w:hint="eastAsia" w:ascii="宋体" w:hAnsi="宋体" w:eastAsia="宋体" w:cs="宋体"/>
                <w:color w:val="auto"/>
                <w:spacing w:val="0"/>
                <w:sz w:val="24"/>
                <w:szCs w:val="24"/>
                <w:highlight w:val="none"/>
              </w:rPr>
              <w:t>1</w:t>
            </w:r>
          </w:p>
        </w:tc>
        <w:tc>
          <w:tcPr>
            <w:tcW w:w="2376" w:type="dxa"/>
            <w:vAlign w:val="center"/>
          </w:tcPr>
          <w:p w14:paraId="6E81DB5F">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项目名称</w:t>
            </w:r>
          </w:p>
        </w:tc>
        <w:tc>
          <w:tcPr>
            <w:tcW w:w="7146" w:type="dxa"/>
            <w:vAlign w:val="center"/>
          </w:tcPr>
          <w:p w14:paraId="62C2E402">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仁化县全域人居环境整治建设项目(一期)-大桥镇一标段施工</w:t>
            </w:r>
          </w:p>
        </w:tc>
      </w:tr>
      <w:tr w14:paraId="1C49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582" w:type="dxa"/>
            <w:vAlign w:val="center"/>
          </w:tcPr>
          <w:p w14:paraId="5546609D">
            <w:pPr>
              <w:keepNext w:val="0"/>
              <w:keepLines w:val="0"/>
              <w:pageBreakBefore w:val="0"/>
              <w:kinsoku/>
              <w:wordWrap w:val="0"/>
              <w:overflowPunct/>
              <w:topLinePunct w:val="0"/>
              <w:bidi w:val="0"/>
              <w:spacing w:before="222"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2376" w:type="dxa"/>
            <w:vAlign w:val="center"/>
          </w:tcPr>
          <w:p w14:paraId="28FBECFC">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项目业主</w:t>
            </w:r>
          </w:p>
        </w:tc>
        <w:tc>
          <w:tcPr>
            <w:tcW w:w="7146" w:type="dxa"/>
            <w:vAlign w:val="center"/>
          </w:tcPr>
          <w:p w14:paraId="6B4C0B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仁化县大桥镇人民政府</w:t>
            </w:r>
          </w:p>
        </w:tc>
      </w:tr>
      <w:tr w14:paraId="42F2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6" w:hRule="atLeast"/>
        </w:trPr>
        <w:tc>
          <w:tcPr>
            <w:tcW w:w="582" w:type="dxa"/>
            <w:vAlign w:val="center"/>
          </w:tcPr>
          <w:p w14:paraId="2FE483DA">
            <w:pPr>
              <w:keepNext w:val="0"/>
              <w:keepLines w:val="0"/>
              <w:pageBreakBefore w:val="0"/>
              <w:kinsoku/>
              <w:wordWrap w:val="0"/>
              <w:overflowPunct/>
              <w:topLinePunct w:val="0"/>
              <w:bidi w:val="0"/>
              <w:spacing w:before="58"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w:t>
            </w:r>
          </w:p>
        </w:tc>
        <w:tc>
          <w:tcPr>
            <w:tcW w:w="2376" w:type="dxa"/>
            <w:vAlign w:val="center"/>
          </w:tcPr>
          <w:p w14:paraId="31041B20">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项目批准部门及项目批准文号</w:t>
            </w:r>
          </w:p>
        </w:tc>
        <w:tc>
          <w:tcPr>
            <w:tcW w:w="7146" w:type="dxa"/>
            <w:vAlign w:val="center"/>
          </w:tcPr>
          <w:p w14:paraId="53C94042">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仁化县发展改革和政务数据局</w:t>
            </w:r>
          </w:p>
          <w:p w14:paraId="141A5A40">
            <w:pPr>
              <w:keepNext w:val="0"/>
              <w:keepLines w:val="0"/>
              <w:pageBreakBefore w:val="0"/>
              <w:widowControl w:val="0"/>
              <w:tabs>
                <w:tab w:val="left" w:pos="6930"/>
              </w:tabs>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仁发改和政数投审〔2025〕100号、仁发改和政数投审[2026]83号</w:t>
            </w:r>
          </w:p>
        </w:tc>
      </w:tr>
      <w:tr w14:paraId="58FC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6065D891">
            <w:pPr>
              <w:keepNext w:val="0"/>
              <w:keepLines w:val="0"/>
              <w:pageBreakBefore w:val="0"/>
              <w:kinsoku/>
              <w:wordWrap w:val="0"/>
              <w:overflowPunct/>
              <w:topLinePunct w:val="0"/>
              <w:bidi w:val="0"/>
              <w:spacing w:before="225"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w:t>
            </w:r>
          </w:p>
        </w:tc>
        <w:tc>
          <w:tcPr>
            <w:tcW w:w="2376" w:type="dxa"/>
            <w:vAlign w:val="center"/>
          </w:tcPr>
          <w:p w14:paraId="2161DF48">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建设地点</w:t>
            </w:r>
          </w:p>
        </w:tc>
        <w:tc>
          <w:tcPr>
            <w:tcW w:w="7146" w:type="dxa"/>
            <w:tcMar>
              <w:top w:w="0" w:type="dxa"/>
              <w:left w:w="0" w:type="dxa"/>
              <w:bottom w:w="0" w:type="dxa"/>
              <w:right w:w="0" w:type="dxa"/>
            </w:tcMar>
            <w:vAlign w:val="center"/>
          </w:tcPr>
          <w:p w14:paraId="17B62E48">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仁化县大桥镇</w:t>
            </w:r>
          </w:p>
        </w:tc>
      </w:tr>
      <w:tr w14:paraId="767A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582" w:type="dxa"/>
            <w:vAlign w:val="center"/>
          </w:tcPr>
          <w:p w14:paraId="62C389A3">
            <w:pPr>
              <w:keepNext w:val="0"/>
              <w:keepLines w:val="0"/>
              <w:pageBreakBefore w:val="0"/>
              <w:kinsoku/>
              <w:wordWrap w:val="0"/>
              <w:overflowPunct/>
              <w:topLinePunct w:val="0"/>
              <w:bidi w:val="0"/>
              <w:spacing w:before="226" w:line="192"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w:t>
            </w:r>
          </w:p>
        </w:tc>
        <w:tc>
          <w:tcPr>
            <w:tcW w:w="2376" w:type="dxa"/>
            <w:vAlign w:val="center"/>
          </w:tcPr>
          <w:p w14:paraId="4E0519E0">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项目代码</w:t>
            </w:r>
          </w:p>
        </w:tc>
        <w:tc>
          <w:tcPr>
            <w:tcW w:w="7146" w:type="dxa"/>
            <w:vAlign w:val="center"/>
          </w:tcPr>
          <w:p w14:paraId="168A8C90">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2502-440224-04-01-128561、2605-440224-04-01-749568</w:t>
            </w:r>
          </w:p>
        </w:tc>
      </w:tr>
      <w:tr w14:paraId="4134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27F55D58">
            <w:pPr>
              <w:keepNext w:val="0"/>
              <w:keepLines w:val="0"/>
              <w:pageBreakBefore w:val="0"/>
              <w:kinsoku/>
              <w:wordWrap w:val="0"/>
              <w:overflowPunct/>
              <w:topLinePunct w:val="0"/>
              <w:bidi w:val="0"/>
              <w:spacing w:before="58"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w:t>
            </w:r>
          </w:p>
        </w:tc>
        <w:tc>
          <w:tcPr>
            <w:tcW w:w="2376" w:type="dxa"/>
            <w:vAlign w:val="center"/>
          </w:tcPr>
          <w:p w14:paraId="54684E34">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资金来源及落实情况</w:t>
            </w:r>
          </w:p>
        </w:tc>
        <w:tc>
          <w:tcPr>
            <w:tcW w:w="7146" w:type="dxa"/>
            <w:vAlign w:val="center"/>
          </w:tcPr>
          <w:p w14:paraId="01683227">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上级资金和县级财政资金安排解决，100%</w:t>
            </w:r>
          </w:p>
        </w:tc>
      </w:tr>
      <w:tr w14:paraId="55E0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582" w:type="dxa"/>
            <w:vAlign w:val="center"/>
          </w:tcPr>
          <w:p w14:paraId="13A867CC">
            <w:pPr>
              <w:keepNext w:val="0"/>
              <w:keepLines w:val="0"/>
              <w:pageBreakBefore w:val="0"/>
              <w:kinsoku/>
              <w:wordWrap w:val="0"/>
              <w:overflowPunct/>
              <w:topLinePunct w:val="0"/>
              <w:bidi w:val="0"/>
              <w:spacing w:before="228" w:line="192"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w:t>
            </w:r>
          </w:p>
        </w:tc>
        <w:tc>
          <w:tcPr>
            <w:tcW w:w="2376" w:type="dxa"/>
            <w:vAlign w:val="center"/>
          </w:tcPr>
          <w:p w14:paraId="1395956E">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招标人</w:t>
            </w:r>
          </w:p>
        </w:tc>
        <w:tc>
          <w:tcPr>
            <w:tcW w:w="7146" w:type="dxa"/>
            <w:vAlign w:val="center"/>
          </w:tcPr>
          <w:p w14:paraId="2D9D5955">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仁化县大桥镇人民政府</w:t>
            </w:r>
          </w:p>
        </w:tc>
      </w:tr>
      <w:tr w14:paraId="38A7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6A89B71E">
            <w:pPr>
              <w:keepNext w:val="0"/>
              <w:keepLines w:val="0"/>
              <w:pageBreakBefore w:val="0"/>
              <w:kinsoku/>
              <w:wordWrap w:val="0"/>
              <w:overflowPunct/>
              <w:topLinePunct w:val="0"/>
              <w:bidi w:val="0"/>
              <w:spacing w:before="224"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w:t>
            </w:r>
          </w:p>
        </w:tc>
        <w:tc>
          <w:tcPr>
            <w:tcW w:w="2376" w:type="dxa"/>
            <w:vAlign w:val="center"/>
          </w:tcPr>
          <w:p w14:paraId="35B8FC20">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招标代理机构</w:t>
            </w:r>
          </w:p>
        </w:tc>
        <w:tc>
          <w:tcPr>
            <w:tcW w:w="7146" w:type="dxa"/>
            <w:vAlign w:val="center"/>
          </w:tcPr>
          <w:p w14:paraId="7B44CAF9">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深圳群伦项目管理有限公司</w:t>
            </w:r>
          </w:p>
        </w:tc>
      </w:tr>
      <w:tr w14:paraId="45E3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EE48A18">
            <w:pPr>
              <w:keepNext w:val="0"/>
              <w:keepLines w:val="0"/>
              <w:pageBreakBefore w:val="0"/>
              <w:kinsoku/>
              <w:wordWrap w:val="0"/>
              <w:overflowPunct/>
              <w:topLinePunct w:val="0"/>
              <w:bidi w:val="0"/>
              <w:spacing w:before="225"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w:t>
            </w:r>
          </w:p>
        </w:tc>
        <w:tc>
          <w:tcPr>
            <w:tcW w:w="2376" w:type="dxa"/>
            <w:vAlign w:val="center"/>
          </w:tcPr>
          <w:p w14:paraId="2173F831">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设计单位</w:t>
            </w:r>
          </w:p>
        </w:tc>
        <w:tc>
          <w:tcPr>
            <w:tcW w:w="7146" w:type="dxa"/>
            <w:vAlign w:val="center"/>
          </w:tcPr>
          <w:p w14:paraId="363B6ACF">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中大设计集团有限公司</w:t>
            </w:r>
          </w:p>
        </w:tc>
      </w:tr>
      <w:bookmarkEnd w:id="4"/>
      <w:tr w14:paraId="3BFA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582" w:type="dxa"/>
            <w:vAlign w:val="center"/>
          </w:tcPr>
          <w:p w14:paraId="1635C0FD">
            <w:pPr>
              <w:keepNext w:val="0"/>
              <w:keepLines w:val="0"/>
              <w:pageBreakBefore w:val="0"/>
              <w:kinsoku/>
              <w:wordWrap w:val="0"/>
              <w:overflowPunct/>
              <w:topLinePunct w:val="0"/>
              <w:bidi w:val="0"/>
              <w:spacing w:before="245"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w:t>
            </w:r>
          </w:p>
        </w:tc>
        <w:tc>
          <w:tcPr>
            <w:tcW w:w="2376" w:type="dxa"/>
            <w:vAlign w:val="center"/>
          </w:tcPr>
          <w:p w14:paraId="2495ED48">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造价咨询单位</w:t>
            </w:r>
          </w:p>
        </w:tc>
        <w:tc>
          <w:tcPr>
            <w:tcW w:w="7146" w:type="dxa"/>
            <w:vAlign w:val="center"/>
          </w:tcPr>
          <w:p w14:paraId="6BD3EE2D">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eastAsia="zh-CN"/>
              </w:rPr>
              <w:t>☑非全过程造价咨询</w:t>
            </w:r>
            <w:r>
              <w:rPr>
                <w:rFonts w:hint="eastAsia" w:ascii="宋体" w:hAnsi="宋体" w:eastAsia="宋体" w:cs="宋体"/>
                <w:snapToGrid w:val="0"/>
                <w:color w:val="auto"/>
                <w:spacing w:val="0"/>
                <w:kern w:val="0"/>
                <w:sz w:val="24"/>
                <w:szCs w:val="24"/>
                <w:highlight w:val="none"/>
                <w:lang w:val="en-US" w:eastAsia="zh-CN"/>
              </w:rPr>
              <w:t xml:space="preserve">  </w:t>
            </w:r>
            <w:r>
              <w:rPr>
                <w:rFonts w:hint="eastAsia" w:ascii="宋体" w:hAnsi="宋体" w:eastAsia="宋体" w:cs="宋体"/>
                <w:snapToGrid w:val="0"/>
                <w:color w:val="auto"/>
                <w:spacing w:val="0"/>
                <w:kern w:val="0"/>
                <w:sz w:val="24"/>
                <w:szCs w:val="24"/>
                <w:highlight w:val="none"/>
                <w:lang w:eastAsia="zh-CN"/>
              </w:rPr>
              <w:t>□全过程造价咨询</w:t>
            </w:r>
            <w:r>
              <w:rPr>
                <w:rFonts w:hint="eastAsia" w:ascii="宋体" w:hAnsi="宋体" w:eastAsia="宋体" w:cs="宋体"/>
                <w:snapToGrid w:val="0"/>
                <w:color w:val="auto"/>
                <w:spacing w:val="0"/>
                <w:kern w:val="0"/>
                <w:sz w:val="24"/>
                <w:szCs w:val="24"/>
                <w:highlight w:val="none"/>
                <w:lang w:val="en-US" w:eastAsia="zh-CN"/>
              </w:rPr>
              <w:t xml:space="preserve">  </w:t>
            </w:r>
          </w:p>
        </w:tc>
      </w:tr>
      <w:tr w14:paraId="3692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09F5224E">
            <w:pPr>
              <w:keepNext w:val="0"/>
              <w:keepLines w:val="0"/>
              <w:pageBreakBefore w:val="0"/>
              <w:kinsoku/>
              <w:wordWrap w:val="0"/>
              <w:overflowPunct/>
              <w:topLinePunct w:val="0"/>
              <w:bidi w:val="0"/>
              <w:spacing w:before="242"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11</w:t>
            </w:r>
          </w:p>
        </w:tc>
        <w:tc>
          <w:tcPr>
            <w:tcW w:w="2376" w:type="dxa"/>
            <w:vAlign w:val="center"/>
          </w:tcPr>
          <w:p w14:paraId="10845560">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监理单位</w:t>
            </w:r>
          </w:p>
        </w:tc>
        <w:tc>
          <w:tcPr>
            <w:tcW w:w="7146" w:type="dxa"/>
            <w:vAlign w:val="center"/>
          </w:tcPr>
          <w:p w14:paraId="0067EC30">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☑已确定监理单位</w:t>
            </w:r>
            <w:r>
              <w:rPr>
                <w:rFonts w:hint="eastAsia" w:ascii="宋体" w:hAnsi="宋体" w:eastAsia="宋体" w:cs="宋体"/>
                <w:snapToGrid w:val="0"/>
                <w:color w:val="auto"/>
                <w:spacing w:val="0"/>
                <w:kern w:val="0"/>
                <w:sz w:val="24"/>
                <w:szCs w:val="24"/>
                <w:highlight w:val="none"/>
                <w:lang w:val="en-US" w:eastAsia="zh-CN"/>
              </w:rPr>
              <w:t xml:space="preserve">   </w:t>
            </w:r>
            <w:r>
              <w:rPr>
                <w:rFonts w:hint="eastAsia" w:ascii="宋体" w:hAnsi="宋体" w:eastAsia="宋体" w:cs="宋体"/>
                <w:snapToGrid w:val="0"/>
                <w:color w:val="auto"/>
                <w:spacing w:val="0"/>
                <w:kern w:val="0"/>
                <w:sz w:val="24"/>
                <w:szCs w:val="24"/>
                <w:highlight w:val="none"/>
                <w:lang w:eastAsia="zh-CN"/>
              </w:rPr>
              <w:t>□未确定监理单位</w:t>
            </w:r>
          </w:p>
        </w:tc>
      </w:tr>
      <w:tr w14:paraId="2E54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2" w:hRule="atLeast"/>
        </w:trPr>
        <w:tc>
          <w:tcPr>
            <w:tcW w:w="582" w:type="dxa"/>
            <w:vAlign w:val="center"/>
          </w:tcPr>
          <w:p w14:paraId="2D733243">
            <w:pPr>
              <w:keepNext w:val="0"/>
              <w:keepLines w:val="0"/>
              <w:pageBreakBefore w:val="0"/>
              <w:kinsoku/>
              <w:wordWrap w:val="0"/>
              <w:overflowPunct/>
              <w:topLinePunct w:val="0"/>
              <w:bidi w:val="0"/>
              <w:spacing w:before="58"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1</w:t>
            </w:r>
            <w:r>
              <w:rPr>
                <w:rFonts w:hint="eastAsia" w:ascii="宋体" w:hAnsi="宋体" w:eastAsia="宋体" w:cs="宋体"/>
                <w:color w:val="auto"/>
                <w:spacing w:val="0"/>
                <w:sz w:val="24"/>
                <w:szCs w:val="24"/>
                <w:highlight w:val="none"/>
              </w:rPr>
              <w:t>2</w:t>
            </w:r>
          </w:p>
        </w:tc>
        <w:tc>
          <w:tcPr>
            <w:tcW w:w="2376" w:type="dxa"/>
            <w:vAlign w:val="center"/>
          </w:tcPr>
          <w:p w14:paraId="526340D1">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建设内容和规模</w:t>
            </w:r>
          </w:p>
        </w:tc>
        <w:tc>
          <w:tcPr>
            <w:tcW w:w="7146" w:type="dxa"/>
            <w:vAlign w:val="center"/>
          </w:tcPr>
          <w:p w14:paraId="7E68E26D">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left="10" w:leftChars="5" w:right="84" w:rightChars="40" w:firstLine="180" w:firstLineChars="75"/>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bCs/>
                <w:snapToGrid w:val="0"/>
                <w:color w:val="auto"/>
                <w:kern w:val="0"/>
                <w:sz w:val="24"/>
                <w:szCs w:val="24"/>
                <w:highlight w:val="none"/>
                <w:lang w:val="en-US" w:eastAsia="zh-CN"/>
              </w:rPr>
              <w:t>完善雨污排水系统1007m，农村垃圾收集及分类运转站约1个，三线整治约13157m，照明工程约79盏，农村道路工程4528平方及其他人居环境整治6916平方米等。</w:t>
            </w:r>
          </w:p>
        </w:tc>
      </w:tr>
      <w:tr w14:paraId="6450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5" w:hRule="atLeast"/>
        </w:trPr>
        <w:tc>
          <w:tcPr>
            <w:tcW w:w="582" w:type="dxa"/>
            <w:vAlign w:val="center"/>
          </w:tcPr>
          <w:p w14:paraId="4519A5EB">
            <w:pPr>
              <w:keepNext w:val="0"/>
              <w:keepLines w:val="0"/>
              <w:pageBreakBefore w:val="0"/>
              <w:kinsoku/>
              <w:wordWrap w:val="0"/>
              <w:overflowPunct/>
              <w:topLinePunct w:val="0"/>
              <w:bidi w:val="0"/>
              <w:spacing w:before="57"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13</w:t>
            </w:r>
          </w:p>
        </w:tc>
        <w:tc>
          <w:tcPr>
            <w:tcW w:w="2376" w:type="dxa"/>
            <w:vAlign w:val="center"/>
          </w:tcPr>
          <w:p w14:paraId="15BC8529">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项目总投资</w:t>
            </w:r>
          </w:p>
        </w:tc>
        <w:tc>
          <w:tcPr>
            <w:tcW w:w="7146" w:type="dxa"/>
            <w:vAlign w:val="center"/>
          </w:tcPr>
          <w:p w14:paraId="051183DF">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项目概算总投资459.97万元，其中工程费用405.78万元、工程建设其他费用49.64万元、预备费用4.55万元。</w:t>
            </w:r>
          </w:p>
        </w:tc>
      </w:tr>
      <w:tr w14:paraId="09BB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2280C6D3">
            <w:pPr>
              <w:keepNext w:val="0"/>
              <w:keepLines w:val="0"/>
              <w:pageBreakBefore w:val="0"/>
              <w:kinsoku/>
              <w:wordWrap w:val="0"/>
              <w:overflowPunct/>
              <w:topLinePunct w:val="0"/>
              <w:bidi w:val="0"/>
              <w:spacing w:before="58"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14</w:t>
            </w:r>
          </w:p>
        </w:tc>
        <w:tc>
          <w:tcPr>
            <w:tcW w:w="2376" w:type="dxa"/>
            <w:vAlign w:val="center"/>
          </w:tcPr>
          <w:p w14:paraId="58FC5131">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招标范围</w:t>
            </w:r>
          </w:p>
        </w:tc>
        <w:tc>
          <w:tcPr>
            <w:tcW w:w="7146" w:type="dxa"/>
            <w:vAlign w:val="center"/>
          </w:tcPr>
          <w:p w14:paraId="2CC19A71">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按审查合格的施工图纸及工程量清单内容施工。</w:t>
            </w:r>
          </w:p>
        </w:tc>
      </w:tr>
      <w:tr w14:paraId="3290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334CDB2D">
            <w:pPr>
              <w:keepNext w:val="0"/>
              <w:keepLines w:val="0"/>
              <w:pageBreakBefore w:val="0"/>
              <w:kinsoku/>
              <w:wordWrap w:val="0"/>
              <w:overflowPunct/>
              <w:topLinePunct w:val="0"/>
              <w:bidi w:val="0"/>
              <w:spacing w:before="58"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15</w:t>
            </w:r>
          </w:p>
        </w:tc>
        <w:tc>
          <w:tcPr>
            <w:tcW w:w="2376" w:type="dxa"/>
            <w:vAlign w:val="center"/>
          </w:tcPr>
          <w:p w14:paraId="56FA5F4C">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标段划分</w:t>
            </w:r>
          </w:p>
        </w:tc>
        <w:tc>
          <w:tcPr>
            <w:tcW w:w="7146" w:type="dxa"/>
            <w:vAlign w:val="center"/>
          </w:tcPr>
          <w:p w14:paraId="5B21ACDA">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 xml:space="preserve">本招标项目不划分标段。 </w:t>
            </w:r>
          </w:p>
        </w:tc>
      </w:tr>
      <w:tr w14:paraId="5A1C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01C9B2F3">
            <w:pPr>
              <w:keepNext w:val="0"/>
              <w:keepLines w:val="0"/>
              <w:pageBreakBefore w:val="0"/>
              <w:kinsoku/>
              <w:wordWrap w:val="0"/>
              <w:overflowPunct/>
              <w:topLinePunct w:val="0"/>
              <w:bidi w:val="0"/>
              <w:spacing w:before="57" w:line="195" w:lineRule="auto"/>
              <w:ind w:right="84" w:rightChars="40"/>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16</w:t>
            </w:r>
          </w:p>
        </w:tc>
        <w:tc>
          <w:tcPr>
            <w:tcW w:w="2376" w:type="dxa"/>
            <w:vAlign w:val="center"/>
          </w:tcPr>
          <w:p w14:paraId="20F526C7">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工期</w:t>
            </w:r>
          </w:p>
        </w:tc>
        <w:tc>
          <w:tcPr>
            <w:tcW w:w="7146" w:type="dxa"/>
            <w:vAlign w:val="top"/>
          </w:tcPr>
          <w:p w14:paraId="2ACB4A19">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本招标项目招标工期为</w:t>
            </w:r>
            <w:r>
              <w:rPr>
                <w:rFonts w:hint="eastAsia" w:ascii="宋体" w:hAnsi="宋体" w:eastAsia="宋体" w:cs="宋体"/>
                <w:snapToGrid w:val="0"/>
                <w:color w:val="auto"/>
                <w:spacing w:val="0"/>
                <w:kern w:val="0"/>
                <w:sz w:val="24"/>
                <w:szCs w:val="24"/>
                <w:highlight w:val="none"/>
                <w:lang w:val="en-US" w:eastAsia="zh-CN"/>
              </w:rPr>
              <w:t>60个日历天</w:t>
            </w:r>
            <w:r>
              <w:rPr>
                <w:rFonts w:hint="eastAsia" w:ascii="宋体" w:hAnsi="宋体" w:eastAsia="宋体" w:cs="宋体"/>
                <w:snapToGrid w:val="0"/>
                <w:color w:val="auto"/>
                <w:spacing w:val="0"/>
                <w:kern w:val="0"/>
                <w:sz w:val="24"/>
                <w:szCs w:val="24"/>
                <w:highlight w:val="none"/>
                <w:lang w:eastAsia="zh-CN"/>
              </w:rPr>
              <w:t>。具体如下：</w:t>
            </w:r>
          </w:p>
          <w:p w14:paraId="320C3CB8">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☑总工期：</w:t>
            </w:r>
            <w:r>
              <w:rPr>
                <w:rFonts w:hint="eastAsia" w:ascii="宋体" w:hAnsi="宋体" w:eastAsia="宋体" w:cs="宋体"/>
                <w:snapToGrid w:val="0"/>
                <w:color w:val="auto"/>
                <w:spacing w:val="0"/>
                <w:kern w:val="0"/>
                <w:sz w:val="24"/>
                <w:szCs w:val="24"/>
                <w:highlight w:val="none"/>
                <w:u w:val="single"/>
                <w:lang w:eastAsia="zh-CN"/>
              </w:rPr>
              <w:t xml:space="preserve"> </w:t>
            </w:r>
            <w:r>
              <w:rPr>
                <w:rFonts w:hint="eastAsia" w:ascii="宋体" w:hAnsi="宋体" w:eastAsia="宋体" w:cs="宋体"/>
                <w:snapToGrid w:val="0"/>
                <w:color w:val="auto"/>
                <w:spacing w:val="0"/>
                <w:kern w:val="0"/>
                <w:sz w:val="24"/>
                <w:szCs w:val="24"/>
                <w:highlight w:val="none"/>
                <w:u w:val="single"/>
                <w:lang w:val="en-US" w:eastAsia="zh-CN"/>
              </w:rPr>
              <w:t xml:space="preserve">60 </w:t>
            </w:r>
            <w:r>
              <w:rPr>
                <w:rFonts w:hint="eastAsia" w:ascii="宋体" w:hAnsi="宋体" w:eastAsia="宋体" w:cs="宋体"/>
                <w:snapToGrid w:val="0"/>
                <w:color w:val="auto"/>
                <w:spacing w:val="0"/>
                <w:kern w:val="0"/>
                <w:sz w:val="24"/>
                <w:szCs w:val="24"/>
                <w:highlight w:val="none"/>
                <w:lang w:eastAsia="zh-CN"/>
              </w:rPr>
              <w:t>天 （日历天）。</w:t>
            </w:r>
          </w:p>
          <w:p w14:paraId="4BF2E447">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□计划开工日期：</w:t>
            </w:r>
            <w:r>
              <w:rPr>
                <w:rFonts w:hint="eastAsia" w:ascii="宋体" w:hAnsi="宋体" w:eastAsia="宋体" w:cs="宋体"/>
                <w:snapToGrid w:val="0"/>
                <w:color w:val="auto"/>
                <w:spacing w:val="0"/>
                <w:kern w:val="0"/>
                <w:sz w:val="24"/>
                <w:szCs w:val="24"/>
                <w:highlight w:val="none"/>
                <w:lang w:val="en-US" w:eastAsia="zh-CN"/>
              </w:rPr>
              <w:t xml:space="preserve">    </w:t>
            </w:r>
            <w:r>
              <w:rPr>
                <w:rFonts w:hint="eastAsia" w:ascii="宋体" w:hAnsi="宋体" w:eastAsia="宋体" w:cs="宋体"/>
                <w:snapToGrid w:val="0"/>
                <w:color w:val="auto"/>
                <w:spacing w:val="0"/>
                <w:kern w:val="0"/>
                <w:sz w:val="24"/>
                <w:szCs w:val="24"/>
                <w:highlight w:val="none"/>
                <w:lang w:eastAsia="zh-CN"/>
              </w:rPr>
              <w:t>年</w:t>
            </w:r>
            <w:r>
              <w:rPr>
                <w:rFonts w:hint="eastAsia" w:ascii="宋体" w:hAnsi="宋体" w:eastAsia="宋体" w:cs="宋体"/>
                <w:snapToGrid w:val="0"/>
                <w:color w:val="auto"/>
                <w:spacing w:val="0"/>
                <w:kern w:val="0"/>
                <w:sz w:val="24"/>
                <w:szCs w:val="24"/>
                <w:highlight w:val="none"/>
                <w:lang w:val="en-US" w:eastAsia="zh-CN"/>
              </w:rPr>
              <w:t xml:space="preserve">   </w:t>
            </w:r>
            <w:r>
              <w:rPr>
                <w:rFonts w:hint="eastAsia" w:ascii="宋体" w:hAnsi="宋体" w:eastAsia="宋体" w:cs="宋体"/>
                <w:snapToGrid w:val="0"/>
                <w:color w:val="auto"/>
                <w:spacing w:val="0"/>
                <w:kern w:val="0"/>
                <w:sz w:val="24"/>
                <w:szCs w:val="24"/>
                <w:highlight w:val="none"/>
                <w:lang w:eastAsia="zh-CN"/>
              </w:rPr>
              <w:t>月</w:t>
            </w:r>
            <w:r>
              <w:rPr>
                <w:rFonts w:hint="eastAsia" w:ascii="宋体" w:hAnsi="宋体" w:eastAsia="宋体" w:cs="宋体"/>
                <w:snapToGrid w:val="0"/>
                <w:color w:val="auto"/>
                <w:spacing w:val="0"/>
                <w:kern w:val="0"/>
                <w:sz w:val="24"/>
                <w:szCs w:val="24"/>
                <w:highlight w:val="none"/>
                <w:lang w:val="en-US" w:eastAsia="zh-CN"/>
              </w:rPr>
              <w:t xml:space="preserve">   </w:t>
            </w:r>
            <w:r>
              <w:rPr>
                <w:rFonts w:hint="eastAsia" w:ascii="宋体" w:hAnsi="宋体" w:eastAsia="宋体" w:cs="宋体"/>
                <w:snapToGrid w:val="0"/>
                <w:color w:val="auto"/>
                <w:spacing w:val="0"/>
                <w:kern w:val="0"/>
                <w:sz w:val="24"/>
                <w:szCs w:val="24"/>
                <w:highlight w:val="none"/>
                <w:lang w:eastAsia="zh-CN"/>
              </w:rPr>
              <w:t>日（具体开工日期以合同为准）</w:t>
            </w:r>
          </w:p>
          <w:p w14:paraId="35D8577F">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□计划竣工日期：</w:t>
            </w:r>
            <w:r>
              <w:rPr>
                <w:rFonts w:hint="eastAsia" w:ascii="宋体" w:hAnsi="宋体" w:eastAsia="宋体" w:cs="宋体"/>
                <w:snapToGrid w:val="0"/>
                <w:color w:val="auto"/>
                <w:spacing w:val="0"/>
                <w:kern w:val="0"/>
                <w:sz w:val="24"/>
                <w:szCs w:val="24"/>
                <w:highlight w:val="none"/>
                <w:lang w:val="en-US" w:eastAsia="zh-CN"/>
              </w:rPr>
              <w:t xml:space="preserve">    </w:t>
            </w:r>
            <w:r>
              <w:rPr>
                <w:rFonts w:hint="eastAsia" w:ascii="宋体" w:hAnsi="宋体" w:eastAsia="宋体" w:cs="宋体"/>
                <w:snapToGrid w:val="0"/>
                <w:color w:val="auto"/>
                <w:spacing w:val="0"/>
                <w:kern w:val="0"/>
                <w:sz w:val="24"/>
                <w:szCs w:val="24"/>
                <w:highlight w:val="none"/>
                <w:lang w:eastAsia="zh-CN"/>
              </w:rPr>
              <w:t>年</w:t>
            </w:r>
            <w:r>
              <w:rPr>
                <w:rFonts w:hint="eastAsia" w:ascii="宋体" w:hAnsi="宋体" w:eastAsia="宋体" w:cs="宋体"/>
                <w:snapToGrid w:val="0"/>
                <w:color w:val="auto"/>
                <w:spacing w:val="0"/>
                <w:kern w:val="0"/>
                <w:sz w:val="24"/>
                <w:szCs w:val="24"/>
                <w:highlight w:val="none"/>
                <w:lang w:val="en-US" w:eastAsia="zh-CN"/>
              </w:rPr>
              <w:t xml:space="preserve">   </w:t>
            </w:r>
            <w:r>
              <w:rPr>
                <w:rFonts w:hint="eastAsia" w:ascii="宋体" w:hAnsi="宋体" w:eastAsia="宋体" w:cs="宋体"/>
                <w:snapToGrid w:val="0"/>
                <w:color w:val="auto"/>
                <w:spacing w:val="0"/>
                <w:kern w:val="0"/>
                <w:sz w:val="24"/>
                <w:szCs w:val="24"/>
                <w:highlight w:val="none"/>
                <w:lang w:eastAsia="zh-CN"/>
              </w:rPr>
              <w:t>月</w:t>
            </w:r>
            <w:r>
              <w:rPr>
                <w:rFonts w:hint="eastAsia" w:ascii="宋体" w:hAnsi="宋体" w:eastAsia="宋体" w:cs="宋体"/>
                <w:snapToGrid w:val="0"/>
                <w:color w:val="auto"/>
                <w:spacing w:val="0"/>
                <w:kern w:val="0"/>
                <w:sz w:val="24"/>
                <w:szCs w:val="24"/>
                <w:highlight w:val="none"/>
                <w:lang w:val="en-US" w:eastAsia="zh-CN"/>
              </w:rPr>
              <w:t xml:space="preserve">   </w:t>
            </w:r>
            <w:r>
              <w:rPr>
                <w:rFonts w:hint="eastAsia" w:ascii="宋体" w:hAnsi="宋体" w:eastAsia="宋体" w:cs="宋体"/>
                <w:snapToGrid w:val="0"/>
                <w:color w:val="auto"/>
                <w:spacing w:val="0"/>
                <w:kern w:val="0"/>
                <w:sz w:val="24"/>
                <w:szCs w:val="24"/>
                <w:highlight w:val="none"/>
                <w:lang w:eastAsia="zh-CN"/>
              </w:rPr>
              <w:t>日</w:t>
            </w:r>
          </w:p>
          <w:p w14:paraId="3D4184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□除上述总工期外，发包人还要求以下阶段工期：</w:t>
            </w:r>
            <w:r>
              <w:rPr>
                <w:rFonts w:hint="eastAsia" w:ascii="宋体" w:hAnsi="宋体" w:eastAsia="宋体" w:cs="宋体"/>
                <w:snapToGrid w:val="0"/>
                <w:color w:val="auto"/>
                <w:spacing w:val="0"/>
                <w:kern w:val="0"/>
                <w:sz w:val="24"/>
                <w:szCs w:val="24"/>
                <w:highlight w:val="none"/>
                <w:u w:val="single"/>
                <w:lang w:eastAsia="zh-CN"/>
              </w:rPr>
              <w:t xml:space="preserve">        </w:t>
            </w:r>
          </w:p>
        </w:tc>
      </w:tr>
      <w:tr w14:paraId="59EF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582" w:type="dxa"/>
            <w:vAlign w:val="center"/>
          </w:tcPr>
          <w:p w14:paraId="416E216C">
            <w:pPr>
              <w:keepNext w:val="0"/>
              <w:keepLines w:val="0"/>
              <w:pageBreakBefore w:val="0"/>
              <w:kinsoku/>
              <w:wordWrap w:val="0"/>
              <w:overflowPunct/>
              <w:topLinePunct w:val="0"/>
              <w:bidi w:val="0"/>
              <w:spacing w:before="57"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17</w:t>
            </w:r>
          </w:p>
        </w:tc>
        <w:tc>
          <w:tcPr>
            <w:tcW w:w="2376" w:type="dxa"/>
            <w:vAlign w:val="center"/>
          </w:tcPr>
          <w:p w14:paraId="529D0EDA">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质量标准</w:t>
            </w:r>
          </w:p>
        </w:tc>
        <w:tc>
          <w:tcPr>
            <w:tcW w:w="7146" w:type="dxa"/>
            <w:vAlign w:val="top"/>
          </w:tcPr>
          <w:p w14:paraId="7B9EFA38">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符合现行国家有关工程施工质量验收规范和标准的要求，达到验收合格标准。</w:t>
            </w:r>
          </w:p>
        </w:tc>
      </w:tr>
      <w:tr w14:paraId="07BA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2FAF8482">
            <w:pPr>
              <w:keepNext w:val="0"/>
              <w:keepLines w:val="0"/>
              <w:pageBreakBefore w:val="0"/>
              <w:kinsoku/>
              <w:wordWrap w:val="0"/>
              <w:overflowPunct/>
              <w:topLinePunct w:val="0"/>
              <w:bidi w:val="0"/>
              <w:spacing w:before="57"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18</w:t>
            </w:r>
          </w:p>
        </w:tc>
        <w:tc>
          <w:tcPr>
            <w:tcW w:w="2376" w:type="dxa"/>
            <w:vMerge w:val="restart"/>
            <w:vAlign w:val="center"/>
          </w:tcPr>
          <w:p w14:paraId="684E171F">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合同类型</w:t>
            </w:r>
          </w:p>
        </w:tc>
        <w:tc>
          <w:tcPr>
            <w:tcW w:w="7146" w:type="dxa"/>
            <w:vAlign w:val="top"/>
          </w:tcPr>
          <w:p w14:paraId="5B0CC985">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☑单价合同：发承包双方约定以工程量清单及其综合单价进行合同价款计算、调整和确认的建设工程施工合同。</w:t>
            </w:r>
          </w:p>
          <w:p w14:paraId="37B161E1">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6B7E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001972E5">
            <w:pPr>
              <w:keepNext w:val="0"/>
              <w:keepLines w:val="0"/>
              <w:pageBreakBefore w:val="0"/>
              <w:kinsoku/>
              <w:wordWrap w:val="0"/>
              <w:overflowPunct/>
              <w:topLinePunct w:val="0"/>
              <w:bidi w:val="0"/>
              <w:spacing w:before="57" w:line="195" w:lineRule="auto"/>
              <w:ind w:right="84" w:rightChars="40"/>
              <w:jc w:val="center"/>
              <w:rPr>
                <w:rFonts w:hint="eastAsia" w:ascii="宋体" w:hAnsi="宋体" w:eastAsia="宋体" w:cs="宋体"/>
                <w:color w:val="auto"/>
                <w:spacing w:val="0"/>
                <w:sz w:val="24"/>
                <w:szCs w:val="24"/>
                <w:highlight w:val="none"/>
              </w:rPr>
            </w:pPr>
          </w:p>
        </w:tc>
        <w:tc>
          <w:tcPr>
            <w:tcW w:w="2376" w:type="dxa"/>
            <w:vMerge w:val="continue"/>
            <w:vAlign w:val="center"/>
          </w:tcPr>
          <w:p w14:paraId="114EAAC5">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p>
        </w:tc>
        <w:tc>
          <w:tcPr>
            <w:tcW w:w="7146" w:type="dxa"/>
            <w:vAlign w:val="top"/>
          </w:tcPr>
          <w:p w14:paraId="208620CD">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val="en-US" w:eastAsia="zh-CN"/>
              </w:rPr>
              <w:t xml:space="preserve">□总价合同：发承包双方约定以施工图及其预算和有关条件进行合同价款计算、调整和确认的建设工程施工合同。 </w:t>
            </w:r>
          </w:p>
          <w:p w14:paraId="0E5FC1B3">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val="en-US" w:eastAsia="zh-CN"/>
              </w:rPr>
              <w:t>注：总价合同是以施工图纸、规范为基础，在工程任务内容明确、发包人的要求条件清楚、计价标准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标准原则。</w:t>
            </w:r>
          </w:p>
        </w:tc>
      </w:tr>
      <w:tr w14:paraId="548B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4F5536D8">
            <w:pPr>
              <w:keepNext w:val="0"/>
              <w:keepLines w:val="0"/>
              <w:pageBreakBefore w:val="0"/>
              <w:kinsoku/>
              <w:wordWrap w:val="0"/>
              <w:overflowPunct/>
              <w:topLinePunct w:val="0"/>
              <w:bidi w:val="0"/>
              <w:spacing w:before="19"/>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19</w:t>
            </w:r>
          </w:p>
        </w:tc>
        <w:tc>
          <w:tcPr>
            <w:tcW w:w="2376" w:type="dxa"/>
            <w:vAlign w:val="center"/>
          </w:tcPr>
          <w:p w14:paraId="0F7CD5C0">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房屋建筑工程绿色建筑标准</w:t>
            </w:r>
          </w:p>
        </w:tc>
        <w:tc>
          <w:tcPr>
            <w:tcW w:w="7146" w:type="dxa"/>
            <w:vAlign w:val="center"/>
          </w:tcPr>
          <w:p w14:paraId="523371B7">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firstLine="240" w:firstLineChars="100"/>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本招标项目</w:t>
            </w:r>
            <w:r>
              <w:rPr>
                <w:rFonts w:hint="eastAsia" w:ascii="宋体" w:hAnsi="宋体" w:eastAsia="宋体" w:cs="宋体"/>
                <w:snapToGrid w:val="0"/>
                <w:color w:val="auto"/>
                <w:spacing w:val="0"/>
                <w:kern w:val="0"/>
                <w:sz w:val="24"/>
                <w:szCs w:val="24"/>
                <w:highlight w:val="none"/>
                <w:u w:val="single"/>
                <w:lang w:val="en-US" w:eastAsia="zh-CN"/>
              </w:rPr>
              <w:t>不</w:t>
            </w:r>
            <w:r>
              <w:rPr>
                <w:rFonts w:hint="eastAsia" w:ascii="宋体" w:hAnsi="宋体" w:eastAsia="宋体" w:cs="宋体"/>
                <w:snapToGrid w:val="0"/>
                <w:color w:val="auto"/>
                <w:spacing w:val="0"/>
                <w:kern w:val="0"/>
                <w:sz w:val="24"/>
                <w:szCs w:val="24"/>
                <w:highlight w:val="none"/>
                <w:lang w:eastAsia="zh-CN"/>
              </w:rPr>
              <w:t>纳入绿色建设实施范围。</w:t>
            </w:r>
          </w:p>
        </w:tc>
      </w:tr>
      <w:tr w14:paraId="44A5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CD2CF21">
            <w:pPr>
              <w:keepNext w:val="0"/>
              <w:keepLines w:val="0"/>
              <w:pageBreakBefore w:val="0"/>
              <w:kinsoku/>
              <w:wordWrap w:val="0"/>
              <w:overflowPunct/>
              <w:topLinePunct w:val="0"/>
              <w:bidi w:val="0"/>
              <w:spacing w:before="58" w:line="195"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19. 1</w:t>
            </w:r>
          </w:p>
        </w:tc>
        <w:tc>
          <w:tcPr>
            <w:tcW w:w="2376" w:type="dxa"/>
            <w:vAlign w:val="center"/>
          </w:tcPr>
          <w:p w14:paraId="4D336BF8">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装配式建筑标准</w:t>
            </w:r>
          </w:p>
        </w:tc>
        <w:tc>
          <w:tcPr>
            <w:tcW w:w="7146" w:type="dxa"/>
            <w:vAlign w:val="center"/>
          </w:tcPr>
          <w:p w14:paraId="7FEA0005">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本招标项目</w:t>
            </w:r>
            <w:r>
              <w:rPr>
                <w:rFonts w:hint="eastAsia" w:ascii="宋体" w:hAnsi="宋体" w:eastAsia="宋体" w:cs="宋体"/>
                <w:snapToGrid w:val="0"/>
                <w:color w:val="auto"/>
                <w:spacing w:val="0"/>
                <w:kern w:val="0"/>
                <w:sz w:val="24"/>
                <w:szCs w:val="24"/>
                <w:highlight w:val="none"/>
                <w:u w:val="single"/>
                <w:lang w:val="en-US" w:eastAsia="zh-CN"/>
              </w:rPr>
              <w:t>不</w:t>
            </w:r>
            <w:r>
              <w:rPr>
                <w:rFonts w:hint="eastAsia" w:ascii="宋体" w:hAnsi="宋体" w:eastAsia="宋体" w:cs="宋体"/>
                <w:snapToGrid w:val="0"/>
                <w:color w:val="auto"/>
                <w:spacing w:val="0"/>
                <w:kern w:val="0"/>
                <w:sz w:val="24"/>
                <w:szCs w:val="24"/>
                <w:highlight w:val="none"/>
                <w:lang w:eastAsia="zh-CN"/>
              </w:rPr>
              <w:t>纳入装配式建造建设实施范围。</w:t>
            </w:r>
          </w:p>
        </w:tc>
      </w:tr>
      <w:tr w14:paraId="2E1C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4746E48">
            <w:pPr>
              <w:keepNext w:val="0"/>
              <w:keepLines w:val="0"/>
              <w:pageBreakBefore w:val="0"/>
              <w:kinsoku/>
              <w:wordWrap w:val="0"/>
              <w:overflowPunct/>
              <w:topLinePunct w:val="0"/>
              <w:bidi w:val="0"/>
              <w:spacing w:before="69" w:line="188"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20</w:t>
            </w:r>
          </w:p>
        </w:tc>
        <w:tc>
          <w:tcPr>
            <w:tcW w:w="2376" w:type="dxa"/>
            <w:vAlign w:val="center"/>
          </w:tcPr>
          <w:p w14:paraId="649F4D04">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发包人提供材料和工程设备</w:t>
            </w:r>
          </w:p>
        </w:tc>
        <w:tc>
          <w:tcPr>
            <w:tcW w:w="7146" w:type="dxa"/>
            <w:vAlign w:val="center"/>
          </w:tcPr>
          <w:p w14:paraId="77FB08D3">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firstLine="240" w:firstLineChars="100"/>
              <w:jc w:val="both"/>
              <w:textAlignment w:val="auto"/>
              <w:rPr>
                <w:rFonts w:hint="eastAsia" w:ascii="宋体" w:hAnsi="宋体" w:eastAsia="宋体" w:cs="宋体"/>
                <w:snapToGrid w:val="0"/>
                <w:color w:val="auto"/>
                <w:spacing w:val="0"/>
                <w:kern w:val="0"/>
                <w:sz w:val="24"/>
                <w:szCs w:val="24"/>
                <w:highlight w:val="none"/>
                <w:u w:val="single"/>
                <w:lang w:val="en-US" w:eastAsia="zh-CN"/>
              </w:rPr>
            </w:pPr>
            <w:r>
              <w:rPr>
                <w:rFonts w:hint="eastAsia" w:ascii="宋体" w:hAnsi="宋体" w:eastAsia="宋体" w:cs="宋体"/>
                <w:snapToGrid w:val="0"/>
                <w:color w:val="auto"/>
                <w:spacing w:val="0"/>
                <w:kern w:val="0"/>
                <w:sz w:val="24"/>
                <w:szCs w:val="24"/>
                <w:highlight w:val="none"/>
                <w:lang w:eastAsia="zh-CN"/>
              </w:rPr>
              <w:t>发包人提供材料和工程设备： ☑无     □有：</w:t>
            </w:r>
            <w:r>
              <w:rPr>
                <w:rFonts w:hint="eastAsia" w:ascii="宋体" w:hAnsi="宋体" w:eastAsia="宋体" w:cs="宋体"/>
                <w:snapToGrid w:val="0"/>
                <w:color w:val="auto"/>
                <w:spacing w:val="0"/>
                <w:kern w:val="0"/>
                <w:sz w:val="24"/>
                <w:szCs w:val="24"/>
                <w:highlight w:val="none"/>
                <w:u w:val="single"/>
                <w:lang w:val="en-US" w:eastAsia="zh-CN"/>
              </w:rPr>
              <w:t xml:space="preserve">     </w:t>
            </w:r>
          </w:p>
        </w:tc>
      </w:tr>
      <w:tr w14:paraId="119B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2622591F">
            <w:pPr>
              <w:keepNext w:val="0"/>
              <w:keepLines w:val="0"/>
              <w:pageBreakBefore w:val="0"/>
              <w:kinsoku/>
              <w:wordWrap w:val="0"/>
              <w:overflowPunct/>
              <w:topLinePunct w:val="0"/>
              <w:bidi w:val="0"/>
              <w:spacing w:before="69" w:line="188"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21</w:t>
            </w:r>
          </w:p>
        </w:tc>
        <w:tc>
          <w:tcPr>
            <w:tcW w:w="2376" w:type="dxa"/>
            <w:vAlign w:val="center"/>
          </w:tcPr>
          <w:p w14:paraId="6A6F9E67">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承包人提供材料和工程设备</w:t>
            </w:r>
          </w:p>
        </w:tc>
        <w:tc>
          <w:tcPr>
            <w:tcW w:w="7146" w:type="dxa"/>
            <w:vAlign w:val="top"/>
          </w:tcPr>
          <w:p w14:paraId="73297186">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716D2549">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□其它说明：鼓励承包人积极采购环保产品进行施工。</w:t>
            </w:r>
          </w:p>
        </w:tc>
      </w:tr>
      <w:tr w14:paraId="3B0B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582" w:type="dxa"/>
            <w:vAlign w:val="center"/>
          </w:tcPr>
          <w:p w14:paraId="23CFF5B2">
            <w:pPr>
              <w:keepNext w:val="0"/>
              <w:keepLines w:val="0"/>
              <w:pageBreakBefore w:val="0"/>
              <w:kinsoku/>
              <w:wordWrap w:val="0"/>
              <w:overflowPunct/>
              <w:topLinePunct w:val="0"/>
              <w:bidi w:val="0"/>
              <w:spacing w:before="69" w:line="188"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22</w:t>
            </w:r>
          </w:p>
        </w:tc>
        <w:tc>
          <w:tcPr>
            <w:tcW w:w="2376" w:type="dxa"/>
            <w:vAlign w:val="center"/>
          </w:tcPr>
          <w:p w14:paraId="08D2DACC">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最高投标限价</w:t>
            </w:r>
          </w:p>
        </w:tc>
        <w:tc>
          <w:tcPr>
            <w:tcW w:w="7146" w:type="dxa"/>
            <w:vAlign w:val="center"/>
          </w:tcPr>
          <w:p w14:paraId="73FF3F41">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本招标项目的</w:t>
            </w:r>
            <w:r>
              <w:rPr>
                <w:rFonts w:hint="eastAsia" w:ascii="宋体" w:hAnsi="宋体" w:eastAsia="宋体" w:cs="宋体"/>
                <w:snapToGrid w:val="0"/>
                <w:color w:val="auto"/>
                <w:spacing w:val="0"/>
                <w:kern w:val="0"/>
                <w:sz w:val="24"/>
                <w:szCs w:val="24"/>
                <w:highlight w:val="none"/>
                <w:lang w:val="en-US" w:eastAsia="zh-CN"/>
              </w:rPr>
              <w:t>最高投标限价</w:t>
            </w:r>
            <w:r>
              <w:rPr>
                <w:rFonts w:hint="eastAsia" w:ascii="宋体" w:hAnsi="宋体" w:eastAsia="宋体" w:cs="宋体"/>
                <w:snapToGrid w:val="0"/>
                <w:color w:val="auto"/>
                <w:spacing w:val="0"/>
                <w:kern w:val="0"/>
                <w:sz w:val="24"/>
                <w:szCs w:val="24"/>
                <w:highlight w:val="none"/>
                <w:lang w:eastAsia="zh-CN"/>
              </w:rPr>
              <w:t>、工程量清单、</w:t>
            </w:r>
            <w:r>
              <w:rPr>
                <w:rFonts w:hint="eastAsia" w:ascii="宋体" w:hAnsi="宋体" w:eastAsia="宋体" w:cs="宋体"/>
                <w:snapToGrid w:val="0"/>
                <w:color w:val="auto"/>
                <w:spacing w:val="0"/>
                <w:kern w:val="0"/>
                <w:sz w:val="24"/>
                <w:szCs w:val="24"/>
                <w:highlight w:val="none"/>
                <w:lang w:val="en-US" w:eastAsia="zh-CN"/>
              </w:rPr>
              <w:t>施工图纸</w:t>
            </w:r>
            <w:r>
              <w:rPr>
                <w:rFonts w:hint="eastAsia" w:ascii="宋体" w:hAnsi="宋体" w:eastAsia="宋体" w:cs="宋体"/>
                <w:snapToGrid w:val="0"/>
                <w:color w:val="auto"/>
                <w:spacing w:val="0"/>
                <w:kern w:val="0"/>
                <w:sz w:val="24"/>
                <w:szCs w:val="24"/>
                <w:highlight w:val="none"/>
                <w:lang w:eastAsia="zh-CN"/>
              </w:rPr>
              <w:t>在投标截止时间</w:t>
            </w:r>
            <w:r>
              <w:rPr>
                <w:rFonts w:hint="eastAsia" w:ascii="宋体" w:hAnsi="宋体" w:eastAsia="宋体" w:cs="宋体"/>
                <w:b/>
                <w:bCs/>
                <w:snapToGrid w:val="0"/>
                <w:color w:val="auto"/>
                <w:spacing w:val="0"/>
                <w:kern w:val="0"/>
                <w:sz w:val="24"/>
                <w:szCs w:val="24"/>
                <w:highlight w:val="none"/>
                <w:lang w:eastAsia="zh-CN"/>
              </w:rPr>
              <w:t>15</w:t>
            </w:r>
            <w:r>
              <w:rPr>
                <w:rFonts w:hint="eastAsia" w:ascii="宋体" w:hAnsi="宋体" w:eastAsia="宋体" w:cs="宋体"/>
                <w:snapToGrid w:val="0"/>
                <w:color w:val="auto"/>
                <w:spacing w:val="0"/>
                <w:kern w:val="0"/>
                <w:sz w:val="24"/>
                <w:szCs w:val="24"/>
                <w:highlight w:val="none"/>
                <w:lang w:eastAsia="zh-CN"/>
              </w:rPr>
              <w:t>天前以补充公告的形式在广东省招标投标监管网（http://zbtb.gd.gov.cn）、全国公共资源交易平台（广东省·韶关市）（https://ygp.gdzwfw.gov.cn/ggzy-portal/#/440200/index）网站公布。</w:t>
            </w:r>
          </w:p>
        </w:tc>
      </w:tr>
      <w:tr w14:paraId="0706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5" w:hRule="atLeast"/>
        </w:trPr>
        <w:tc>
          <w:tcPr>
            <w:tcW w:w="582" w:type="dxa"/>
            <w:vAlign w:val="center"/>
          </w:tcPr>
          <w:p w14:paraId="14D57F0A">
            <w:pPr>
              <w:keepNext w:val="0"/>
              <w:keepLines w:val="0"/>
              <w:pageBreakBefore w:val="0"/>
              <w:kinsoku/>
              <w:wordWrap w:val="0"/>
              <w:overflowPunct/>
              <w:topLinePunct w:val="0"/>
              <w:bidi w:val="0"/>
              <w:spacing w:before="69" w:line="188"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23</w:t>
            </w:r>
          </w:p>
        </w:tc>
        <w:tc>
          <w:tcPr>
            <w:tcW w:w="2376" w:type="dxa"/>
            <w:vAlign w:val="center"/>
          </w:tcPr>
          <w:p w14:paraId="4EDFFAA8">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投标人的投标报价</w:t>
            </w:r>
          </w:p>
        </w:tc>
        <w:tc>
          <w:tcPr>
            <w:tcW w:w="7146" w:type="dxa"/>
            <w:vAlign w:val="center"/>
          </w:tcPr>
          <w:p w14:paraId="449D521D">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270EDCA4">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eastAsia="zh-CN"/>
              </w:rPr>
              <w:t>投标报价方式： ☑工程量清单报</w:t>
            </w:r>
            <w:r>
              <w:rPr>
                <w:rFonts w:hint="eastAsia" w:ascii="宋体" w:hAnsi="宋体" w:eastAsia="宋体" w:cs="宋体"/>
                <w:snapToGrid w:val="0"/>
                <w:color w:val="auto"/>
                <w:spacing w:val="0"/>
                <w:kern w:val="0"/>
                <w:sz w:val="24"/>
                <w:szCs w:val="24"/>
                <w:highlight w:val="none"/>
                <w:lang w:val="en-US" w:eastAsia="zh-CN"/>
              </w:rPr>
              <w:t>价  □其他：</w:t>
            </w:r>
          </w:p>
          <w:p w14:paraId="134467AE">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投标报价时，应按《广东省建设工程计价依据（2018）》规定的费率报价，若招标工程量清单明确说明不计算预算包干费或另外确定预算包干费费率的，则按招标工程量清单报价。</w:t>
            </w:r>
          </w:p>
        </w:tc>
      </w:tr>
      <w:tr w14:paraId="3A26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582" w:type="dxa"/>
            <w:vAlign w:val="center"/>
          </w:tcPr>
          <w:p w14:paraId="78D804F4">
            <w:pPr>
              <w:keepNext w:val="0"/>
              <w:keepLines w:val="0"/>
              <w:pageBreakBefore w:val="0"/>
              <w:kinsoku/>
              <w:wordWrap w:val="0"/>
              <w:overflowPunct/>
              <w:topLinePunct w:val="0"/>
              <w:bidi w:val="0"/>
              <w:spacing w:before="69" w:line="188"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24</w:t>
            </w:r>
          </w:p>
        </w:tc>
        <w:tc>
          <w:tcPr>
            <w:tcW w:w="2376" w:type="dxa"/>
            <w:vAlign w:val="center"/>
          </w:tcPr>
          <w:p w14:paraId="75D56106">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投标报价风险</w:t>
            </w:r>
          </w:p>
        </w:tc>
        <w:tc>
          <w:tcPr>
            <w:tcW w:w="7146" w:type="dxa"/>
            <w:vAlign w:val="center"/>
          </w:tcPr>
          <w:p w14:paraId="09F129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☑投标人依据招标文件约定自行考虑风险因素，一旦中标，投标报价（合同价）除合同另有约定外将不因市场变化而调整。</w:t>
            </w:r>
          </w:p>
          <w:p w14:paraId="4AE8FF52">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☑投标报价中应包括工程量清单项目所发生的人工费、材料费、机具费、管理费、利润、措施项目费、其它项目费、税金、暂列金额、暂估价以及所有风险、责任等各项费用。</w:t>
            </w:r>
          </w:p>
          <w:p w14:paraId="0FDFC6A7">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☑人工费、材料费、机具费、管理费、利润、措施项目费（不含安全生产措施费）投标人漏报或不报，招标人视为有关费用已包括在工程量清单项目的其它单价及合价中不予另外增加。</w:t>
            </w:r>
          </w:p>
          <w:p w14:paraId="1D4B24BC">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☑措施项目中的安全生产措施费，必须按国家、省级、市级（即工程所在地）行业建设主管部门的规定计算，不得作为竞争性费用。</w:t>
            </w:r>
          </w:p>
          <w:p w14:paraId="2BDA8BB1">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☑投标人应按照招标文件提供的工程量清单逐项填写单价和合价，投标人未填写的项目，招标人将视为此项费用已包括在工程量清单项目的其它单价及合价中不予另外增加。</w:t>
            </w:r>
          </w:p>
          <w:p w14:paraId="0598AA64">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人应按《广东省建设工程计价依据（2018）》规定的费率对预算包干费进行报价，若招标工程量清单明确说明不计算预算包干费或另外确定预算包干费费率的，则按招标工程量清单报价，若投标人不按规定报价的，则中标后无条件接受招标人对投标报价的调整。</w:t>
            </w:r>
          </w:p>
          <w:p w14:paraId="042F3347">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☑招标人向投标人提供的有关施工现场资料及数据，是招标人现有的能使投标人利用的资料，招标人对投标人据此作出的推论及理解概不负责。</w:t>
            </w:r>
          </w:p>
          <w:p w14:paraId="12C047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7883DF1F">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☑错漏项的认定。中标人已标价工程量清单中，任一清单项目未填报价格或价格为零的，招标人将视为此项费用已包括在工程量清单项目的其它单价及合价中不予另外增加。</w:t>
            </w:r>
          </w:p>
        </w:tc>
      </w:tr>
      <w:tr w14:paraId="4F80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582" w:type="dxa"/>
            <w:vAlign w:val="center"/>
          </w:tcPr>
          <w:p w14:paraId="2A703940">
            <w:pPr>
              <w:keepNext w:val="0"/>
              <w:keepLines w:val="0"/>
              <w:pageBreakBefore w:val="0"/>
              <w:kinsoku/>
              <w:wordWrap w:val="0"/>
              <w:overflowPunct/>
              <w:topLinePunct w:val="0"/>
              <w:bidi w:val="0"/>
              <w:spacing w:before="284" w:line="188"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25</w:t>
            </w:r>
          </w:p>
        </w:tc>
        <w:tc>
          <w:tcPr>
            <w:tcW w:w="2376" w:type="dxa"/>
            <w:vAlign w:val="center"/>
          </w:tcPr>
          <w:p w14:paraId="169F8CD2">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投标费用</w:t>
            </w:r>
          </w:p>
        </w:tc>
        <w:tc>
          <w:tcPr>
            <w:tcW w:w="7146" w:type="dxa"/>
            <w:vAlign w:val="center"/>
          </w:tcPr>
          <w:p w14:paraId="6A66A491">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投标人自行承担编制与递交投标文件的一切费用。</w:t>
            </w:r>
          </w:p>
        </w:tc>
      </w:tr>
      <w:tr w14:paraId="77DCD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582" w:type="dxa"/>
            <w:vAlign w:val="center"/>
          </w:tcPr>
          <w:p w14:paraId="64154986">
            <w:pPr>
              <w:keepNext w:val="0"/>
              <w:keepLines w:val="0"/>
              <w:pageBreakBefore w:val="0"/>
              <w:kinsoku/>
              <w:wordWrap w:val="0"/>
              <w:overflowPunct/>
              <w:topLinePunct w:val="0"/>
              <w:bidi w:val="0"/>
              <w:spacing w:before="284" w:line="188"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26</w:t>
            </w:r>
          </w:p>
        </w:tc>
        <w:tc>
          <w:tcPr>
            <w:tcW w:w="2376" w:type="dxa"/>
            <w:vAlign w:val="center"/>
          </w:tcPr>
          <w:p w14:paraId="6F389A2C">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成本警示价</w:t>
            </w:r>
          </w:p>
        </w:tc>
        <w:tc>
          <w:tcPr>
            <w:tcW w:w="7146" w:type="dxa"/>
            <w:vAlign w:val="center"/>
          </w:tcPr>
          <w:p w14:paraId="22B47FE2">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投标报价要求：</w:t>
            </w:r>
          </w:p>
          <w:p w14:paraId="368F3DA0">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⑴投标人的投标报价不得高于招标人设置的最高投标限价，否则作无效投标处理；</w:t>
            </w:r>
          </w:p>
          <w:p w14:paraId="1B8EEE0F">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⑵投标人的投标报价如低于招标项目的成本警示价的，需提供成本分析资料等报价依据。（成本警示价＝最高投标限价×85%）</w:t>
            </w:r>
          </w:p>
        </w:tc>
      </w:tr>
      <w:tr w14:paraId="5958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vAlign w:val="center"/>
          </w:tcPr>
          <w:p w14:paraId="39B3D201">
            <w:pPr>
              <w:keepNext w:val="0"/>
              <w:keepLines w:val="0"/>
              <w:pageBreakBefore w:val="0"/>
              <w:kinsoku/>
              <w:wordWrap w:val="0"/>
              <w:overflowPunct/>
              <w:topLinePunct w:val="0"/>
              <w:bidi w:val="0"/>
              <w:spacing w:before="19"/>
              <w:ind w:right="84" w:rightChars="40"/>
              <w:jc w:val="center"/>
              <w:rPr>
                <w:rFonts w:hint="eastAsia" w:ascii="宋体" w:hAnsi="宋体" w:eastAsia="宋体" w:cs="宋体"/>
                <w:snapToGrid w:val="0"/>
                <w:color w:val="auto"/>
                <w:spacing w:val="0"/>
                <w:sz w:val="24"/>
                <w:szCs w:val="24"/>
                <w:highlight w:val="none"/>
                <w:lang w:val="en-US" w:eastAsia="en-US" w:bidi="ar-SA"/>
              </w:rPr>
            </w:pPr>
            <w:r>
              <w:rPr>
                <w:rFonts w:hint="eastAsia" w:ascii="宋体" w:hAnsi="宋体" w:eastAsia="宋体" w:cs="宋体"/>
                <w:color w:val="auto"/>
                <w:spacing w:val="0"/>
                <w:sz w:val="24"/>
                <w:szCs w:val="24"/>
                <w:highlight w:val="none"/>
              </w:rPr>
              <w:t>27</w:t>
            </w:r>
          </w:p>
        </w:tc>
        <w:tc>
          <w:tcPr>
            <w:tcW w:w="2376" w:type="dxa"/>
            <w:vAlign w:val="center"/>
          </w:tcPr>
          <w:p w14:paraId="728110B4">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投标人资格要求</w:t>
            </w:r>
          </w:p>
        </w:tc>
        <w:tc>
          <w:tcPr>
            <w:tcW w:w="7146" w:type="dxa"/>
            <w:vAlign w:val="center"/>
          </w:tcPr>
          <w:p w14:paraId="6EC3B736">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1.本次招标</w:t>
            </w:r>
            <w:r>
              <w:rPr>
                <w:rFonts w:hint="eastAsia" w:ascii="宋体" w:hAnsi="宋体" w:eastAsia="宋体" w:cs="宋体"/>
                <w:b/>
                <w:bCs/>
                <w:snapToGrid w:val="0"/>
                <w:color w:val="auto"/>
                <w:spacing w:val="0"/>
                <w:kern w:val="0"/>
                <w:sz w:val="24"/>
                <w:szCs w:val="24"/>
                <w:highlight w:val="none"/>
                <w:lang w:eastAsia="zh-CN"/>
              </w:rPr>
              <w:t>不接受</w:t>
            </w:r>
            <w:r>
              <w:rPr>
                <w:rFonts w:hint="eastAsia" w:ascii="宋体" w:hAnsi="宋体" w:eastAsia="宋体" w:cs="宋体"/>
                <w:snapToGrid w:val="0"/>
                <w:color w:val="auto"/>
                <w:spacing w:val="0"/>
                <w:kern w:val="0"/>
                <w:sz w:val="24"/>
                <w:szCs w:val="24"/>
                <w:highlight w:val="none"/>
                <w:lang w:eastAsia="zh-CN"/>
              </w:rPr>
              <w:t>联合体投标。</w:t>
            </w:r>
          </w:p>
          <w:p w14:paraId="4BF154BD">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2.资质要求</w:t>
            </w:r>
          </w:p>
          <w:p w14:paraId="34024165">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2.1 投标人须具备独立法人资格，按国家法律经营。</w:t>
            </w:r>
          </w:p>
          <w:p w14:paraId="5ED3A23E">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2.2 投标人须持有建设行政主管部门颁发的企业资质证书及安全生产许可证。</w:t>
            </w:r>
          </w:p>
          <w:p w14:paraId="594AE2CD">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u w:val="single"/>
                <w:lang w:eastAsia="zh-CN"/>
              </w:rPr>
            </w:pPr>
            <w:r>
              <w:rPr>
                <w:rFonts w:hint="eastAsia" w:ascii="宋体" w:hAnsi="宋体" w:eastAsia="宋体" w:cs="宋体"/>
                <w:snapToGrid w:val="0"/>
                <w:color w:val="auto"/>
                <w:spacing w:val="0"/>
                <w:kern w:val="0"/>
                <w:sz w:val="24"/>
                <w:szCs w:val="24"/>
                <w:highlight w:val="none"/>
                <w:lang w:eastAsia="zh-CN"/>
              </w:rPr>
              <w:t>2.3 投标人须具备以下资质：</w:t>
            </w:r>
            <w:r>
              <w:rPr>
                <w:rFonts w:hint="eastAsia" w:ascii="宋体" w:hAnsi="宋体" w:eastAsia="宋体" w:cs="宋体"/>
                <w:snapToGrid w:val="0"/>
                <w:color w:val="auto"/>
                <w:spacing w:val="0"/>
                <w:kern w:val="0"/>
                <w:sz w:val="24"/>
                <w:szCs w:val="24"/>
                <w:highlight w:val="none"/>
                <w:u w:val="single"/>
                <w:lang w:eastAsia="zh-CN"/>
              </w:rPr>
              <w:t>具</w:t>
            </w:r>
            <w:r>
              <w:rPr>
                <w:rFonts w:hint="eastAsia" w:ascii="宋体" w:hAnsi="宋体" w:eastAsia="宋体" w:cs="宋体"/>
                <w:snapToGrid w:val="0"/>
                <w:color w:val="auto"/>
                <w:spacing w:val="0"/>
                <w:kern w:val="0"/>
                <w:sz w:val="24"/>
                <w:szCs w:val="24"/>
                <w:highlight w:val="none"/>
                <w:u w:val="single"/>
                <w:lang w:val="en-US" w:eastAsia="zh-CN"/>
              </w:rPr>
              <w:t>有</w:t>
            </w:r>
            <w:r>
              <w:rPr>
                <w:rFonts w:hint="eastAsia" w:ascii="宋体" w:hAnsi="宋体" w:eastAsia="宋体" w:cs="宋体"/>
                <w:snapToGrid w:val="0"/>
                <w:color w:val="auto"/>
                <w:spacing w:val="0"/>
                <w:kern w:val="0"/>
                <w:sz w:val="24"/>
                <w:szCs w:val="24"/>
                <w:highlight w:val="none"/>
                <w:u w:val="single"/>
                <w:lang w:eastAsia="zh-CN"/>
              </w:rPr>
              <w:t>市政公用工程施工总承包三级以上（含三级）资质，并在有效期内。</w:t>
            </w:r>
          </w:p>
          <w:p w14:paraId="0DAB8296">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2.4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6E1B7DB0">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3.相关人员要求</w:t>
            </w:r>
          </w:p>
          <w:p w14:paraId="34B51453">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3.1  拟派项目经理为</w:t>
            </w:r>
            <w:r>
              <w:rPr>
                <w:rFonts w:hint="eastAsia" w:ascii="宋体" w:hAnsi="宋体" w:eastAsia="宋体" w:cs="宋体"/>
                <w:snapToGrid w:val="0"/>
                <w:color w:val="auto"/>
                <w:spacing w:val="0"/>
                <w:kern w:val="0"/>
                <w:sz w:val="24"/>
                <w:szCs w:val="24"/>
                <w:highlight w:val="none"/>
                <w:u w:val="single"/>
                <w:lang w:eastAsia="zh-CN"/>
              </w:rPr>
              <w:t>市政公用工程</w:t>
            </w:r>
            <w:r>
              <w:rPr>
                <w:rFonts w:hint="eastAsia" w:ascii="宋体" w:hAnsi="宋体" w:eastAsia="宋体" w:cs="宋体"/>
                <w:snapToGrid w:val="0"/>
                <w:color w:val="auto"/>
                <w:spacing w:val="0"/>
                <w:kern w:val="0"/>
                <w:sz w:val="24"/>
                <w:szCs w:val="24"/>
                <w:highlight w:val="none"/>
                <w:lang w:eastAsia="zh-CN"/>
              </w:rPr>
              <w:t>专业一级或二级注册建造师，</w:t>
            </w:r>
            <w:r>
              <w:rPr>
                <w:rFonts w:hint="eastAsia" w:ascii="宋体" w:hAnsi="宋体" w:eastAsia="宋体" w:cs="宋体"/>
                <w:snapToGrid w:val="0"/>
                <w:color w:val="auto"/>
                <w:spacing w:val="0"/>
                <w:kern w:val="0"/>
                <w:sz w:val="24"/>
                <w:szCs w:val="24"/>
                <w:highlight w:val="none"/>
                <w:lang w:val="en-US" w:eastAsia="zh-CN"/>
              </w:rPr>
              <w:t>应持有住建部门印发的在使用有效期内的有效电子注册证书（根据广东省住房和城乡建设厅（粤建市函〔2023〕469号）文件精神，二级注册建造师可随注册企业在全国范围内执业），同时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r>
              <w:rPr>
                <w:rFonts w:hint="eastAsia" w:ascii="宋体" w:hAnsi="宋体" w:eastAsia="宋体" w:cs="宋体"/>
                <w:snapToGrid w:val="0"/>
                <w:color w:val="auto"/>
                <w:spacing w:val="0"/>
                <w:kern w:val="0"/>
                <w:sz w:val="24"/>
                <w:szCs w:val="24"/>
                <w:highlight w:val="none"/>
                <w:lang w:eastAsia="zh-CN"/>
              </w:rPr>
              <w:t>。</w:t>
            </w:r>
          </w:p>
          <w:p w14:paraId="526D95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3.2 拟派项目技术负责人须具</w:t>
            </w:r>
            <w:r>
              <w:rPr>
                <w:rFonts w:hint="eastAsia" w:ascii="宋体" w:hAnsi="宋体" w:eastAsia="宋体" w:cs="宋体"/>
                <w:snapToGrid w:val="0"/>
                <w:color w:val="auto"/>
                <w:spacing w:val="0"/>
                <w:kern w:val="0"/>
                <w:sz w:val="24"/>
                <w:szCs w:val="24"/>
                <w:highlight w:val="none"/>
                <w:u w:val="none"/>
                <w:lang w:eastAsia="zh-CN"/>
              </w:rPr>
              <w:t>备中级</w:t>
            </w:r>
            <w:r>
              <w:rPr>
                <w:rFonts w:hint="eastAsia" w:ascii="宋体" w:hAnsi="宋体" w:eastAsia="宋体" w:cs="宋体"/>
                <w:snapToGrid w:val="0"/>
                <w:color w:val="auto"/>
                <w:spacing w:val="0"/>
                <w:kern w:val="0"/>
                <w:sz w:val="24"/>
                <w:szCs w:val="24"/>
                <w:highlight w:val="none"/>
                <w:lang w:eastAsia="zh-CN"/>
              </w:rPr>
              <w:t>工程师以上（</w:t>
            </w:r>
            <w:r>
              <w:rPr>
                <w:rFonts w:hint="eastAsia" w:ascii="宋体" w:hAnsi="宋体" w:eastAsia="宋体" w:cs="宋体"/>
                <w:snapToGrid w:val="0"/>
                <w:color w:val="auto"/>
                <w:spacing w:val="0"/>
                <w:kern w:val="0"/>
                <w:sz w:val="24"/>
                <w:szCs w:val="24"/>
                <w:highlight w:val="none"/>
                <w:u w:val="none"/>
                <w:lang w:eastAsia="zh-CN"/>
              </w:rPr>
              <w:t>含中级</w:t>
            </w:r>
            <w:r>
              <w:rPr>
                <w:rFonts w:hint="eastAsia" w:ascii="宋体" w:hAnsi="宋体" w:eastAsia="宋体" w:cs="宋体"/>
                <w:snapToGrid w:val="0"/>
                <w:color w:val="auto"/>
                <w:spacing w:val="0"/>
                <w:kern w:val="0"/>
                <w:sz w:val="24"/>
                <w:szCs w:val="24"/>
                <w:highlight w:val="none"/>
                <w:lang w:eastAsia="zh-CN"/>
              </w:rPr>
              <w:t>）技术职称。</w:t>
            </w:r>
          </w:p>
          <w:p w14:paraId="7E279E05">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3.3 投标人拟派专职安全生产管理人员须具备有效安全生产考核合格证明（C证，安全生产考核合格证书或“广东省建筑施工企业管理人员安全生产考核系统”考核合格信息打印页），且不少于</w:t>
            </w:r>
            <w:r>
              <w:rPr>
                <w:rFonts w:hint="eastAsia" w:ascii="宋体" w:hAnsi="宋体" w:eastAsia="宋体" w:cs="宋体"/>
                <w:snapToGrid w:val="0"/>
                <w:color w:val="auto"/>
                <w:spacing w:val="0"/>
                <w:kern w:val="0"/>
                <w:sz w:val="24"/>
                <w:szCs w:val="24"/>
                <w:highlight w:val="none"/>
                <w:u w:val="single"/>
                <w:lang w:eastAsia="zh-CN"/>
              </w:rPr>
              <w:t xml:space="preserve"> 1 </w:t>
            </w:r>
            <w:r>
              <w:rPr>
                <w:rFonts w:hint="eastAsia" w:ascii="宋体" w:hAnsi="宋体" w:eastAsia="宋体" w:cs="宋体"/>
                <w:snapToGrid w:val="0"/>
                <w:color w:val="auto"/>
                <w:spacing w:val="0"/>
                <w:kern w:val="0"/>
                <w:sz w:val="24"/>
                <w:szCs w:val="24"/>
                <w:highlight w:val="none"/>
                <w:lang w:eastAsia="zh-CN"/>
              </w:rPr>
              <w:t>人。</w:t>
            </w:r>
          </w:p>
          <w:p w14:paraId="4F35C3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3.4 投标人（包括组成联合体的所有成员单位）与其拟派往本项目管理机构的所有人员之间必须具备合法、唯一的劳动聘用关系。拟派人员中具备注册执业资格的，其注册单位须与投标人保持一致。</w:t>
            </w:r>
          </w:p>
          <w:p w14:paraId="68CF7C10">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4.禁止投标条款：</w:t>
            </w:r>
          </w:p>
          <w:p w14:paraId="756E14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4.1  投标人不得存在下列情形之一：</w:t>
            </w:r>
          </w:p>
          <w:p w14:paraId="68C2B4A6">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（1）为招标人不具有独立法人资格的附属机构（单位）；</w:t>
            </w:r>
          </w:p>
          <w:p w14:paraId="44593C8A">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（2）为本招标项目前期准备提供设计或咨询服务的；</w:t>
            </w:r>
          </w:p>
          <w:p w14:paraId="59CFF19A">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（3）与本招标项目的其他投标人为同一个单位负责人；</w:t>
            </w:r>
          </w:p>
          <w:p w14:paraId="2AE6D683">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（4）与本招标项目的其他投标人存在控股、管理关系；</w:t>
            </w:r>
          </w:p>
          <w:p w14:paraId="38CFB62B">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（5）为本招标项目的监理人；</w:t>
            </w:r>
          </w:p>
          <w:p w14:paraId="14193242">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（6）为本招标项目的代建人；</w:t>
            </w:r>
          </w:p>
          <w:p w14:paraId="170099A7">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（7）为本招标项目的招标代理机构；</w:t>
            </w:r>
          </w:p>
          <w:p w14:paraId="062B5CBB">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（8）与本招标项目的监理人或代建人或招标代理机构同为一个 法定代表人；</w:t>
            </w:r>
          </w:p>
          <w:p w14:paraId="76338A82">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（9）与本招标项目的监理人或代建人或招标代理机构存在控股或参股关系；</w:t>
            </w:r>
          </w:p>
          <w:p w14:paraId="2A915A3B">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（10）与本招标项目的监理人或代建人或招标代理机构存在相互任职或工作关系；</w:t>
            </w:r>
          </w:p>
          <w:p w14:paraId="2D49455B">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（11）被依法暂停或者取消投标资格；</w:t>
            </w:r>
          </w:p>
          <w:p w14:paraId="335907DD">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（12）被责令停产停业、暂扣或者吊销许可证、暂扣或者吊销执照；</w:t>
            </w:r>
          </w:p>
          <w:p w14:paraId="146AB41B">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（13）进入清算程序，或被宣告破产，或其他丧失履约能力的情形；</w:t>
            </w:r>
          </w:p>
          <w:p w14:paraId="730679DE">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（14）在最近三年内发生重大工程质量或安全问题（以相关行业主管部门的行政处罚决定或司法机关出具的有关法律文书为准）；</w:t>
            </w:r>
          </w:p>
          <w:p w14:paraId="4202D8CA">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（15）被“信用中国 ”网站（https://www.creditchina.gov.cn）发布的《法人和非法人组织公共信用信息报告》列为严重失信主体名单的。</w:t>
            </w:r>
          </w:p>
          <w:p w14:paraId="587EA458">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4.2  招标人拒绝以下名单中的单位参加本次投标：</w:t>
            </w:r>
          </w:p>
          <w:tbl>
            <w:tblPr>
              <w:tblStyle w:val="14"/>
              <w:tblW w:w="67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3132"/>
              <w:gridCol w:w="2962"/>
            </w:tblGrid>
            <w:tr w14:paraId="526D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632" w:type="dxa"/>
                  <w:vAlign w:val="center"/>
                </w:tcPr>
                <w:p w14:paraId="60DBAAFB">
                  <w:pPr>
                    <w:keepNext w:val="0"/>
                    <w:keepLines w:val="0"/>
                    <w:pageBreakBefore w:val="0"/>
                    <w:widowControl w:val="0"/>
                    <w:kinsoku/>
                    <w:wordWrap w:val="0"/>
                    <w:overflowPunct/>
                    <w:topLinePunct w:val="0"/>
                    <w:autoSpaceDE/>
                    <w:autoSpaceDN/>
                    <w:bidi w:val="0"/>
                    <w:adjustRightInd w:val="0"/>
                    <w:snapToGrid w:val="0"/>
                    <w:spacing w:line="240" w:lineRule="auto"/>
                    <w:ind w:right="84" w:rightChars="40"/>
                    <w:jc w:val="both"/>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序号</w:t>
                  </w:r>
                </w:p>
              </w:tc>
              <w:tc>
                <w:tcPr>
                  <w:tcW w:w="3132" w:type="dxa"/>
                  <w:vAlign w:val="center"/>
                </w:tcPr>
                <w:p w14:paraId="7B054724">
                  <w:pPr>
                    <w:keepNext w:val="0"/>
                    <w:keepLines w:val="0"/>
                    <w:pageBreakBefore w:val="0"/>
                    <w:widowControl w:val="0"/>
                    <w:kinsoku/>
                    <w:wordWrap w:val="0"/>
                    <w:overflowPunct/>
                    <w:topLinePunct w:val="0"/>
                    <w:autoSpaceDE/>
                    <w:autoSpaceDN/>
                    <w:bidi w:val="0"/>
                    <w:adjustRightInd w:val="0"/>
                    <w:snapToGrid w:val="0"/>
                    <w:spacing w:line="240" w:lineRule="auto"/>
                    <w:ind w:right="84" w:rightChars="4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单位名称</w:t>
                  </w:r>
                </w:p>
              </w:tc>
              <w:tc>
                <w:tcPr>
                  <w:tcW w:w="2962" w:type="dxa"/>
                  <w:vAlign w:val="center"/>
                </w:tcPr>
                <w:p w14:paraId="4FE91A11">
                  <w:pPr>
                    <w:keepNext w:val="0"/>
                    <w:keepLines w:val="0"/>
                    <w:pageBreakBefore w:val="0"/>
                    <w:widowControl w:val="0"/>
                    <w:kinsoku/>
                    <w:wordWrap w:val="0"/>
                    <w:overflowPunct/>
                    <w:topLinePunct w:val="0"/>
                    <w:autoSpaceDE/>
                    <w:autoSpaceDN/>
                    <w:bidi w:val="0"/>
                    <w:adjustRightInd w:val="0"/>
                    <w:snapToGrid w:val="0"/>
                    <w:spacing w:line="240" w:lineRule="auto"/>
                    <w:ind w:right="84" w:rightChars="4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拒绝原因</w:t>
                  </w:r>
                </w:p>
              </w:tc>
            </w:tr>
            <w:tr w14:paraId="1DBB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32" w:type="dxa"/>
                  <w:vAlign w:val="center"/>
                </w:tcPr>
                <w:p w14:paraId="5735F3E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1</w:t>
                  </w:r>
                </w:p>
              </w:tc>
              <w:tc>
                <w:tcPr>
                  <w:tcW w:w="3132" w:type="dxa"/>
                  <w:vAlign w:val="center"/>
                </w:tcPr>
                <w:p w14:paraId="25D93D7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仁化县大桥镇人民政府</w:t>
                  </w:r>
                </w:p>
              </w:tc>
              <w:tc>
                <w:tcPr>
                  <w:tcW w:w="2962" w:type="dxa"/>
                  <w:vAlign w:val="center"/>
                </w:tcPr>
                <w:p w14:paraId="42F41EC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为本招标项目的招标人</w:t>
                  </w:r>
                </w:p>
              </w:tc>
            </w:tr>
            <w:tr w14:paraId="625F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32" w:type="dxa"/>
                  <w:vAlign w:val="center"/>
                </w:tcPr>
                <w:p w14:paraId="27F653D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2</w:t>
                  </w:r>
                </w:p>
              </w:tc>
              <w:tc>
                <w:tcPr>
                  <w:tcW w:w="3132" w:type="dxa"/>
                  <w:vAlign w:val="center"/>
                </w:tcPr>
                <w:p w14:paraId="74BC464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深圳群伦项目管理有限公司</w:t>
                  </w:r>
                </w:p>
              </w:tc>
              <w:tc>
                <w:tcPr>
                  <w:tcW w:w="2962" w:type="dxa"/>
                  <w:vAlign w:val="center"/>
                </w:tcPr>
                <w:p w14:paraId="15ADD93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为本招标项目的招标代理机构</w:t>
                  </w:r>
                </w:p>
              </w:tc>
            </w:tr>
            <w:tr w14:paraId="0D97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632" w:type="dxa"/>
                  <w:vAlign w:val="center"/>
                </w:tcPr>
                <w:p w14:paraId="681D054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3</w:t>
                  </w:r>
                </w:p>
              </w:tc>
              <w:tc>
                <w:tcPr>
                  <w:tcW w:w="3132" w:type="dxa"/>
                  <w:vAlign w:val="center"/>
                </w:tcPr>
                <w:p w14:paraId="53846CB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中设建联工程设计有限公司</w:t>
                  </w:r>
                </w:p>
              </w:tc>
              <w:tc>
                <w:tcPr>
                  <w:tcW w:w="2962" w:type="dxa"/>
                  <w:vAlign w:val="center"/>
                </w:tcPr>
                <w:p w14:paraId="0BBAABD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为本招标项目的可行性研究报告编制单位</w:t>
                  </w:r>
                </w:p>
              </w:tc>
            </w:tr>
            <w:tr w14:paraId="2DAD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32" w:type="dxa"/>
                  <w:vAlign w:val="center"/>
                </w:tcPr>
                <w:p w14:paraId="58ABAC6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4</w:t>
                  </w:r>
                </w:p>
              </w:tc>
              <w:tc>
                <w:tcPr>
                  <w:tcW w:w="3132" w:type="dxa"/>
                  <w:vAlign w:val="center"/>
                </w:tcPr>
                <w:p w14:paraId="24481AE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珠海市交通勘察设计院有限公司</w:t>
                  </w:r>
                </w:p>
              </w:tc>
              <w:tc>
                <w:tcPr>
                  <w:tcW w:w="2962" w:type="dxa"/>
                  <w:vAlign w:val="center"/>
                </w:tcPr>
                <w:p w14:paraId="5E30719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为本招标项目的概算编制单位</w:t>
                  </w:r>
                </w:p>
              </w:tc>
            </w:tr>
            <w:tr w14:paraId="7588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632" w:type="dxa"/>
                  <w:vAlign w:val="center"/>
                </w:tcPr>
                <w:p w14:paraId="6D458D8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5</w:t>
                  </w:r>
                </w:p>
              </w:tc>
              <w:tc>
                <w:tcPr>
                  <w:tcW w:w="3132" w:type="dxa"/>
                  <w:shd w:val="clear" w:color="auto" w:fill="auto"/>
                  <w:vAlign w:val="center"/>
                </w:tcPr>
                <w:p w14:paraId="4C796E8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中大设计集团有限公司</w:t>
                  </w:r>
                </w:p>
              </w:tc>
              <w:tc>
                <w:tcPr>
                  <w:tcW w:w="2962" w:type="dxa"/>
                  <w:shd w:val="clear" w:color="auto" w:fill="auto"/>
                  <w:vAlign w:val="center"/>
                </w:tcPr>
                <w:p w14:paraId="4159F82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为本招标项目的勘察设计单位</w:t>
                  </w:r>
                </w:p>
              </w:tc>
            </w:tr>
            <w:tr w14:paraId="0A39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632" w:type="dxa"/>
                  <w:vAlign w:val="center"/>
                </w:tcPr>
                <w:p w14:paraId="605A922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default"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6</w:t>
                  </w:r>
                </w:p>
              </w:tc>
              <w:tc>
                <w:tcPr>
                  <w:tcW w:w="3132" w:type="dxa"/>
                  <w:shd w:val="clear" w:color="auto" w:fill="auto"/>
                  <w:vAlign w:val="center"/>
                </w:tcPr>
                <w:p w14:paraId="2650DAF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广州高新工程顾问有限公司</w:t>
                  </w:r>
                </w:p>
              </w:tc>
              <w:tc>
                <w:tcPr>
                  <w:tcW w:w="2962" w:type="dxa"/>
                  <w:shd w:val="clear" w:color="auto" w:fill="auto"/>
                  <w:vAlign w:val="center"/>
                </w:tcPr>
                <w:p w14:paraId="5D0AD84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为本招标项目的监理单位</w:t>
                  </w:r>
                </w:p>
              </w:tc>
            </w:tr>
          </w:tbl>
          <w:p w14:paraId="7E7C597B">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5.其他要求</w:t>
            </w:r>
          </w:p>
          <w:p w14:paraId="15FDD122">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省外企业及其拟派往本项目管理机构的所有人员须按照《广东省住房和城乡建设厅关于取消省外建筑企业和人员进粤信息备案有关工作的通知》（粤建市﹝2015﹞52 号）规定在“进粤企业和人员诚信信息登记平台 ”录入相关信息并通过数据规范检查。</w:t>
            </w:r>
          </w:p>
        </w:tc>
      </w:tr>
      <w:tr w14:paraId="67DD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trPr>
        <w:tc>
          <w:tcPr>
            <w:tcW w:w="582" w:type="dxa"/>
            <w:shd w:val="clear" w:color="auto" w:fill="auto"/>
            <w:vAlign w:val="center"/>
          </w:tcPr>
          <w:p w14:paraId="703F9879">
            <w:pPr>
              <w:keepNext w:val="0"/>
              <w:keepLines w:val="0"/>
              <w:pageBreakBefore w:val="0"/>
              <w:kinsoku/>
              <w:wordWrap w:val="0"/>
              <w:overflowPunct/>
              <w:topLinePunct w:val="0"/>
              <w:bidi w:val="0"/>
              <w:spacing w:before="69" w:line="188" w:lineRule="auto"/>
              <w:ind w:left="205" w:leftChars="0" w:right="84" w:rightChars="40"/>
              <w:jc w:val="both"/>
              <w:rPr>
                <w:rFonts w:hint="eastAsia" w:ascii="宋体" w:hAnsi="宋体" w:eastAsia="宋体" w:cs="宋体"/>
                <w:snapToGrid w:val="0"/>
                <w:color w:val="auto"/>
                <w:spacing w:val="0"/>
                <w:sz w:val="24"/>
                <w:szCs w:val="24"/>
                <w:highlight w:val="none"/>
                <w:lang w:val="en-US" w:eastAsia="en-US" w:bidi="ar-SA"/>
              </w:rPr>
            </w:pPr>
            <w:r>
              <w:rPr>
                <w:rFonts w:hint="eastAsia" w:ascii="宋体" w:hAnsi="宋体" w:eastAsia="宋体" w:cs="宋体"/>
                <w:color w:val="auto"/>
                <w:spacing w:val="0"/>
                <w:sz w:val="24"/>
                <w:szCs w:val="24"/>
                <w:highlight w:val="none"/>
              </w:rPr>
              <w:t>28</w:t>
            </w:r>
          </w:p>
        </w:tc>
        <w:tc>
          <w:tcPr>
            <w:tcW w:w="2376" w:type="dxa"/>
            <w:vAlign w:val="center"/>
          </w:tcPr>
          <w:p w14:paraId="4CB5E433">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投标有效期</w:t>
            </w:r>
          </w:p>
        </w:tc>
        <w:tc>
          <w:tcPr>
            <w:tcW w:w="7146" w:type="dxa"/>
            <w:vAlign w:val="center"/>
          </w:tcPr>
          <w:p w14:paraId="3D83EF0A">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本次招标的投标有效期为</w:t>
            </w:r>
            <w:r>
              <w:rPr>
                <w:rFonts w:hint="eastAsia" w:ascii="宋体" w:hAnsi="宋体" w:eastAsia="宋体" w:cs="宋体"/>
                <w:snapToGrid w:val="0"/>
                <w:color w:val="auto"/>
                <w:spacing w:val="0"/>
                <w:kern w:val="0"/>
                <w:sz w:val="24"/>
                <w:szCs w:val="24"/>
                <w:highlight w:val="none"/>
                <w:u w:val="single"/>
                <w:lang w:eastAsia="zh-CN"/>
              </w:rPr>
              <w:t>90</w:t>
            </w:r>
            <w:r>
              <w:rPr>
                <w:rFonts w:hint="eastAsia" w:ascii="宋体" w:hAnsi="宋体" w:eastAsia="宋体" w:cs="宋体"/>
                <w:snapToGrid w:val="0"/>
                <w:color w:val="auto"/>
                <w:spacing w:val="0"/>
                <w:kern w:val="0"/>
                <w:sz w:val="24"/>
                <w:szCs w:val="24"/>
                <w:highlight w:val="none"/>
                <w:lang w:eastAsia="zh-CN"/>
              </w:rPr>
              <w:t xml:space="preserve"> 个日历天。</w:t>
            </w:r>
          </w:p>
        </w:tc>
      </w:tr>
      <w:tr w14:paraId="6150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582" w:type="dxa"/>
            <w:shd w:val="clear" w:color="auto" w:fill="auto"/>
            <w:vAlign w:val="center"/>
          </w:tcPr>
          <w:p w14:paraId="75B295D4">
            <w:pPr>
              <w:keepNext w:val="0"/>
              <w:keepLines w:val="0"/>
              <w:pageBreakBefore w:val="0"/>
              <w:kinsoku/>
              <w:wordWrap w:val="0"/>
              <w:overflowPunct/>
              <w:topLinePunct w:val="0"/>
              <w:bidi w:val="0"/>
              <w:spacing w:before="69" w:line="188" w:lineRule="auto"/>
              <w:ind w:left="205" w:leftChars="0" w:right="84" w:rightChars="40"/>
              <w:jc w:val="both"/>
              <w:rPr>
                <w:rFonts w:hint="eastAsia" w:ascii="宋体" w:hAnsi="宋体" w:eastAsia="宋体" w:cs="宋体"/>
                <w:snapToGrid w:val="0"/>
                <w:color w:val="auto"/>
                <w:spacing w:val="0"/>
                <w:sz w:val="24"/>
                <w:szCs w:val="24"/>
                <w:highlight w:val="none"/>
                <w:lang w:val="en-US" w:eastAsia="en-US" w:bidi="ar-SA"/>
              </w:rPr>
            </w:pPr>
            <w:r>
              <w:rPr>
                <w:rFonts w:hint="eastAsia" w:ascii="宋体" w:hAnsi="宋体" w:eastAsia="宋体" w:cs="宋体"/>
                <w:color w:val="auto"/>
                <w:spacing w:val="0"/>
                <w:sz w:val="24"/>
                <w:szCs w:val="24"/>
                <w:highlight w:val="none"/>
              </w:rPr>
              <w:t>29</w:t>
            </w:r>
          </w:p>
        </w:tc>
        <w:tc>
          <w:tcPr>
            <w:tcW w:w="2376" w:type="dxa"/>
            <w:vAlign w:val="center"/>
          </w:tcPr>
          <w:p w14:paraId="4BFBD8CB">
            <w:pPr>
              <w:keepNext w:val="0"/>
              <w:keepLines w:val="0"/>
              <w:pageBreakBefore w:val="0"/>
              <w:widowControl w:val="0"/>
              <w:kinsoku/>
              <w:wordWrap w:val="0"/>
              <w:autoSpaceDE/>
              <w:autoSpaceDN/>
              <w:bidi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sz w:val="24"/>
                <w:szCs w:val="24"/>
                <w:highlight w:val="none"/>
                <w:lang w:eastAsia="zh-CN"/>
              </w:rPr>
              <w:t>投标文件组成</w:t>
            </w:r>
          </w:p>
        </w:tc>
        <w:tc>
          <w:tcPr>
            <w:tcW w:w="7146" w:type="dxa"/>
            <w:vAlign w:val="center"/>
          </w:tcPr>
          <w:p w14:paraId="142ADE0B">
            <w:pPr>
              <w:keepNext w:val="0"/>
              <w:keepLines w:val="0"/>
              <w:pageBreakBefore w:val="0"/>
              <w:widowControl w:val="0"/>
              <w:kinsoku/>
              <w:wordWrap w:val="0"/>
              <w:autoSpaceDE/>
              <w:autoSpaceDN/>
              <w:bidi w:val="0"/>
              <w:spacing w:line="400" w:lineRule="exact"/>
              <w:ind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sz w:val="24"/>
                <w:szCs w:val="24"/>
                <w:highlight w:val="none"/>
                <w:lang w:eastAsia="zh-CN"/>
              </w:rPr>
              <w:t>投标文件包括商务标书、经济标书、施工组织设计、定标文件四个分册。</w:t>
            </w:r>
          </w:p>
        </w:tc>
      </w:tr>
      <w:tr w14:paraId="5A82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trPr>
        <w:tc>
          <w:tcPr>
            <w:tcW w:w="582" w:type="dxa"/>
            <w:shd w:val="clear" w:color="auto" w:fill="auto"/>
            <w:vAlign w:val="center"/>
          </w:tcPr>
          <w:p w14:paraId="30846F92">
            <w:pPr>
              <w:keepNext w:val="0"/>
              <w:keepLines w:val="0"/>
              <w:pageBreakBefore w:val="0"/>
              <w:kinsoku/>
              <w:wordWrap w:val="0"/>
              <w:overflowPunct/>
              <w:topLinePunct w:val="0"/>
              <w:bidi w:val="0"/>
              <w:spacing w:before="69" w:line="188" w:lineRule="auto"/>
              <w:ind w:left="209" w:leftChars="0" w:right="84" w:rightChars="40"/>
              <w:jc w:val="both"/>
              <w:rPr>
                <w:rFonts w:hint="eastAsia" w:ascii="宋体" w:hAnsi="宋体" w:eastAsia="宋体" w:cs="宋体"/>
                <w:snapToGrid w:val="0"/>
                <w:color w:val="auto"/>
                <w:spacing w:val="0"/>
                <w:sz w:val="24"/>
                <w:szCs w:val="24"/>
                <w:highlight w:val="none"/>
                <w:lang w:val="en-US" w:eastAsia="en-US" w:bidi="ar-SA"/>
              </w:rPr>
            </w:pPr>
            <w:r>
              <w:rPr>
                <w:rFonts w:hint="eastAsia" w:ascii="宋体" w:hAnsi="宋体" w:eastAsia="宋体" w:cs="宋体"/>
                <w:color w:val="auto"/>
                <w:spacing w:val="0"/>
                <w:sz w:val="24"/>
                <w:szCs w:val="24"/>
                <w:highlight w:val="none"/>
              </w:rPr>
              <w:t>30</w:t>
            </w:r>
          </w:p>
        </w:tc>
        <w:tc>
          <w:tcPr>
            <w:tcW w:w="2376" w:type="dxa"/>
            <w:vAlign w:val="center"/>
          </w:tcPr>
          <w:p w14:paraId="0FC3CC31">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施工组织设计评审方式</w:t>
            </w:r>
          </w:p>
        </w:tc>
        <w:tc>
          <w:tcPr>
            <w:tcW w:w="7146" w:type="dxa"/>
            <w:vAlign w:val="center"/>
          </w:tcPr>
          <w:p w14:paraId="4C6491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本次招标施工组织设计</w:t>
            </w:r>
            <w:r>
              <w:rPr>
                <w:rFonts w:hint="eastAsia" w:ascii="宋体" w:hAnsi="宋体" w:eastAsia="宋体" w:cs="宋体"/>
                <w:snapToGrid w:val="0"/>
                <w:color w:val="auto"/>
                <w:spacing w:val="0"/>
                <w:kern w:val="0"/>
                <w:sz w:val="24"/>
                <w:szCs w:val="24"/>
                <w:highlight w:val="none"/>
                <w:u w:val="single"/>
                <w:lang w:eastAsia="zh-CN"/>
              </w:rPr>
              <w:t xml:space="preserve"> 不采用 </w:t>
            </w:r>
            <w:r>
              <w:rPr>
                <w:rFonts w:hint="eastAsia" w:ascii="宋体" w:hAnsi="宋体" w:eastAsia="宋体" w:cs="宋体"/>
                <w:snapToGrid w:val="0"/>
                <w:color w:val="auto"/>
                <w:spacing w:val="0"/>
                <w:kern w:val="0"/>
                <w:sz w:val="24"/>
                <w:szCs w:val="24"/>
                <w:highlight w:val="none"/>
                <w:lang w:eastAsia="zh-CN"/>
              </w:rPr>
              <w:t>“暗标”方式进行评审。</w:t>
            </w:r>
          </w:p>
        </w:tc>
      </w:tr>
      <w:tr w14:paraId="253B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3" w:hRule="atLeast"/>
        </w:trPr>
        <w:tc>
          <w:tcPr>
            <w:tcW w:w="582" w:type="dxa"/>
            <w:shd w:val="clear" w:color="auto" w:fill="auto"/>
            <w:vAlign w:val="center"/>
          </w:tcPr>
          <w:p w14:paraId="78D49806">
            <w:pPr>
              <w:keepNext w:val="0"/>
              <w:keepLines w:val="0"/>
              <w:pageBreakBefore w:val="0"/>
              <w:kinsoku/>
              <w:wordWrap w:val="0"/>
              <w:overflowPunct/>
              <w:topLinePunct w:val="0"/>
              <w:bidi w:val="0"/>
              <w:spacing w:before="258" w:line="188" w:lineRule="auto"/>
              <w:ind w:left="209" w:leftChars="0" w:right="84" w:rightChars="40"/>
              <w:jc w:val="both"/>
              <w:rPr>
                <w:rFonts w:hint="eastAsia" w:ascii="宋体" w:hAnsi="宋体" w:eastAsia="宋体" w:cs="宋体"/>
                <w:snapToGrid w:val="0"/>
                <w:color w:val="auto"/>
                <w:spacing w:val="0"/>
                <w:sz w:val="24"/>
                <w:szCs w:val="24"/>
                <w:highlight w:val="none"/>
                <w:lang w:val="en-US" w:eastAsia="en-US" w:bidi="ar-SA"/>
              </w:rPr>
            </w:pPr>
            <w:r>
              <w:rPr>
                <w:rFonts w:hint="eastAsia" w:ascii="宋体" w:hAnsi="宋体" w:eastAsia="宋体" w:cs="宋体"/>
                <w:color w:val="auto"/>
                <w:spacing w:val="0"/>
                <w:sz w:val="24"/>
                <w:szCs w:val="24"/>
                <w:highlight w:val="none"/>
              </w:rPr>
              <w:t>31</w:t>
            </w:r>
          </w:p>
        </w:tc>
        <w:tc>
          <w:tcPr>
            <w:tcW w:w="2376" w:type="dxa"/>
            <w:vAlign w:val="center"/>
          </w:tcPr>
          <w:p w14:paraId="65ACF683">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评标委员会</w:t>
            </w:r>
          </w:p>
        </w:tc>
        <w:tc>
          <w:tcPr>
            <w:tcW w:w="7146" w:type="dxa"/>
            <w:vAlign w:val="top"/>
          </w:tcPr>
          <w:p w14:paraId="5859F59B">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评标委员会由 5 人组成，其中招标人代表 0 人，专家 5 人。专家从广东省综合评标评审专家库</w:t>
            </w:r>
            <w:r>
              <w:rPr>
                <w:rFonts w:hint="eastAsia" w:ascii="宋体" w:hAnsi="宋体" w:eastAsia="宋体" w:cs="宋体"/>
                <w:snapToGrid w:val="0"/>
                <w:color w:val="auto"/>
                <w:spacing w:val="0"/>
                <w:kern w:val="0"/>
                <w:sz w:val="24"/>
                <w:szCs w:val="24"/>
                <w:highlight w:val="none"/>
                <w:u w:val="none"/>
                <w:lang w:val="en-US" w:eastAsia="zh-CN"/>
              </w:rPr>
              <w:t>-</w:t>
            </w:r>
            <w:r>
              <w:rPr>
                <w:rFonts w:hint="eastAsia" w:ascii="宋体" w:hAnsi="宋体" w:eastAsia="宋体" w:cs="宋体"/>
                <w:snapToGrid w:val="0"/>
                <w:color w:val="auto"/>
                <w:spacing w:val="0"/>
                <w:kern w:val="0"/>
                <w:sz w:val="24"/>
                <w:szCs w:val="24"/>
                <w:highlight w:val="none"/>
                <w:u w:val="none"/>
                <w:lang w:eastAsia="zh-CN"/>
              </w:rPr>
              <w:t>韶关</w:t>
            </w:r>
            <w:r>
              <w:rPr>
                <w:rFonts w:hint="eastAsia" w:ascii="宋体" w:hAnsi="宋体" w:eastAsia="宋体" w:cs="宋体"/>
                <w:snapToGrid w:val="0"/>
                <w:color w:val="auto"/>
                <w:spacing w:val="0"/>
                <w:kern w:val="0"/>
                <w:sz w:val="24"/>
                <w:szCs w:val="24"/>
                <w:highlight w:val="none"/>
                <w:u w:val="none"/>
                <w:lang w:val="en-US" w:eastAsia="zh-CN"/>
              </w:rPr>
              <w:t>市</w:t>
            </w:r>
            <w:r>
              <w:rPr>
                <w:rFonts w:hint="eastAsia" w:ascii="宋体" w:hAnsi="宋体" w:eastAsia="宋体" w:cs="宋体"/>
                <w:snapToGrid w:val="0"/>
                <w:color w:val="auto"/>
                <w:spacing w:val="0"/>
                <w:kern w:val="0"/>
                <w:sz w:val="24"/>
                <w:szCs w:val="24"/>
                <w:highlight w:val="none"/>
                <w:u w:val="none"/>
                <w:lang w:eastAsia="zh-CN"/>
              </w:rPr>
              <w:t>区域</w:t>
            </w:r>
            <w:r>
              <w:rPr>
                <w:rFonts w:hint="eastAsia" w:ascii="宋体" w:hAnsi="宋体" w:eastAsia="宋体" w:cs="宋体"/>
                <w:snapToGrid w:val="0"/>
                <w:color w:val="auto"/>
                <w:spacing w:val="0"/>
                <w:kern w:val="0"/>
                <w:sz w:val="24"/>
                <w:szCs w:val="24"/>
                <w:highlight w:val="none"/>
                <w:lang w:eastAsia="zh-CN"/>
              </w:rPr>
              <w:t>中随机抽取，其中技术类专家 3 人，经济类专家 2 人。</w:t>
            </w:r>
          </w:p>
        </w:tc>
      </w:tr>
      <w:tr w14:paraId="4DBB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shd w:val="clear" w:color="auto" w:fill="auto"/>
            <w:vAlign w:val="center"/>
          </w:tcPr>
          <w:p w14:paraId="52927E18">
            <w:pPr>
              <w:keepNext w:val="0"/>
              <w:keepLines w:val="0"/>
              <w:pageBreakBefore w:val="0"/>
              <w:kinsoku/>
              <w:wordWrap w:val="0"/>
              <w:bidi w:val="0"/>
              <w:spacing w:before="69" w:line="188" w:lineRule="auto"/>
              <w:ind w:left="209" w:leftChars="0" w:right="84" w:rightChars="40"/>
              <w:jc w:val="both"/>
              <w:rPr>
                <w:rFonts w:hint="eastAsia" w:ascii="宋体" w:hAnsi="宋体" w:eastAsia="宋体" w:cs="宋体"/>
                <w:snapToGrid w:val="0"/>
                <w:color w:val="auto"/>
                <w:spacing w:val="0"/>
                <w:sz w:val="24"/>
                <w:szCs w:val="24"/>
                <w:highlight w:val="none"/>
                <w:lang w:val="en-US" w:eastAsia="en-US" w:bidi="ar-SA"/>
              </w:rPr>
            </w:pPr>
            <w:r>
              <w:rPr>
                <w:rFonts w:hint="eastAsia" w:ascii="宋体" w:hAnsi="宋体" w:eastAsia="宋体" w:cs="宋体"/>
                <w:color w:val="auto"/>
                <w:sz w:val="24"/>
                <w:szCs w:val="24"/>
                <w:highlight w:val="none"/>
                <w:lang w:eastAsia="zh-CN"/>
              </w:rPr>
              <w:t>32</w:t>
            </w:r>
          </w:p>
        </w:tc>
        <w:tc>
          <w:tcPr>
            <w:tcW w:w="2376" w:type="dxa"/>
            <w:vAlign w:val="center"/>
          </w:tcPr>
          <w:p w14:paraId="3720AA4B">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评标方法</w:t>
            </w:r>
          </w:p>
        </w:tc>
        <w:tc>
          <w:tcPr>
            <w:tcW w:w="7146" w:type="dxa"/>
            <w:vAlign w:val="center"/>
          </w:tcPr>
          <w:p w14:paraId="3B1753D9">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 A＋B 值评标法  □经评审的最低投标价法   ☑综合评估法</w:t>
            </w:r>
          </w:p>
        </w:tc>
      </w:tr>
      <w:tr w14:paraId="06F9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shd w:val="clear" w:color="auto" w:fill="auto"/>
            <w:vAlign w:val="center"/>
          </w:tcPr>
          <w:p w14:paraId="34AFF4A1">
            <w:pPr>
              <w:keepNext w:val="0"/>
              <w:keepLines w:val="0"/>
              <w:pageBreakBefore w:val="0"/>
              <w:widowControl w:val="0"/>
              <w:kinsoku/>
              <w:wordWrap w:val="0"/>
              <w:autoSpaceDE/>
              <w:autoSpaceDN/>
              <w:bidi w:val="0"/>
              <w:adjustRightInd/>
              <w:snapToGrid/>
              <w:spacing w:line="400" w:lineRule="exact"/>
              <w:ind w:right="84" w:rightChars="40"/>
              <w:jc w:val="center"/>
              <w:textAlignment w:val="auto"/>
              <w:rPr>
                <w:rFonts w:hint="eastAsia" w:ascii="宋体" w:hAnsi="宋体" w:eastAsia="宋体" w:cs="宋体"/>
                <w:snapToGrid w:val="0"/>
                <w:color w:val="auto"/>
                <w:spacing w:val="0"/>
                <w:sz w:val="24"/>
                <w:szCs w:val="24"/>
                <w:highlight w:val="none"/>
                <w:lang w:val="en-US" w:eastAsia="en-US" w:bidi="ar-SA"/>
              </w:rPr>
            </w:pPr>
            <w:r>
              <w:rPr>
                <w:rFonts w:hint="eastAsia" w:ascii="宋体" w:hAnsi="宋体" w:eastAsia="宋体" w:cs="宋体"/>
                <w:color w:val="auto"/>
                <w:sz w:val="24"/>
                <w:szCs w:val="24"/>
                <w:highlight w:val="none"/>
                <w:lang w:eastAsia="zh-CN"/>
              </w:rPr>
              <w:t>33</w:t>
            </w:r>
          </w:p>
        </w:tc>
        <w:tc>
          <w:tcPr>
            <w:tcW w:w="2376" w:type="dxa"/>
            <w:vAlign w:val="center"/>
          </w:tcPr>
          <w:p w14:paraId="54159718">
            <w:pPr>
              <w:keepNext w:val="0"/>
              <w:keepLines w:val="0"/>
              <w:pageBreakBefore w:val="0"/>
              <w:widowControl w:val="0"/>
              <w:kinsoku/>
              <w:wordWrap w:val="0"/>
              <w:autoSpaceDE/>
              <w:autoSpaceDN/>
              <w:bidi w:val="0"/>
              <w:adjustRightInd/>
              <w:snapToGrid/>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p>
        </w:tc>
        <w:tc>
          <w:tcPr>
            <w:tcW w:w="7146" w:type="dxa"/>
            <w:vAlign w:val="center"/>
          </w:tcPr>
          <w:p w14:paraId="1AB55988">
            <w:pPr>
              <w:keepNext w:val="0"/>
              <w:keepLines w:val="0"/>
              <w:pageBreakBefore w:val="0"/>
              <w:widowControl w:val="0"/>
              <w:kinsoku/>
              <w:autoSpaceDE/>
              <w:autoSpaceDN/>
              <w:bidi w:val="0"/>
              <w:adjustRightInd/>
              <w:snapToGrid/>
              <w:spacing w:line="400" w:lineRule="exact"/>
              <w:ind w:left="105" w:leftChars="50" w:right="84" w:rightChars="40"/>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sz w:val="24"/>
                <w:szCs w:val="24"/>
                <w:highlight w:val="none"/>
                <w:lang w:eastAsia="zh-CN"/>
              </w:rPr>
              <w:t>本项目定标委员会组成人员为</w:t>
            </w:r>
            <w:r>
              <w:rPr>
                <w:rFonts w:hint="eastAsia" w:ascii="宋体" w:hAnsi="宋体" w:eastAsia="宋体" w:cs="宋体"/>
                <w:color w:val="auto"/>
                <w:sz w:val="24"/>
                <w:szCs w:val="24"/>
                <w:highlight w:val="none"/>
                <w:u w:val="single"/>
                <w:lang w:eastAsia="zh-CN"/>
              </w:rPr>
              <w:t xml:space="preserve"> 7 </w:t>
            </w:r>
            <w:r>
              <w:rPr>
                <w:rFonts w:hint="eastAsia" w:ascii="宋体" w:hAnsi="宋体" w:eastAsia="宋体" w:cs="宋体"/>
                <w:color w:val="auto"/>
                <w:sz w:val="24"/>
                <w:szCs w:val="24"/>
                <w:highlight w:val="none"/>
                <w:lang w:eastAsia="zh-CN"/>
              </w:rPr>
              <w:t>人。</w:t>
            </w:r>
          </w:p>
        </w:tc>
      </w:tr>
      <w:tr w14:paraId="574D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shd w:val="clear" w:color="auto" w:fill="auto"/>
            <w:vAlign w:val="center"/>
          </w:tcPr>
          <w:p w14:paraId="0D91F791">
            <w:pPr>
              <w:keepNext w:val="0"/>
              <w:keepLines w:val="0"/>
              <w:pageBreakBefore w:val="0"/>
              <w:widowControl w:val="0"/>
              <w:kinsoku/>
              <w:wordWrap w:val="0"/>
              <w:autoSpaceDE/>
              <w:autoSpaceDN/>
              <w:bidi w:val="0"/>
              <w:adjustRightInd/>
              <w:snapToGrid/>
              <w:spacing w:line="400" w:lineRule="exact"/>
              <w:ind w:right="84" w:rightChars="40"/>
              <w:jc w:val="center"/>
              <w:textAlignment w:val="auto"/>
              <w:rPr>
                <w:rFonts w:hint="eastAsia" w:ascii="宋体" w:hAnsi="宋体" w:eastAsia="宋体" w:cs="宋体"/>
                <w:snapToGrid w:val="0"/>
                <w:color w:val="auto"/>
                <w:spacing w:val="0"/>
                <w:sz w:val="24"/>
                <w:szCs w:val="24"/>
                <w:highlight w:val="none"/>
                <w:lang w:val="en-US" w:eastAsia="en-US" w:bidi="ar-SA"/>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4</w:t>
            </w:r>
          </w:p>
        </w:tc>
        <w:tc>
          <w:tcPr>
            <w:tcW w:w="2376" w:type="dxa"/>
            <w:vAlign w:val="center"/>
          </w:tcPr>
          <w:p w14:paraId="79AAF6E1">
            <w:pPr>
              <w:keepNext w:val="0"/>
              <w:keepLines w:val="0"/>
              <w:pageBreakBefore w:val="0"/>
              <w:widowControl w:val="0"/>
              <w:kinsoku/>
              <w:wordWrap w:val="0"/>
              <w:autoSpaceDE/>
              <w:autoSpaceDN/>
              <w:bidi w:val="0"/>
              <w:adjustRightInd/>
              <w:snapToGrid/>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sz w:val="24"/>
                <w:szCs w:val="24"/>
                <w:highlight w:val="none"/>
                <w:lang w:eastAsia="zh-CN"/>
              </w:rPr>
              <w:t>定标办法</w:t>
            </w:r>
          </w:p>
        </w:tc>
        <w:tc>
          <w:tcPr>
            <w:tcW w:w="7146" w:type="dxa"/>
            <w:vAlign w:val="center"/>
          </w:tcPr>
          <w:p w14:paraId="1209EC1A">
            <w:pPr>
              <w:keepNext w:val="0"/>
              <w:keepLines w:val="0"/>
              <w:pageBreakBefore w:val="0"/>
              <w:widowControl w:val="0"/>
              <w:kinsoku/>
              <w:autoSpaceDE/>
              <w:autoSpaceDN/>
              <w:bidi w:val="0"/>
              <w:adjustRightInd/>
              <w:snapToGrid/>
              <w:spacing w:line="400" w:lineRule="exact"/>
              <w:ind w:left="105" w:leftChars="50" w:right="84" w:rightChars="4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本项目采用</w:t>
            </w:r>
            <w:r>
              <w:rPr>
                <w:rFonts w:hint="eastAsia" w:ascii="宋体" w:hAnsi="宋体" w:eastAsia="宋体" w:cs="宋体"/>
                <w:b/>
                <w:color w:val="auto"/>
                <w:sz w:val="24"/>
                <w:szCs w:val="24"/>
                <w:highlight w:val="none"/>
                <w:lang w:eastAsia="zh-CN"/>
              </w:rPr>
              <w:t>评定分离</w:t>
            </w:r>
            <w:r>
              <w:rPr>
                <w:rFonts w:hint="eastAsia" w:ascii="宋体" w:hAnsi="宋体" w:eastAsia="宋体" w:cs="宋体"/>
                <w:bCs/>
                <w:color w:val="auto"/>
                <w:sz w:val="24"/>
                <w:szCs w:val="24"/>
                <w:highlight w:val="none"/>
                <w:lang w:eastAsia="zh-CN"/>
              </w:rPr>
              <w:t>，应选定下列定标办法：</w:t>
            </w:r>
          </w:p>
          <w:p w14:paraId="5BD1FC33">
            <w:pPr>
              <w:keepNext w:val="0"/>
              <w:keepLines w:val="0"/>
              <w:pageBreakBefore w:val="0"/>
              <w:widowControl w:val="0"/>
              <w:kinsoku/>
              <w:autoSpaceDE/>
              <w:autoSpaceDN/>
              <w:bidi w:val="0"/>
              <w:adjustRightInd/>
              <w:snapToGrid/>
              <w:spacing w:line="400" w:lineRule="exact"/>
              <w:ind w:left="105" w:leftChars="50" w:right="84" w:rightChars="4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☑票决数量法</w:t>
            </w:r>
          </w:p>
          <w:p w14:paraId="20E3BCC8">
            <w:pPr>
              <w:keepNext w:val="0"/>
              <w:keepLines w:val="0"/>
              <w:pageBreakBefore w:val="0"/>
              <w:widowControl w:val="0"/>
              <w:kinsoku/>
              <w:autoSpaceDE/>
              <w:autoSpaceDN/>
              <w:bidi w:val="0"/>
              <w:adjustRightInd/>
              <w:snapToGrid/>
              <w:spacing w:line="400" w:lineRule="exact"/>
              <w:ind w:left="105" w:leftChars="50" w:right="84" w:rightChars="4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□票决计分法</w:t>
            </w:r>
          </w:p>
          <w:p w14:paraId="2AE3A62C">
            <w:pPr>
              <w:keepNext w:val="0"/>
              <w:keepLines w:val="0"/>
              <w:pageBreakBefore w:val="0"/>
              <w:widowControl w:val="0"/>
              <w:kinsoku/>
              <w:autoSpaceDE/>
              <w:autoSpaceDN/>
              <w:bidi w:val="0"/>
              <w:adjustRightInd/>
              <w:snapToGrid/>
              <w:spacing w:line="400" w:lineRule="exact"/>
              <w:ind w:left="105" w:leftChars="50" w:right="84" w:rightChars="4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□集体议事法</w:t>
            </w:r>
          </w:p>
          <w:p w14:paraId="247111D6">
            <w:pPr>
              <w:keepNext w:val="0"/>
              <w:keepLines w:val="0"/>
              <w:pageBreakBefore w:val="0"/>
              <w:widowControl w:val="0"/>
              <w:kinsoku/>
              <w:autoSpaceDE/>
              <w:autoSpaceDN/>
              <w:bidi w:val="0"/>
              <w:adjustRightInd/>
              <w:snapToGrid/>
              <w:spacing w:line="400" w:lineRule="exact"/>
              <w:ind w:left="105" w:leftChars="50" w:right="84" w:rightChars="40"/>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bCs/>
                <w:color w:val="auto"/>
                <w:sz w:val="24"/>
                <w:szCs w:val="24"/>
                <w:highlight w:val="none"/>
                <w:lang w:eastAsia="zh-CN"/>
              </w:rPr>
              <w:t>□其他方法：</w:t>
            </w:r>
          </w:p>
        </w:tc>
      </w:tr>
      <w:tr w14:paraId="3464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53B59C7D">
            <w:pPr>
              <w:keepNext w:val="0"/>
              <w:keepLines w:val="0"/>
              <w:pageBreakBefore w:val="0"/>
              <w:widowControl w:val="0"/>
              <w:kinsoku/>
              <w:wordWrap w:val="0"/>
              <w:autoSpaceDE/>
              <w:autoSpaceDN/>
              <w:bidi w:val="0"/>
              <w:adjustRightInd/>
              <w:snapToGrid/>
              <w:spacing w:line="400" w:lineRule="exact"/>
              <w:ind w:right="84" w:rightChars="40"/>
              <w:jc w:val="center"/>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w:t>
            </w:r>
            <w:r>
              <w:rPr>
                <w:rFonts w:hint="eastAsia" w:ascii="宋体" w:hAnsi="宋体" w:eastAsia="宋体" w:cs="宋体"/>
                <w:color w:val="auto"/>
                <w:spacing w:val="0"/>
                <w:sz w:val="24"/>
                <w:szCs w:val="24"/>
                <w:highlight w:val="none"/>
                <w:lang w:val="en-US" w:eastAsia="zh-CN"/>
              </w:rPr>
              <w:t>5</w:t>
            </w:r>
          </w:p>
        </w:tc>
        <w:tc>
          <w:tcPr>
            <w:tcW w:w="2376" w:type="dxa"/>
            <w:vAlign w:val="center"/>
          </w:tcPr>
          <w:p w14:paraId="7F0B1E34">
            <w:pPr>
              <w:keepNext w:val="0"/>
              <w:keepLines w:val="0"/>
              <w:pageBreakBefore w:val="0"/>
              <w:widowControl w:val="0"/>
              <w:kinsoku/>
              <w:wordWrap w:val="0"/>
              <w:autoSpaceDE/>
              <w:autoSpaceDN/>
              <w:bidi w:val="0"/>
              <w:adjustRightInd/>
              <w:snapToGrid/>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sz w:val="24"/>
                <w:szCs w:val="24"/>
                <w:highlight w:val="none"/>
                <w:lang w:eastAsia="zh-CN"/>
              </w:rPr>
              <w:t>投标文件编制及份数要求</w:t>
            </w:r>
          </w:p>
        </w:tc>
        <w:tc>
          <w:tcPr>
            <w:tcW w:w="7146" w:type="dxa"/>
            <w:vAlign w:val="center"/>
          </w:tcPr>
          <w:p w14:paraId="2375DD06">
            <w:pPr>
              <w:keepNext w:val="0"/>
              <w:keepLines w:val="0"/>
              <w:pageBreakBefore w:val="0"/>
              <w:widowControl w:val="0"/>
              <w:kinsoku/>
              <w:wordWrap w:val="0"/>
              <w:autoSpaceDE/>
              <w:autoSpaceDN/>
              <w:bidi w:val="0"/>
              <w:spacing w:line="400" w:lineRule="exact"/>
              <w:ind w:right="84" w:rightChars="40"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投标人须上传（递交）投标文件：</w:t>
            </w:r>
          </w:p>
          <w:p w14:paraId="1FF287EC">
            <w:pPr>
              <w:keepNext w:val="0"/>
              <w:keepLines w:val="0"/>
              <w:pageBreakBefore w:val="0"/>
              <w:widowControl w:val="0"/>
              <w:kinsoku/>
              <w:wordWrap w:val="0"/>
              <w:autoSpaceDE/>
              <w:autoSpaceDN/>
              <w:bidi w:val="0"/>
              <w:spacing w:line="400" w:lineRule="exact"/>
              <w:ind w:right="84" w:rightChars="40"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1、电子投标文件一套：</w:t>
            </w:r>
          </w:p>
          <w:p w14:paraId="4CAA3894">
            <w:pPr>
              <w:keepNext w:val="0"/>
              <w:keepLines w:val="0"/>
              <w:pageBreakBefore w:val="0"/>
              <w:widowControl w:val="0"/>
              <w:kinsoku/>
              <w:wordWrap w:val="0"/>
              <w:autoSpaceDE/>
              <w:autoSpaceDN/>
              <w:bidi w:val="0"/>
              <w:spacing w:line="400" w:lineRule="exact"/>
              <w:ind w:right="84" w:rightChars="40"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（1）商务标书1份；</w:t>
            </w:r>
          </w:p>
          <w:p w14:paraId="5BCEFDEC">
            <w:pPr>
              <w:keepNext w:val="0"/>
              <w:keepLines w:val="0"/>
              <w:pageBreakBefore w:val="0"/>
              <w:widowControl w:val="0"/>
              <w:kinsoku/>
              <w:wordWrap w:val="0"/>
              <w:autoSpaceDE/>
              <w:autoSpaceDN/>
              <w:bidi w:val="0"/>
              <w:spacing w:line="400" w:lineRule="exact"/>
              <w:ind w:right="84" w:rightChars="40"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（2）经济标书1份；</w:t>
            </w:r>
          </w:p>
          <w:p w14:paraId="431B3130">
            <w:pPr>
              <w:keepNext w:val="0"/>
              <w:keepLines w:val="0"/>
              <w:pageBreakBefore w:val="0"/>
              <w:widowControl w:val="0"/>
              <w:kinsoku/>
              <w:wordWrap w:val="0"/>
              <w:autoSpaceDE/>
              <w:autoSpaceDN/>
              <w:bidi w:val="0"/>
              <w:spacing w:line="400" w:lineRule="exact"/>
              <w:ind w:right="84" w:rightChars="40"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（3）施工组织设计1份； </w:t>
            </w:r>
          </w:p>
          <w:p w14:paraId="22E63715">
            <w:pPr>
              <w:keepNext w:val="0"/>
              <w:keepLines w:val="0"/>
              <w:pageBreakBefore w:val="0"/>
              <w:widowControl w:val="0"/>
              <w:kinsoku/>
              <w:wordWrap w:val="0"/>
              <w:autoSpaceDE/>
              <w:autoSpaceDN/>
              <w:bidi w:val="0"/>
              <w:spacing w:line="400" w:lineRule="exact"/>
              <w:ind w:right="84" w:rightChars="40"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（4）定标文件1份；</w:t>
            </w:r>
          </w:p>
          <w:p w14:paraId="0B6AF076">
            <w:pPr>
              <w:keepNext w:val="0"/>
              <w:keepLines w:val="0"/>
              <w:pageBreakBefore w:val="0"/>
              <w:widowControl w:val="0"/>
              <w:kinsoku/>
              <w:wordWrap w:val="0"/>
              <w:autoSpaceDE/>
              <w:autoSpaceDN/>
              <w:bidi w:val="0"/>
              <w:spacing w:line="400" w:lineRule="exact"/>
              <w:ind w:right="84" w:rightChars="40"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2、对应评审要求的分项响应文件（如有）。</w:t>
            </w:r>
          </w:p>
          <w:p w14:paraId="603DA691">
            <w:pPr>
              <w:keepNext w:val="0"/>
              <w:keepLines w:val="0"/>
              <w:pageBreakBefore w:val="0"/>
              <w:widowControl w:val="0"/>
              <w:kinsoku/>
              <w:wordWrap w:val="0"/>
              <w:autoSpaceDE/>
              <w:autoSpaceDN/>
              <w:bidi w:val="0"/>
              <w:spacing w:line="400" w:lineRule="exact"/>
              <w:ind w:right="84" w:rightChars="40"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1C1A8E4A">
            <w:pPr>
              <w:keepNext w:val="0"/>
              <w:keepLines w:val="0"/>
              <w:pageBreakBefore w:val="0"/>
              <w:widowControl w:val="0"/>
              <w:kinsoku/>
              <w:wordWrap w:val="0"/>
              <w:autoSpaceDE/>
              <w:autoSpaceDN/>
              <w:bidi w:val="0"/>
              <w:spacing w:line="400" w:lineRule="exact"/>
              <w:ind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sz w:val="24"/>
                <w:szCs w:val="24"/>
                <w:highlight w:val="none"/>
                <w:lang w:eastAsia="zh-CN"/>
              </w:rPr>
              <w:t>注：投标人被确定为中标人后，应从交易系统打印两套纸质投标文件（含签名盖章页），内容同电子投标文件，在签订本招标项目承包合同前提交给招标人。（除招标文件约定外，纸质标书须与电子标书一致，不一致的以电子标书为准）。</w:t>
            </w:r>
          </w:p>
        </w:tc>
      </w:tr>
      <w:tr w14:paraId="4E70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5" w:hRule="atLeast"/>
        </w:trPr>
        <w:tc>
          <w:tcPr>
            <w:tcW w:w="582" w:type="dxa"/>
            <w:vAlign w:val="center"/>
          </w:tcPr>
          <w:p w14:paraId="56B959FD">
            <w:pPr>
              <w:keepNext w:val="0"/>
              <w:keepLines w:val="0"/>
              <w:pageBreakBefore w:val="0"/>
              <w:kinsoku/>
              <w:wordWrap w:val="0"/>
              <w:overflowPunct/>
              <w:topLinePunct w:val="0"/>
              <w:bidi w:val="0"/>
              <w:spacing w:before="57" w:line="195" w:lineRule="auto"/>
              <w:ind w:right="84" w:rightChars="40"/>
              <w:jc w:val="center"/>
              <w:rPr>
                <w:rFonts w:hint="default"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36</w:t>
            </w:r>
          </w:p>
        </w:tc>
        <w:tc>
          <w:tcPr>
            <w:tcW w:w="2376" w:type="dxa"/>
            <w:vAlign w:val="center"/>
          </w:tcPr>
          <w:p w14:paraId="5FAEFFC6">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招标文件要求提交的用于评审的证书、证件、证明原件</w:t>
            </w:r>
          </w:p>
        </w:tc>
        <w:tc>
          <w:tcPr>
            <w:tcW w:w="7146" w:type="dxa"/>
            <w:vAlign w:val="top"/>
          </w:tcPr>
          <w:p w14:paraId="71660F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投标人在提交用于评审的证书、证件、证明原件的，投标人应自行将所需原件密封于文件袋（箱）中，并自行准备两张“原件一览表 ”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7F0F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2" w:hRule="atLeast"/>
        </w:trPr>
        <w:tc>
          <w:tcPr>
            <w:tcW w:w="582" w:type="dxa"/>
            <w:vAlign w:val="center"/>
          </w:tcPr>
          <w:p w14:paraId="0C02E523">
            <w:pPr>
              <w:keepNext w:val="0"/>
              <w:keepLines w:val="0"/>
              <w:pageBreakBefore w:val="0"/>
              <w:kinsoku/>
              <w:wordWrap w:val="0"/>
              <w:overflowPunct/>
              <w:topLinePunct w:val="0"/>
              <w:bidi w:val="0"/>
              <w:spacing w:before="57" w:line="195" w:lineRule="auto"/>
              <w:ind w:right="84" w:rightChars="40"/>
              <w:jc w:val="center"/>
              <w:rPr>
                <w:rFonts w:hint="default"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37</w:t>
            </w:r>
          </w:p>
        </w:tc>
        <w:tc>
          <w:tcPr>
            <w:tcW w:w="2376" w:type="dxa"/>
            <w:vAlign w:val="center"/>
          </w:tcPr>
          <w:p w14:paraId="5FD4DDE9">
            <w:pPr>
              <w:pStyle w:val="56"/>
              <w:keepNext w:val="0"/>
              <w:keepLines w:val="0"/>
              <w:pageBreakBefore w:val="0"/>
              <w:widowControl w:val="0"/>
              <w:tabs>
                <w:tab w:val="left" w:pos="1890"/>
              </w:tabs>
              <w:kinsoku/>
              <w:wordWrap/>
              <w:overflowPunct/>
              <w:topLinePunct w:val="0"/>
              <w:autoSpaceDE/>
              <w:autoSpaceDN/>
              <w:bidi w:val="0"/>
              <w:adjustRightInd/>
              <w:snapToGrid/>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sz w:val="24"/>
                <w:szCs w:val="24"/>
                <w:highlight w:val="none"/>
              </w:rPr>
              <w:t>投标保证</w:t>
            </w:r>
          </w:p>
        </w:tc>
        <w:tc>
          <w:tcPr>
            <w:tcW w:w="7146" w:type="dxa"/>
            <w:vAlign w:val="center"/>
          </w:tcPr>
          <w:p w14:paraId="56062477">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400" w:lineRule="exact"/>
              <w:ind w:right="84" w:rightChars="40" w:firstLine="240" w:firstLineChars="1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1.投标人须缴纳金额为人民币</w:t>
            </w:r>
            <w:r>
              <w:rPr>
                <w:rFonts w:hint="eastAsia" w:ascii="宋体" w:hAnsi="宋体" w:eastAsia="宋体" w:cs="宋体"/>
                <w:color w:val="auto"/>
                <w:kern w:val="2"/>
                <w:sz w:val="24"/>
                <w:szCs w:val="24"/>
                <w:highlight w:val="none"/>
                <w:u w:val="single"/>
                <w:lang w:val="en-US" w:eastAsia="zh-CN" w:bidi="ar-SA"/>
              </w:rPr>
              <w:t>50000.00</w:t>
            </w:r>
            <w:r>
              <w:rPr>
                <w:rFonts w:hint="eastAsia" w:ascii="宋体" w:hAnsi="宋体" w:eastAsia="宋体" w:cs="宋体"/>
                <w:color w:val="auto"/>
                <w:kern w:val="2"/>
                <w:sz w:val="24"/>
                <w:szCs w:val="24"/>
                <w:highlight w:val="none"/>
                <w:lang w:val="en-US" w:eastAsia="zh-CN" w:bidi="ar-SA"/>
              </w:rPr>
              <w:t>元整的投标保证。联合体投标的，由联合体牵头人缴纳。</w:t>
            </w:r>
          </w:p>
          <w:p w14:paraId="11EE5013">
            <w:pPr>
              <w:keepNext w:val="0"/>
              <w:keepLines w:val="0"/>
              <w:pageBreakBefore w:val="0"/>
              <w:widowControl w:val="0"/>
              <w:tabs>
                <w:tab w:val="left" w:pos="1890"/>
              </w:tabs>
              <w:kinsoku/>
              <w:wordWrap/>
              <w:overflowPunct/>
              <w:topLinePunct w:val="0"/>
              <w:autoSpaceDE/>
              <w:autoSpaceDN/>
              <w:bidi w:val="0"/>
              <w:adjustRightInd/>
              <w:snapToGrid/>
              <w:spacing w:line="400" w:lineRule="exact"/>
              <w:ind w:right="84" w:rightChars="40" w:firstLine="240" w:firstLineChars="1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2.投标保证的形式包括投标保证金、投标保证担保、</w:t>
            </w:r>
            <w:r>
              <w:rPr>
                <w:rFonts w:hint="eastAsia" w:ascii="宋体" w:hAnsi="宋体" w:eastAsia="宋体" w:cs="宋体"/>
                <w:caps w:val="0"/>
                <w:smallCaps w:val="0"/>
                <w:snapToGrid/>
                <w:color w:val="auto"/>
                <w:spacing w:val="0"/>
                <w:kern w:val="2"/>
                <w:sz w:val="24"/>
                <w:szCs w:val="24"/>
                <w:highlight w:val="none"/>
                <w:lang w:val="en-US" w:eastAsia="zh-CN"/>
              </w:rPr>
              <w:t>投标保证保险三种</w:t>
            </w:r>
            <w:r>
              <w:rPr>
                <w:rFonts w:hint="eastAsia" w:ascii="宋体" w:hAnsi="宋体" w:eastAsia="宋体" w:cs="宋体"/>
                <w:color w:val="auto"/>
                <w:kern w:val="2"/>
                <w:sz w:val="24"/>
                <w:szCs w:val="24"/>
                <w:highlight w:val="none"/>
                <w:lang w:val="en-US" w:eastAsia="zh-CN" w:bidi="ar-SA"/>
              </w:rPr>
              <w:t>，由投标人自主选择。</w:t>
            </w:r>
          </w:p>
          <w:p w14:paraId="7EEF9119">
            <w:pPr>
              <w:keepNext w:val="0"/>
              <w:keepLines w:val="0"/>
              <w:pageBreakBefore w:val="0"/>
              <w:widowControl w:val="0"/>
              <w:tabs>
                <w:tab w:val="left" w:pos="1890"/>
              </w:tabs>
              <w:kinsoku/>
              <w:wordWrap/>
              <w:overflowPunct/>
              <w:topLinePunct w:val="0"/>
              <w:autoSpaceDE/>
              <w:autoSpaceDN/>
              <w:bidi w:val="0"/>
              <w:adjustRightInd/>
              <w:snapToGrid/>
              <w:spacing w:line="400" w:lineRule="exact"/>
              <w:ind w:right="84" w:rightChars="40" w:firstLine="240" w:firstLineChars="1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12FFB1E8">
            <w:pPr>
              <w:keepNext w:val="0"/>
              <w:keepLines w:val="0"/>
              <w:pageBreakBefore w:val="0"/>
              <w:widowControl w:val="0"/>
              <w:tabs>
                <w:tab w:val="left" w:pos="1890"/>
              </w:tabs>
              <w:kinsoku/>
              <w:wordWrap/>
              <w:overflowPunct/>
              <w:topLinePunct w:val="0"/>
              <w:autoSpaceDE/>
              <w:autoSpaceDN/>
              <w:bidi w:val="0"/>
              <w:adjustRightInd/>
              <w:snapToGrid/>
              <w:spacing w:line="400" w:lineRule="exact"/>
              <w:ind w:right="84" w:rightChars="40" w:firstLine="240" w:firstLineChars="1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76B7C9EE">
            <w:pPr>
              <w:keepNext w:val="0"/>
              <w:keepLines w:val="0"/>
              <w:pageBreakBefore w:val="0"/>
              <w:widowControl w:val="0"/>
              <w:tabs>
                <w:tab w:val="left" w:pos="1890"/>
              </w:tabs>
              <w:kinsoku/>
              <w:wordWrap/>
              <w:overflowPunct/>
              <w:topLinePunct w:val="0"/>
              <w:autoSpaceDE/>
              <w:autoSpaceDN/>
              <w:bidi w:val="0"/>
              <w:adjustRightInd/>
              <w:snapToGrid/>
              <w:spacing w:line="400" w:lineRule="exact"/>
              <w:ind w:right="84" w:rightChars="40" w:firstLine="240" w:firstLineChars="1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建设工程网上交易系统保险保证金缴纳操作指南》，了解网上投保具体操作流程。逾期投保的，其投标无效。</w:t>
            </w:r>
          </w:p>
          <w:p w14:paraId="1771D98E">
            <w:pPr>
              <w:keepNext w:val="0"/>
              <w:keepLines w:val="0"/>
              <w:pageBreakBefore w:val="0"/>
              <w:widowControl w:val="0"/>
              <w:tabs>
                <w:tab w:val="left" w:pos="1890"/>
              </w:tabs>
              <w:kinsoku/>
              <w:wordWrap/>
              <w:overflowPunct/>
              <w:topLinePunct w:val="0"/>
              <w:autoSpaceDE/>
              <w:autoSpaceDN/>
              <w:bidi w:val="0"/>
              <w:adjustRightInd/>
              <w:snapToGrid/>
              <w:spacing w:line="400" w:lineRule="exact"/>
              <w:ind w:right="84" w:rightChars="40" w:firstLine="240" w:firstLineChars="100"/>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kern w:val="2"/>
                <w:sz w:val="24"/>
                <w:szCs w:val="24"/>
                <w:highlight w:val="none"/>
                <w:lang w:val="en-US" w:eastAsia="zh-CN" w:bidi="ar-SA"/>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2D98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67" w:hRule="atLeast"/>
        </w:trPr>
        <w:tc>
          <w:tcPr>
            <w:tcW w:w="582" w:type="dxa"/>
            <w:shd w:val="clear" w:color="auto" w:fill="auto"/>
            <w:vAlign w:val="center"/>
          </w:tcPr>
          <w:p w14:paraId="0C69718A">
            <w:pPr>
              <w:keepNext w:val="0"/>
              <w:keepLines w:val="0"/>
              <w:pageBreakBefore w:val="0"/>
              <w:kinsoku/>
              <w:wordWrap w:val="0"/>
              <w:overflowPunct/>
              <w:topLinePunct w:val="0"/>
              <w:bidi w:val="0"/>
              <w:spacing w:before="69" w:line="188" w:lineRule="auto"/>
              <w:ind w:right="84" w:rightChars="40"/>
              <w:jc w:val="center"/>
              <w:rPr>
                <w:rFonts w:hint="eastAsia" w:ascii="宋体" w:hAnsi="宋体" w:eastAsia="宋体" w:cs="宋体"/>
                <w:snapToGrid w:val="0"/>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rPr>
              <w:t>38</w:t>
            </w:r>
          </w:p>
        </w:tc>
        <w:tc>
          <w:tcPr>
            <w:tcW w:w="2376" w:type="dxa"/>
            <w:vAlign w:val="center"/>
          </w:tcPr>
          <w:p w14:paraId="20A44A5F">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val="en-US" w:eastAsia="zh-CN"/>
              </w:rPr>
              <w:t>招标代理费</w:t>
            </w:r>
          </w:p>
        </w:tc>
        <w:tc>
          <w:tcPr>
            <w:tcW w:w="7146" w:type="dxa"/>
            <w:vAlign w:val="center"/>
          </w:tcPr>
          <w:p w14:paraId="0F863CAE">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sz w:val="24"/>
                <w:szCs w:val="24"/>
                <w:highlight w:val="none"/>
                <w:lang w:val="en-US" w:eastAsia="zh-CN"/>
              </w:rPr>
              <w:t>本项目的招标代理服务费和评标专家酬劳由中标人支付。招标代理服务费依据《招标代理服务收费管理暂行办法》（计价格【2002】1980号）规定的“工程类”收费标准下浮20%计算。该费用不再另行报价，由投标人在投标报价时综合考虑在内。评标专家酬劳以评标结束当日的评标专家酬劳签收表总额为准。中标人在领取中标通知书时向招标代理机构一次性支付。</w:t>
            </w:r>
          </w:p>
        </w:tc>
      </w:tr>
      <w:tr w14:paraId="7AAB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5" w:hRule="atLeast"/>
        </w:trPr>
        <w:tc>
          <w:tcPr>
            <w:tcW w:w="582" w:type="dxa"/>
            <w:shd w:val="clear" w:color="auto" w:fill="auto"/>
            <w:vAlign w:val="center"/>
          </w:tcPr>
          <w:p w14:paraId="75B13CC6">
            <w:pPr>
              <w:keepNext w:val="0"/>
              <w:keepLines w:val="0"/>
              <w:pageBreakBefore w:val="0"/>
              <w:kinsoku/>
              <w:wordWrap w:val="0"/>
              <w:overflowPunct/>
              <w:topLinePunct w:val="0"/>
              <w:bidi w:val="0"/>
              <w:spacing w:before="69" w:line="188" w:lineRule="auto"/>
              <w:ind w:right="84" w:rightChars="40"/>
              <w:jc w:val="center"/>
              <w:rPr>
                <w:rFonts w:hint="eastAsia" w:ascii="宋体" w:hAnsi="宋体" w:eastAsia="宋体" w:cs="宋体"/>
                <w:snapToGrid w:val="0"/>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eastAsia="zh-CN"/>
              </w:rPr>
              <w:t>3</w:t>
            </w:r>
            <w:r>
              <w:rPr>
                <w:rFonts w:hint="eastAsia" w:ascii="宋体" w:hAnsi="宋体" w:eastAsia="宋体" w:cs="宋体"/>
                <w:color w:val="auto"/>
                <w:spacing w:val="0"/>
                <w:sz w:val="24"/>
                <w:szCs w:val="24"/>
                <w:highlight w:val="none"/>
                <w:lang w:val="en-US" w:eastAsia="zh-CN"/>
              </w:rPr>
              <w:t>9</w:t>
            </w:r>
          </w:p>
        </w:tc>
        <w:tc>
          <w:tcPr>
            <w:tcW w:w="2376" w:type="dxa"/>
            <w:vAlign w:val="center"/>
          </w:tcPr>
          <w:p w14:paraId="198B1BD4">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招标人</w:t>
            </w:r>
          </w:p>
          <w:p w14:paraId="2C622AED">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联系方式</w:t>
            </w:r>
          </w:p>
        </w:tc>
        <w:tc>
          <w:tcPr>
            <w:tcW w:w="7146" w:type="dxa"/>
            <w:vAlign w:val="center"/>
          </w:tcPr>
          <w:p w14:paraId="32DF3A14">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eastAsia="zh-CN"/>
              </w:rPr>
              <w:t>单位名称：仁化县大桥镇人民政府</w:t>
            </w:r>
          </w:p>
          <w:p w14:paraId="16F723F0">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办公地址：仁化县大桥镇鸿桥路 65号</w:t>
            </w:r>
          </w:p>
          <w:p w14:paraId="18D4A096">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eastAsia="zh-CN"/>
              </w:rPr>
              <w:t>联系人（部门）：</w:t>
            </w:r>
            <w:r>
              <w:rPr>
                <w:rFonts w:hint="eastAsia" w:ascii="宋体" w:hAnsi="宋体" w:eastAsia="宋体" w:cs="宋体"/>
                <w:snapToGrid w:val="0"/>
                <w:color w:val="auto"/>
                <w:spacing w:val="0"/>
                <w:kern w:val="0"/>
                <w:sz w:val="24"/>
                <w:szCs w:val="24"/>
                <w:highlight w:val="none"/>
                <w:lang w:val="en-US" w:eastAsia="zh-CN"/>
              </w:rPr>
              <w:t>邓工</w:t>
            </w:r>
          </w:p>
          <w:p w14:paraId="597E1B58">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联系电话：0751-6412289</w:t>
            </w:r>
          </w:p>
        </w:tc>
      </w:tr>
      <w:tr w14:paraId="1335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shd w:val="clear" w:color="auto" w:fill="auto"/>
            <w:vAlign w:val="center"/>
          </w:tcPr>
          <w:p w14:paraId="1022974A">
            <w:pPr>
              <w:keepNext w:val="0"/>
              <w:keepLines w:val="0"/>
              <w:pageBreakBefore w:val="0"/>
              <w:kinsoku/>
              <w:wordWrap w:val="0"/>
              <w:overflowPunct/>
              <w:topLinePunct w:val="0"/>
              <w:bidi w:val="0"/>
              <w:spacing w:before="69" w:line="188" w:lineRule="auto"/>
              <w:ind w:right="84" w:rightChars="40"/>
              <w:jc w:val="center"/>
              <w:rPr>
                <w:rFonts w:hint="default" w:ascii="宋体" w:hAnsi="宋体" w:eastAsia="宋体" w:cs="宋体"/>
                <w:snapToGrid w:val="0"/>
                <w:color w:val="auto"/>
                <w:spacing w:val="0"/>
                <w:sz w:val="24"/>
                <w:szCs w:val="24"/>
                <w:highlight w:val="none"/>
                <w:lang w:val="en-US" w:eastAsia="zh-CN" w:bidi="ar-SA"/>
              </w:rPr>
            </w:pPr>
            <w:r>
              <w:rPr>
                <w:rFonts w:hint="eastAsia" w:ascii="宋体" w:hAnsi="宋体" w:eastAsia="宋体" w:cs="宋体"/>
                <w:snapToGrid w:val="0"/>
                <w:color w:val="auto"/>
                <w:spacing w:val="0"/>
                <w:sz w:val="24"/>
                <w:szCs w:val="24"/>
                <w:highlight w:val="none"/>
                <w:lang w:val="en-US" w:eastAsia="zh-CN" w:bidi="ar-SA"/>
              </w:rPr>
              <w:t>40</w:t>
            </w:r>
          </w:p>
        </w:tc>
        <w:tc>
          <w:tcPr>
            <w:tcW w:w="2376" w:type="dxa"/>
            <w:vAlign w:val="center"/>
          </w:tcPr>
          <w:p w14:paraId="7F3AD70B">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招标代理机构</w:t>
            </w:r>
          </w:p>
          <w:p w14:paraId="0B65885F">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联系方式</w:t>
            </w:r>
          </w:p>
        </w:tc>
        <w:tc>
          <w:tcPr>
            <w:tcW w:w="7146" w:type="dxa"/>
            <w:vAlign w:val="center"/>
          </w:tcPr>
          <w:p w14:paraId="0F61C5D7">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firstLine="240" w:firstLineChars="100"/>
              <w:jc w:val="left"/>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单位名称：深圳群伦项目管理有限公司</w:t>
            </w:r>
          </w:p>
          <w:p w14:paraId="5B34F04F">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firstLine="240" w:firstLineChars="100"/>
              <w:jc w:val="left"/>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办公地址（韶关分公司）：韶关市武江区沙洲路32号10栋202房</w:t>
            </w:r>
          </w:p>
          <w:p w14:paraId="15A77B18">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firstLine="240" w:firstLineChars="100"/>
              <w:jc w:val="left"/>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联系人（部门）：</w:t>
            </w:r>
          </w:p>
          <w:p w14:paraId="53BB04D6">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firstLine="240" w:firstLineChars="100"/>
              <w:jc w:val="left"/>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项目负责人：黄爱君</w:t>
            </w:r>
          </w:p>
          <w:p w14:paraId="298A7076">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firstLine="240" w:firstLineChars="100"/>
              <w:jc w:val="left"/>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经办人：黄少敏</w:t>
            </w:r>
          </w:p>
          <w:p w14:paraId="05C38EBF">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firstLine="240" w:firstLineChars="100"/>
              <w:jc w:val="left"/>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联系电话：0751-8355683</w:t>
            </w:r>
          </w:p>
        </w:tc>
      </w:tr>
      <w:tr w14:paraId="4E2F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7AEA0C33">
            <w:pPr>
              <w:keepNext w:val="0"/>
              <w:keepLines w:val="0"/>
              <w:pageBreakBefore w:val="0"/>
              <w:kinsoku/>
              <w:wordWrap w:val="0"/>
              <w:overflowPunct/>
              <w:topLinePunct w:val="0"/>
              <w:bidi w:val="0"/>
              <w:spacing w:before="69" w:line="188" w:lineRule="auto"/>
              <w:ind w:right="84" w:rightChars="40"/>
              <w:jc w:val="center"/>
              <w:rPr>
                <w:rFonts w:hint="default"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41</w:t>
            </w:r>
          </w:p>
        </w:tc>
        <w:tc>
          <w:tcPr>
            <w:tcW w:w="2376" w:type="dxa"/>
            <w:vAlign w:val="center"/>
          </w:tcPr>
          <w:p w14:paraId="7DFD4527">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交易场所联系方式</w:t>
            </w:r>
          </w:p>
        </w:tc>
        <w:tc>
          <w:tcPr>
            <w:tcW w:w="7146" w:type="dxa"/>
            <w:vAlign w:val="center"/>
          </w:tcPr>
          <w:p w14:paraId="1C720B59">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单位名称：韶关市公共资源交易中心</w:t>
            </w:r>
          </w:p>
          <w:p w14:paraId="3772C22A">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办公地址：仁化县丹霞大道228号12楼韶关市公共资源交易中心仁化分中心</w:t>
            </w:r>
          </w:p>
          <w:p w14:paraId="3D969249">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val="en-US" w:eastAsia="zh-CN"/>
              </w:rPr>
            </w:pPr>
            <w:r>
              <w:rPr>
                <w:rFonts w:hint="eastAsia" w:ascii="宋体" w:hAnsi="宋体" w:eastAsia="宋体" w:cs="宋体"/>
                <w:snapToGrid w:val="0"/>
                <w:color w:val="auto"/>
                <w:spacing w:val="0"/>
                <w:kern w:val="0"/>
                <w:sz w:val="24"/>
                <w:szCs w:val="24"/>
                <w:highlight w:val="none"/>
                <w:lang w:val="en-US" w:eastAsia="zh-CN"/>
              </w:rPr>
              <w:t>联系人（部门）：工程交易部</w:t>
            </w:r>
          </w:p>
          <w:p w14:paraId="361D1C48">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val="en-US" w:eastAsia="zh-CN"/>
              </w:rPr>
              <w:t>联系电话：</w:t>
            </w:r>
            <w:r>
              <w:rPr>
                <w:rFonts w:hint="eastAsia" w:ascii="宋体" w:hAnsi="宋体" w:eastAsia="宋体" w:cs="宋体"/>
                <w:snapToGrid w:val="0"/>
                <w:color w:val="auto"/>
                <w:spacing w:val="0"/>
                <w:kern w:val="0"/>
                <w:sz w:val="24"/>
                <w:szCs w:val="24"/>
                <w:highlight w:val="none"/>
                <w:lang w:eastAsia="zh-CN"/>
              </w:rPr>
              <w:t>0751-6354032</w:t>
            </w:r>
          </w:p>
        </w:tc>
      </w:tr>
      <w:tr w14:paraId="04B8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3E200AD1">
            <w:pPr>
              <w:keepNext w:val="0"/>
              <w:keepLines w:val="0"/>
              <w:pageBreakBefore w:val="0"/>
              <w:kinsoku/>
              <w:wordWrap w:val="0"/>
              <w:overflowPunct/>
              <w:topLinePunct w:val="0"/>
              <w:bidi w:val="0"/>
              <w:spacing w:before="69" w:line="188" w:lineRule="auto"/>
              <w:ind w:right="84" w:rightChars="40"/>
              <w:jc w:val="center"/>
              <w:rPr>
                <w:rFonts w:hint="default"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42</w:t>
            </w:r>
          </w:p>
        </w:tc>
        <w:tc>
          <w:tcPr>
            <w:tcW w:w="2376" w:type="dxa"/>
            <w:vAlign w:val="center"/>
          </w:tcPr>
          <w:p w14:paraId="49D0B385">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行政监督部</w:t>
            </w:r>
          </w:p>
          <w:p w14:paraId="5F176A11">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门联系方式</w:t>
            </w:r>
          </w:p>
        </w:tc>
        <w:tc>
          <w:tcPr>
            <w:tcW w:w="7146" w:type="dxa"/>
            <w:vAlign w:val="center"/>
          </w:tcPr>
          <w:p w14:paraId="6F209463">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单位名称：仁化县住房和城乡建设管理局</w:t>
            </w:r>
          </w:p>
          <w:p w14:paraId="2982A112">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办公地址：仁化县丹霞大道228号仁化县行政服务中心6楼</w:t>
            </w:r>
          </w:p>
          <w:p w14:paraId="07653437">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联系人（部门）：建筑业监督管理股</w:t>
            </w:r>
          </w:p>
          <w:p w14:paraId="2E910AAF">
            <w:pPr>
              <w:keepNext w:val="0"/>
              <w:keepLines w:val="0"/>
              <w:pageBreakBefore w:val="0"/>
              <w:widowControl w:val="0"/>
              <w:kinsoku/>
              <w:wordWrap w:val="0"/>
              <w:overflowPunct/>
              <w:topLinePunct w:val="0"/>
              <w:autoSpaceDE/>
              <w:autoSpaceDN/>
              <w:bidi w:val="0"/>
              <w:adjustRightInd w:val="0"/>
              <w:snapToGrid w:val="0"/>
              <w:spacing w:line="400" w:lineRule="exact"/>
              <w:ind w:left="0" w:leftChars="0" w:right="84" w:rightChars="40" w:firstLine="218" w:firstLineChars="91"/>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snapToGrid w:val="0"/>
                <w:color w:val="auto"/>
                <w:spacing w:val="0"/>
                <w:kern w:val="0"/>
                <w:sz w:val="24"/>
                <w:szCs w:val="24"/>
                <w:highlight w:val="none"/>
                <w:lang w:eastAsia="zh-CN"/>
              </w:rPr>
              <w:t xml:space="preserve">联系电话：0751-6354573 </w:t>
            </w:r>
          </w:p>
        </w:tc>
      </w:tr>
    </w:tbl>
    <w:p w14:paraId="7235C323">
      <w:pPr>
        <w:keepNext w:val="0"/>
        <w:keepLines w:val="0"/>
        <w:pageBreakBefore w:val="0"/>
        <w:kinsoku/>
        <w:wordWrap w:val="0"/>
        <w:overflowPunct/>
        <w:topLinePunct w:val="0"/>
        <w:bidi w:val="0"/>
        <w:ind w:right="84" w:rightChars="40"/>
        <w:rPr>
          <w:rFonts w:hint="eastAsia" w:ascii="宋体" w:hAnsi="宋体" w:eastAsia="宋体" w:cs="宋体"/>
          <w:b/>
          <w:bCs/>
          <w:color w:val="auto"/>
          <w:spacing w:val="0"/>
          <w:sz w:val="24"/>
          <w:szCs w:val="24"/>
          <w:highlight w:val="none"/>
        </w:rPr>
      </w:pPr>
      <w:bookmarkStart w:id="5" w:name="bookmark115"/>
      <w:bookmarkEnd w:id="5"/>
      <w:r>
        <w:rPr>
          <w:rFonts w:hint="eastAsia" w:ascii="宋体" w:hAnsi="宋体" w:eastAsia="宋体" w:cs="宋体"/>
          <w:b/>
          <w:bCs/>
          <w:color w:val="auto"/>
          <w:spacing w:val="0"/>
          <w:sz w:val="24"/>
          <w:szCs w:val="24"/>
          <w:highlight w:val="none"/>
        </w:rPr>
        <w:br w:type="page"/>
      </w:r>
    </w:p>
    <w:p w14:paraId="1789A482">
      <w:pPr>
        <w:keepNext w:val="0"/>
        <w:keepLines w:val="0"/>
        <w:pageBreakBefore w:val="0"/>
        <w:kinsoku/>
        <w:wordWrap w:val="0"/>
        <w:overflowPunct/>
        <w:topLinePunct w:val="0"/>
        <w:bidi w:val="0"/>
        <w:spacing w:before="156" w:line="219" w:lineRule="auto"/>
        <w:ind w:left="17" w:right="84" w:rightChars="40"/>
        <w:jc w:val="left"/>
        <w:outlineLvl w:val="1"/>
        <w:rPr>
          <w:rFonts w:hint="eastAsia" w:ascii="宋体" w:hAnsi="宋体" w:eastAsia="宋体" w:cs="宋体"/>
          <w:color w:val="auto"/>
          <w:spacing w:val="0"/>
          <w:highlight w:val="none"/>
        </w:rPr>
      </w:pPr>
      <w:bookmarkStart w:id="6" w:name="_Toc20415"/>
      <w:r>
        <w:rPr>
          <w:rFonts w:hint="eastAsia" w:ascii="宋体" w:hAnsi="宋体" w:eastAsia="宋体" w:cs="宋体"/>
          <w:b/>
          <w:bCs/>
          <w:color w:val="auto"/>
          <w:spacing w:val="0"/>
          <w:sz w:val="24"/>
          <w:szCs w:val="24"/>
          <w:highlight w:val="none"/>
        </w:rPr>
        <w:t>第二节 重要事项时间地点一览表</w:t>
      </w:r>
      <w:bookmarkEnd w:id="6"/>
    </w:p>
    <w:p w14:paraId="44D452CF">
      <w:pPr>
        <w:pStyle w:val="5"/>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tbl>
      <w:tblPr>
        <w:tblStyle w:val="14"/>
        <w:tblW w:w="0" w:type="auto"/>
        <w:tblInd w:w="102" w:type="dxa"/>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Layout w:type="fixed"/>
        <w:tblCellMar>
          <w:top w:w="0" w:type="dxa"/>
          <w:left w:w="0" w:type="dxa"/>
          <w:bottom w:w="0" w:type="dxa"/>
          <w:right w:w="0" w:type="dxa"/>
        </w:tblCellMar>
      </w:tblPr>
      <w:tblGrid>
        <w:gridCol w:w="417"/>
        <w:gridCol w:w="1352"/>
        <w:gridCol w:w="7784"/>
      </w:tblGrid>
      <w:tr w14:paraId="73B7F4CF">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7E520137">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1</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3CDDC41E">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招标公告</w:t>
            </w:r>
          </w:p>
          <w:p w14:paraId="6AC26096">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发布时间</w:t>
            </w:r>
          </w:p>
        </w:tc>
        <w:tc>
          <w:tcPr>
            <w:tcW w:w="7784" w:type="dxa"/>
            <w:tcBorders>
              <w:top w:val="outset" w:color="080000" w:sz="6" w:space="0"/>
              <w:left w:val="single" w:color="auto" w:sz="2" w:space="0"/>
              <w:bottom w:val="outset" w:color="080000" w:sz="6" w:space="0"/>
              <w:right w:val="outset" w:color="080000" w:sz="6" w:space="0"/>
            </w:tcBorders>
            <w:noWrap w:val="0"/>
            <w:vAlign w:val="center"/>
          </w:tcPr>
          <w:p w14:paraId="7C196100">
            <w:pPr>
              <w:pStyle w:val="28"/>
              <w:keepNext w:val="0"/>
              <w:keepLines w:val="0"/>
              <w:pageBreakBefore w:val="0"/>
              <w:widowControl/>
              <w:kinsoku/>
              <w:wordWrap w:val="0"/>
              <w:bidi w:val="0"/>
              <w:spacing w:line="400" w:lineRule="exact"/>
              <w:ind w:left="0" w:right="84" w:rightChars="40" w:firstLine="420" w:firstLineChars="200"/>
              <w:jc w:val="left"/>
              <w:rPr>
                <w:rFonts w:hint="eastAsia" w:ascii="宋体" w:hAnsi="宋体" w:eastAsia="宋体" w:cs="宋体"/>
                <w:color w:val="auto"/>
                <w:kern w:val="0"/>
                <w:sz w:val="21"/>
                <w:szCs w:val="21"/>
                <w:highlight w:val="none"/>
                <w:lang w:val="en-US"/>
              </w:rPr>
            </w:pP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29</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tc>
      </w:tr>
      <w:tr w14:paraId="68B3654B">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95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15CDEF69">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2</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7BEE31CC">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获取招标文件截止时间</w:t>
            </w:r>
          </w:p>
        </w:tc>
        <w:tc>
          <w:tcPr>
            <w:tcW w:w="7784" w:type="dxa"/>
            <w:tcBorders>
              <w:top w:val="outset" w:color="080000" w:sz="6" w:space="0"/>
              <w:left w:val="single" w:color="auto" w:sz="2" w:space="0"/>
              <w:bottom w:val="outset" w:color="080000" w:sz="6" w:space="0"/>
              <w:right w:val="outset" w:color="080000" w:sz="6" w:space="0"/>
            </w:tcBorders>
            <w:noWrap w:val="0"/>
            <w:vAlign w:val="center"/>
          </w:tcPr>
          <w:p w14:paraId="24AEB7F2">
            <w:pPr>
              <w:pStyle w:val="28"/>
              <w:keepNext w:val="0"/>
              <w:keepLines w:val="0"/>
              <w:pageBreakBefore w:val="0"/>
              <w:widowControl/>
              <w:kinsoku/>
              <w:wordWrap w:val="0"/>
              <w:bidi w:val="0"/>
              <w:spacing w:line="400" w:lineRule="exact"/>
              <w:ind w:left="0" w:right="84" w:rightChars="40" w:firstLine="420" w:firstLineChars="200"/>
              <w:jc w:val="left"/>
              <w:rPr>
                <w:rFonts w:hint="eastAsia" w:ascii="宋体" w:hAnsi="宋体" w:eastAsia="宋体" w:cs="宋体"/>
                <w:color w:val="auto"/>
                <w:kern w:val="0"/>
                <w:sz w:val="21"/>
                <w:szCs w:val="21"/>
                <w:highlight w:val="none"/>
                <w:lang w:val="en-US"/>
              </w:rPr>
            </w:pP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tc>
      </w:tr>
      <w:tr w14:paraId="013D6E09">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50A0D705">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3</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2BE7243A">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网上提问</w:t>
            </w:r>
          </w:p>
          <w:p w14:paraId="70124853">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截止时间</w:t>
            </w:r>
          </w:p>
        </w:tc>
        <w:tc>
          <w:tcPr>
            <w:tcW w:w="7784" w:type="dxa"/>
            <w:tcBorders>
              <w:top w:val="outset" w:color="080000" w:sz="6" w:space="0"/>
              <w:left w:val="single" w:color="auto" w:sz="2" w:space="0"/>
              <w:bottom w:val="outset" w:color="080000" w:sz="6" w:space="0"/>
              <w:right w:val="outset" w:color="080000" w:sz="6" w:space="0"/>
            </w:tcBorders>
            <w:noWrap w:val="0"/>
            <w:vAlign w:val="center"/>
          </w:tcPr>
          <w:p w14:paraId="01B31EFF">
            <w:pPr>
              <w:pStyle w:val="28"/>
              <w:keepNext w:val="0"/>
              <w:keepLines w:val="0"/>
              <w:pageBreakBefore w:val="0"/>
              <w:widowControl/>
              <w:kinsoku/>
              <w:wordWrap w:val="0"/>
              <w:bidi w:val="0"/>
              <w:spacing w:line="400" w:lineRule="exact"/>
              <w:ind w:right="84" w:rightChars="40"/>
              <w:jc w:val="left"/>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 xml:space="preserve">   </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16</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tc>
      </w:tr>
      <w:tr w14:paraId="3763BE20">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79517677">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4</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2738E8A7">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网上答疑</w:t>
            </w:r>
          </w:p>
          <w:p w14:paraId="4E4EF4E0">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时间</w:t>
            </w:r>
          </w:p>
        </w:tc>
        <w:tc>
          <w:tcPr>
            <w:tcW w:w="7784" w:type="dxa"/>
            <w:tcBorders>
              <w:top w:val="outset" w:color="080000" w:sz="6" w:space="0"/>
              <w:left w:val="single" w:color="auto" w:sz="2" w:space="0"/>
              <w:bottom w:val="outset" w:color="080000" w:sz="6" w:space="0"/>
              <w:right w:val="outset" w:color="080000" w:sz="6" w:space="0"/>
            </w:tcBorders>
            <w:noWrap w:val="0"/>
            <w:vAlign w:val="center"/>
          </w:tcPr>
          <w:p w14:paraId="21128A2C">
            <w:pPr>
              <w:pStyle w:val="28"/>
              <w:keepNext w:val="0"/>
              <w:keepLines w:val="0"/>
              <w:pageBreakBefore w:val="0"/>
              <w:widowControl/>
              <w:kinsoku/>
              <w:wordWrap w:val="0"/>
              <w:bidi w:val="0"/>
              <w:spacing w:line="400" w:lineRule="exact"/>
              <w:ind w:right="84" w:rightChars="40"/>
              <w:jc w:val="left"/>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 xml:space="preserve">  </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16</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30</w:t>
            </w:r>
            <w:r>
              <w:rPr>
                <w:rFonts w:hint="eastAsia" w:ascii="宋体" w:hAnsi="宋体" w:eastAsia="宋体" w:cs="宋体"/>
                <w:color w:val="auto"/>
                <w:sz w:val="21"/>
                <w:szCs w:val="21"/>
                <w:highlight w:val="none"/>
              </w:rPr>
              <w:t>分</w:t>
            </w:r>
            <w:r>
              <w:rPr>
                <w:rFonts w:hint="eastAsia" w:ascii="宋体" w:hAnsi="宋体" w:eastAsia="宋体" w:cs="宋体"/>
                <w:color w:val="auto"/>
                <w:kern w:val="0"/>
                <w:sz w:val="21"/>
                <w:szCs w:val="21"/>
                <w:highlight w:val="none"/>
              </w:rPr>
              <w:t>至</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13</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16</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tc>
      </w:tr>
      <w:tr w14:paraId="7C6F9A65">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474"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0E31E0B6">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5</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1C0C1F44">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投标保证缴</w:t>
            </w:r>
          </w:p>
          <w:p w14:paraId="5526E362">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纳截止时间</w:t>
            </w:r>
          </w:p>
        </w:tc>
        <w:tc>
          <w:tcPr>
            <w:tcW w:w="7784" w:type="dxa"/>
            <w:tcBorders>
              <w:top w:val="outset" w:color="080000" w:sz="6" w:space="0"/>
              <w:left w:val="single" w:color="auto" w:sz="2" w:space="0"/>
              <w:bottom w:val="outset" w:color="080000" w:sz="6" w:space="0"/>
              <w:right w:val="outset" w:color="080000" w:sz="6" w:space="0"/>
            </w:tcBorders>
            <w:noWrap w:val="0"/>
            <w:vAlign w:val="center"/>
          </w:tcPr>
          <w:p w14:paraId="57B504F4">
            <w:pPr>
              <w:pStyle w:val="28"/>
              <w:keepNext w:val="0"/>
              <w:keepLines w:val="0"/>
              <w:pageBreakBefore w:val="0"/>
              <w:widowControl/>
              <w:kinsoku/>
              <w:wordWrap w:val="0"/>
              <w:bidi w:val="0"/>
              <w:spacing w:line="400" w:lineRule="exact"/>
              <w:ind w:left="0" w:right="84" w:rightChars="40" w:firstLine="210" w:firstLineChars="100"/>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投标保证金到账截止时间：</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19</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r>
              <w:rPr>
                <w:rFonts w:hint="eastAsia" w:ascii="宋体" w:hAnsi="宋体" w:eastAsia="宋体" w:cs="宋体"/>
                <w:color w:val="auto"/>
                <w:kern w:val="0"/>
                <w:sz w:val="21"/>
                <w:szCs w:val="21"/>
                <w:highlight w:val="none"/>
              </w:rPr>
              <w:t>；</w:t>
            </w:r>
          </w:p>
          <w:p w14:paraId="4D1D3F27">
            <w:pPr>
              <w:pStyle w:val="28"/>
              <w:keepNext w:val="0"/>
              <w:keepLines w:val="0"/>
              <w:pageBreakBefore w:val="0"/>
              <w:widowControl/>
              <w:kinsoku/>
              <w:wordWrap w:val="0"/>
              <w:bidi w:val="0"/>
              <w:spacing w:line="400" w:lineRule="exact"/>
              <w:ind w:left="0" w:right="84" w:rightChars="40" w:firstLine="210" w:firstLineChars="100"/>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投标保证担保上传截止时间：</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19</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r>
              <w:rPr>
                <w:rFonts w:hint="eastAsia" w:ascii="宋体" w:hAnsi="宋体" w:eastAsia="宋体" w:cs="宋体"/>
                <w:color w:val="auto"/>
                <w:kern w:val="0"/>
                <w:sz w:val="21"/>
                <w:szCs w:val="21"/>
                <w:highlight w:val="none"/>
              </w:rPr>
              <w:t>；</w:t>
            </w:r>
          </w:p>
          <w:p w14:paraId="114EBAEC">
            <w:pPr>
              <w:pStyle w:val="28"/>
              <w:keepNext w:val="0"/>
              <w:keepLines w:val="0"/>
              <w:pageBreakBefore w:val="0"/>
              <w:widowControl/>
              <w:kinsoku/>
              <w:wordWrap w:val="0"/>
              <w:bidi w:val="0"/>
              <w:spacing w:line="400" w:lineRule="exact"/>
              <w:ind w:left="0" w:right="84" w:rightChars="40" w:firstLine="210" w:firstLineChars="100"/>
              <w:rPr>
                <w:rFonts w:hint="eastAsia" w:ascii="宋体" w:hAnsi="宋体" w:eastAsia="宋体" w:cs="宋体"/>
                <w:color w:val="auto"/>
                <w:kern w:val="0"/>
                <w:sz w:val="21"/>
                <w:szCs w:val="21"/>
                <w:highlight w:val="none"/>
                <w:u w:val="single"/>
                <w:lang w:val="en-US"/>
              </w:rPr>
            </w:pPr>
            <w:r>
              <w:rPr>
                <w:rFonts w:hint="eastAsia" w:ascii="宋体" w:hAnsi="宋体" w:eastAsia="宋体" w:cs="宋体"/>
                <w:color w:val="auto"/>
                <w:kern w:val="0"/>
                <w:sz w:val="21"/>
                <w:szCs w:val="21"/>
                <w:highlight w:val="none"/>
              </w:rPr>
              <w:t>投标保证保险投保截止时间：</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19</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r>
              <w:rPr>
                <w:rFonts w:hint="eastAsia" w:ascii="宋体" w:hAnsi="宋体" w:eastAsia="宋体" w:cs="宋体"/>
                <w:color w:val="auto"/>
                <w:kern w:val="0"/>
                <w:sz w:val="21"/>
                <w:szCs w:val="21"/>
                <w:highlight w:val="none"/>
              </w:rPr>
              <w:t>。</w:t>
            </w:r>
          </w:p>
        </w:tc>
      </w:tr>
      <w:tr w14:paraId="72546B7E">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59EEBC5B">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6</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1F4BCC4F">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电子投标</w:t>
            </w:r>
          </w:p>
          <w:p w14:paraId="3E57F63B">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strike/>
                <w:dstrike w:val="0"/>
                <w:color w:val="auto"/>
                <w:kern w:val="0"/>
                <w:sz w:val="21"/>
                <w:szCs w:val="21"/>
                <w:highlight w:val="none"/>
                <w:lang w:val="en-US"/>
              </w:rPr>
            </w:pPr>
            <w:r>
              <w:rPr>
                <w:rFonts w:hint="eastAsia" w:ascii="宋体" w:hAnsi="宋体" w:eastAsia="宋体" w:cs="宋体"/>
                <w:color w:val="auto"/>
                <w:kern w:val="0"/>
                <w:sz w:val="21"/>
                <w:szCs w:val="21"/>
                <w:highlight w:val="none"/>
              </w:rPr>
              <w:t>截止时间</w:t>
            </w:r>
          </w:p>
        </w:tc>
        <w:tc>
          <w:tcPr>
            <w:tcW w:w="7784" w:type="dxa"/>
            <w:tcBorders>
              <w:top w:val="outset" w:color="080000" w:sz="6" w:space="0"/>
              <w:left w:val="single" w:color="auto" w:sz="2" w:space="0"/>
              <w:bottom w:val="outset" w:color="080000" w:sz="6" w:space="0"/>
              <w:right w:val="outset" w:color="080000" w:sz="6" w:space="0"/>
            </w:tcBorders>
            <w:noWrap w:val="0"/>
            <w:vAlign w:val="center"/>
          </w:tcPr>
          <w:p w14:paraId="5C91D4F6">
            <w:pPr>
              <w:pStyle w:val="28"/>
              <w:keepNext w:val="0"/>
              <w:keepLines w:val="0"/>
              <w:pageBreakBefore w:val="0"/>
              <w:widowControl/>
              <w:kinsoku/>
              <w:wordWrap w:val="0"/>
              <w:bidi w:val="0"/>
              <w:spacing w:line="400" w:lineRule="exact"/>
              <w:ind w:right="84" w:rightChars="40"/>
              <w:jc w:val="left"/>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 xml:space="preserve">  </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tc>
      </w:tr>
      <w:tr w14:paraId="4598DC32">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4C08CDD5">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7</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324FB237">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投标相关资料（如有）</w:t>
            </w:r>
          </w:p>
          <w:p w14:paraId="19A3CEEA">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递交时间</w:t>
            </w:r>
          </w:p>
        </w:tc>
        <w:tc>
          <w:tcPr>
            <w:tcW w:w="7784" w:type="dxa"/>
            <w:tcBorders>
              <w:top w:val="outset" w:color="080000" w:sz="6" w:space="0"/>
              <w:left w:val="single" w:color="auto" w:sz="2" w:space="0"/>
              <w:bottom w:val="outset" w:color="080000" w:sz="6" w:space="0"/>
              <w:right w:val="outset" w:color="080000" w:sz="6" w:space="0"/>
            </w:tcBorders>
            <w:noWrap w:val="0"/>
            <w:vAlign w:val="center"/>
          </w:tcPr>
          <w:p w14:paraId="3FDF0934">
            <w:pPr>
              <w:pStyle w:val="28"/>
              <w:keepNext w:val="0"/>
              <w:keepLines w:val="0"/>
              <w:pageBreakBefore w:val="0"/>
              <w:widowControl/>
              <w:kinsoku/>
              <w:wordWrap w:val="0"/>
              <w:bidi w:val="0"/>
              <w:spacing w:line="400" w:lineRule="exact"/>
              <w:ind w:right="84" w:rightChars="40"/>
              <w:jc w:val="left"/>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 xml:space="preserve"> </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09</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30</w:t>
            </w:r>
            <w:r>
              <w:rPr>
                <w:rFonts w:hint="eastAsia" w:ascii="宋体" w:hAnsi="宋体" w:eastAsia="宋体" w:cs="宋体"/>
                <w:color w:val="auto"/>
                <w:sz w:val="21"/>
                <w:szCs w:val="21"/>
                <w:highlight w:val="none"/>
              </w:rPr>
              <w:t>分</w:t>
            </w:r>
            <w:r>
              <w:rPr>
                <w:rFonts w:hint="eastAsia" w:ascii="宋体" w:hAnsi="宋体" w:eastAsia="宋体" w:cs="宋体"/>
                <w:color w:val="auto"/>
                <w:kern w:val="0"/>
                <w:sz w:val="21"/>
                <w:szCs w:val="21"/>
                <w:highlight w:val="none"/>
              </w:rPr>
              <w:t>至</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tc>
      </w:tr>
      <w:tr w14:paraId="154C5D84">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5EEDC75D">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8</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661C3FB0">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投标相关资料（如有）</w:t>
            </w:r>
          </w:p>
          <w:p w14:paraId="72EB0E2E">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递交地点</w:t>
            </w:r>
          </w:p>
        </w:tc>
        <w:tc>
          <w:tcPr>
            <w:tcW w:w="7784" w:type="dxa"/>
            <w:tcBorders>
              <w:top w:val="outset" w:color="080000" w:sz="6" w:space="0"/>
              <w:left w:val="single" w:color="auto" w:sz="2" w:space="0"/>
              <w:bottom w:val="outset" w:color="080000" w:sz="6" w:space="0"/>
              <w:right w:val="outset" w:color="080000" w:sz="6" w:space="0"/>
            </w:tcBorders>
            <w:noWrap w:val="0"/>
            <w:vAlign w:val="center"/>
          </w:tcPr>
          <w:p w14:paraId="39485CC8">
            <w:pPr>
              <w:pStyle w:val="28"/>
              <w:keepNext w:val="0"/>
              <w:keepLines w:val="0"/>
              <w:pageBreakBefore w:val="0"/>
              <w:widowControl/>
              <w:kinsoku/>
              <w:wordWrap w:val="0"/>
              <w:bidi w:val="0"/>
              <w:spacing w:line="400" w:lineRule="exact"/>
              <w:ind w:right="84" w:rightChars="40"/>
              <w:jc w:val="left"/>
              <w:rPr>
                <w:rFonts w:hint="eastAsia" w:ascii="宋体" w:hAnsi="宋体" w:eastAsia="宋体" w:cs="宋体"/>
                <w:color w:val="auto"/>
                <w:kern w:val="0"/>
                <w:sz w:val="21"/>
                <w:szCs w:val="21"/>
                <w:highlight w:val="none"/>
                <w:lang w:val="en-US"/>
              </w:rPr>
            </w:pPr>
            <w:r>
              <w:rPr>
                <w:rFonts w:hint="eastAsia" w:ascii="宋体" w:hAnsi="宋体" w:eastAsia="宋体" w:cs="宋体"/>
                <w:snapToGrid w:val="0"/>
                <w:color w:val="auto"/>
                <w:kern w:val="0"/>
                <w:sz w:val="21"/>
                <w:szCs w:val="21"/>
                <w:highlight w:val="none"/>
                <w:lang w:val="en-US" w:eastAsia="zh-CN" w:bidi="ar-SA"/>
              </w:rPr>
              <w:t>递交场所： 韶关市公共资源交易中心仁化分中心，地址：仁化县丹霞大道228号11楼韶关市公共资源交易中心仁化分中心，具体房间号以当日现场通知为准</w:t>
            </w:r>
          </w:p>
        </w:tc>
      </w:tr>
      <w:tr w14:paraId="3D69C468">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40D09A8C">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9</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50259E15">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开标时间</w:t>
            </w:r>
          </w:p>
        </w:tc>
        <w:tc>
          <w:tcPr>
            <w:tcW w:w="7784" w:type="dxa"/>
            <w:tcBorders>
              <w:top w:val="outset" w:color="080000" w:sz="6" w:space="0"/>
              <w:left w:val="single" w:color="auto" w:sz="2" w:space="0"/>
              <w:bottom w:val="outset" w:color="080000" w:sz="6" w:space="0"/>
              <w:right w:val="outset" w:color="080000" w:sz="6" w:space="0"/>
            </w:tcBorders>
            <w:noWrap w:val="0"/>
            <w:vAlign w:val="center"/>
          </w:tcPr>
          <w:p w14:paraId="1EC732E6">
            <w:pPr>
              <w:pStyle w:val="28"/>
              <w:keepNext w:val="0"/>
              <w:keepLines w:val="0"/>
              <w:pageBreakBefore w:val="0"/>
              <w:widowControl/>
              <w:kinsoku/>
              <w:wordWrap w:val="0"/>
              <w:bidi w:val="0"/>
              <w:spacing w:line="400" w:lineRule="exact"/>
              <w:ind w:right="84" w:rightChars="40"/>
              <w:jc w:val="left"/>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 xml:space="preserve">  </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tc>
      </w:tr>
      <w:tr w14:paraId="2BFF9933">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53F04F14">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10</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02209794">
            <w:pPr>
              <w:pStyle w:val="28"/>
              <w:keepNext w:val="0"/>
              <w:keepLines w:val="0"/>
              <w:pageBreakBefore w:val="0"/>
              <w:widowControl/>
              <w:kinsoku/>
              <w:wordWrap w:val="0"/>
              <w:bidi w:val="0"/>
              <w:spacing w:line="360" w:lineRule="exact"/>
              <w:ind w:right="84" w:rightChars="40"/>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开标地点</w:t>
            </w:r>
          </w:p>
        </w:tc>
        <w:tc>
          <w:tcPr>
            <w:tcW w:w="7784" w:type="dxa"/>
            <w:tcBorders>
              <w:top w:val="outset" w:color="080000" w:sz="6" w:space="0"/>
              <w:left w:val="single" w:color="auto" w:sz="2" w:space="0"/>
              <w:bottom w:val="outset" w:color="080000" w:sz="6" w:space="0"/>
              <w:right w:val="outset" w:color="080000" w:sz="6" w:space="0"/>
            </w:tcBorders>
            <w:noWrap w:val="0"/>
            <w:vAlign w:val="center"/>
          </w:tcPr>
          <w:p w14:paraId="46B8C2F4">
            <w:pPr>
              <w:pStyle w:val="28"/>
              <w:keepNext w:val="0"/>
              <w:keepLines w:val="0"/>
              <w:pageBreakBefore w:val="0"/>
              <w:widowControl/>
              <w:kinsoku/>
              <w:wordWrap w:val="0"/>
              <w:bidi w:val="0"/>
              <w:spacing w:line="400" w:lineRule="exact"/>
              <w:ind w:right="84" w:rightChars="40"/>
              <w:jc w:val="left"/>
              <w:rPr>
                <w:rFonts w:hint="eastAsia" w:ascii="宋体" w:hAnsi="宋体" w:eastAsia="宋体" w:cs="宋体"/>
                <w:color w:val="auto"/>
                <w:kern w:val="0"/>
                <w:sz w:val="21"/>
                <w:szCs w:val="21"/>
                <w:highlight w:val="none"/>
                <w:lang w:val="en-US"/>
              </w:rPr>
            </w:pPr>
            <w:r>
              <w:rPr>
                <w:rFonts w:hint="eastAsia" w:ascii="宋体" w:hAnsi="宋体" w:eastAsia="宋体" w:cs="宋体"/>
                <w:snapToGrid w:val="0"/>
                <w:color w:val="auto"/>
                <w:kern w:val="0"/>
                <w:sz w:val="21"/>
                <w:szCs w:val="21"/>
                <w:highlight w:val="none"/>
                <w:lang w:val="en-US" w:eastAsia="zh-CN" w:bidi="ar-SA"/>
              </w:rPr>
              <w:t>开标地点： 韶关市公共资源交易中心仁化分中心，地址：仁化县丹霞大道228号11楼韶关市公共资源交易中心仁化分中心，具体房间号以当日现场通知为准。</w:t>
            </w:r>
          </w:p>
        </w:tc>
      </w:tr>
    </w:tbl>
    <w:p w14:paraId="7023E3C4">
      <w:pPr>
        <w:keepNext w:val="0"/>
        <w:keepLines w:val="0"/>
        <w:pageBreakBefore w:val="0"/>
        <w:tabs>
          <w:tab w:val="left" w:pos="8820"/>
        </w:tabs>
        <w:kinsoku/>
        <w:wordWrap w:val="0"/>
        <w:overflowPunct/>
        <w:topLinePunct w:val="0"/>
        <w:bidi w:val="0"/>
        <w:ind w:right="84" w:rightChars="40"/>
        <w:rPr>
          <w:rFonts w:hint="eastAsia" w:ascii="宋体" w:hAnsi="宋体" w:eastAsia="宋体" w:cs="宋体"/>
          <w:b w:val="0"/>
          <w:bCs w:val="0"/>
          <w:color w:val="auto"/>
          <w:spacing w:val="0"/>
          <w:sz w:val="24"/>
          <w:szCs w:val="24"/>
          <w:highlight w:val="none"/>
        </w:rPr>
        <w:sectPr>
          <w:headerReference r:id="rId6" w:type="default"/>
          <w:footerReference r:id="rId7" w:type="default"/>
          <w:pgSz w:w="11906" w:h="16839"/>
          <w:pgMar w:top="1440" w:right="1080" w:bottom="1440" w:left="1080" w:header="0" w:footer="1085" w:gutter="0"/>
          <w:pgBorders>
            <w:top w:val="none" w:sz="0" w:space="0"/>
            <w:left w:val="none" w:sz="0" w:space="0"/>
            <w:bottom w:val="none" w:sz="0" w:space="0"/>
            <w:right w:val="none" w:sz="0" w:space="0"/>
          </w:pgBorders>
          <w:pgNumType w:fmt="decimal"/>
          <w:cols w:space="720" w:num="1"/>
        </w:sectPr>
      </w:pPr>
    </w:p>
    <w:p w14:paraId="4035F05F">
      <w:pPr>
        <w:keepNext w:val="0"/>
        <w:keepLines w:val="0"/>
        <w:pageBreakBefore w:val="0"/>
        <w:kinsoku/>
        <w:wordWrap w:val="0"/>
        <w:overflowPunct/>
        <w:topLinePunct w:val="0"/>
        <w:bidi w:val="0"/>
        <w:ind w:right="84" w:rightChars="40"/>
        <w:jc w:val="center"/>
        <w:outlineLvl w:val="1"/>
        <w:rPr>
          <w:rFonts w:hint="eastAsia" w:ascii="宋体" w:hAnsi="宋体" w:eastAsia="宋体" w:cs="宋体"/>
          <w:color w:val="auto"/>
          <w:spacing w:val="0"/>
          <w:sz w:val="24"/>
          <w:szCs w:val="24"/>
          <w:highlight w:val="none"/>
        </w:rPr>
      </w:pPr>
      <w:bookmarkStart w:id="7" w:name="_Toc32443"/>
      <w:r>
        <w:rPr>
          <w:rFonts w:hint="eastAsia" w:ascii="宋体" w:hAnsi="宋体" w:eastAsia="宋体" w:cs="宋体"/>
          <w:b/>
          <w:bCs/>
          <w:color w:val="auto"/>
          <w:spacing w:val="0"/>
          <w:sz w:val="24"/>
          <w:szCs w:val="24"/>
          <w:highlight w:val="none"/>
        </w:rPr>
        <w:t>第三节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投标人须知正文</w:t>
      </w:r>
      <w:bookmarkEnd w:id="7"/>
    </w:p>
    <w:p w14:paraId="5DD28753">
      <w:pPr>
        <w:pStyle w:val="5"/>
        <w:keepNext w:val="0"/>
        <w:keepLines w:val="0"/>
        <w:pageBreakBefore w:val="0"/>
        <w:kinsoku/>
        <w:wordWrap w:val="0"/>
        <w:overflowPunct/>
        <w:topLinePunct w:val="0"/>
        <w:bidi w:val="0"/>
        <w:spacing w:line="256" w:lineRule="auto"/>
        <w:ind w:right="84" w:rightChars="40"/>
        <w:rPr>
          <w:rFonts w:hint="eastAsia" w:ascii="宋体" w:hAnsi="宋体" w:eastAsia="宋体" w:cs="宋体"/>
          <w:color w:val="auto"/>
          <w:spacing w:val="0"/>
          <w:highlight w:val="none"/>
        </w:rPr>
      </w:pPr>
    </w:p>
    <w:p w14:paraId="217B4480">
      <w:pPr>
        <w:pStyle w:val="5"/>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highlight w:val="none"/>
        </w:rPr>
      </w:pPr>
    </w:p>
    <w:p w14:paraId="0419E08C">
      <w:pPr>
        <w:keepNext w:val="0"/>
        <w:keepLines w:val="0"/>
        <w:pageBreakBefore w:val="0"/>
        <w:widowControl/>
        <w:kinsoku/>
        <w:wordWrap w:val="0"/>
        <w:overflowPunct/>
        <w:topLinePunct/>
        <w:autoSpaceDE w:val="0"/>
        <w:autoSpaceDN w:val="0"/>
        <w:bidi w:val="0"/>
        <w:adjustRightInd w:val="0"/>
        <w:snapToGrid w:val="0"/>
        <w:spacing w:line="360" w:lineRule="auto"/>
        <w:ind w:right="84" w:rightChars="40" w:firstLine="480" w:firstLineChars="200"/>
        <w:textAlignment w:val="baseline"/>
        <w:rPr>
          <w:rFonts w:hint="eastAsia" w:ascii="宋体" w:hAnsi="宋体" w:eastAsia="宋体" w:cs="宋体"/>
          <w:bCs/>
          <w:snapToGrid w:val="0"/>
          <w:color w:val="auto"/>
          <w:kern w:val="0"/>
          <w:sz w:val="24"/>
          <w:szCs w:val="24"/>
          <w:highlight w:val="none"/>
          <w:u w:val="single"/>
          <w:lang w:val="en-US" w:eastAsia="zh-CN"/>
        </w:rPr>
      </w:pPr>
      <w:bookmarkStart w:id="8" w:name="bookmark52"/>
      <w:bookmarkEnd w:id="8"/>
      <w:bookmarkStart w:id="9" w:name="bookmark59"/>
      <w:bookmarkEnd w:id="9"/>
      <w:bookmarkStart w:id="10" w:name="bookmark73"/>
      <w:bookmarkEnd w:id="10"/>
      <w:bookmarkStart w:id="11" w:name="_Toc15993"/>
      <w:r>
        <w:rPr>
          <w:rFonts w:hint="eastAsia" w:ascii="宋体" w:hAnsi="宋体" w:eastAsia="宋体" w:cs="宋体"/>
          <w:bCs/>
          <w:snapToGrid w:val="0"/>
          <w:color w:val="auto"/>
          <w:kern w:val="0"/>
          <w:sz w:val="24"/>
          <w:szCs w:val="24"/>
          <w:highlight w:val="none"/>
          <w:u w:val="single"/>
          <w:lang w:val="en-US" w:eastAsia="zh-CN"/>
        </w:rPr>
        <w:t>仁化县全域人居环境整治建设项目(一期)-大桥镇一标段</w:t>
      </w:r>
      <w:r>
        <w:rPr>
          <w:rFonts w:hint="eastAsia" w:ascii="宋体" w:hAnsi="宋体" w:eastAsia="宋体" w:cs="宋体"/>
          <w:bCs/>
          <w:snapToGrid w:val="0"/>
          <w:color w:val="auto"/>
          <w:kern w:val="0"/>
          <w:sz w:val="24"/>
          <w:szCs w:val="24"/>
          <w:highlight w:val="none"/>
          <w:u w:val="none"/>
          <w:lang w:val="en-US" w:eastAsia="zh-CN"/>
        </w:rPr>
        <w:t>经</w:t>
      </w:r>
      <w:r>
        <w:rPr>
          <w:rFonts w:hint="eastAsia" w:ascii="宋体" w:hAnsi="宋体" w:eastAsia="宋体" w:cs="宋体"/>
          <w:b w:val="0"/>
          <w:bCs w:val="0"/>
          <w:color w:val="auto"/>
          <w:kern w:val="0"/>
          <w:sz w:val="24"/>
          <w:szCs w:val="22"/>
          <w:highlight w:val="none"/>
          <w:u w:val="single"/>
          <w:lang w:val="en-US" w:eastAsia="zh-CN"/>
        </w:rPr>
        <w:t>仁化</w:t>
      </w:r>
      <w:r>
        <w:rPr>
          <w:rFonts w:hint="eastAsia" w:ascii="宋体" w:hAnsi="宋体" w:eastAsia="宋体" w:cs="宋体"/>
          <w:b w:val="0"/>
          <w:bCs w:val="0"/>
          <w:color w:val="auto"/>
          <w:kern w:val="0"/>
          <w:sz w:val="24"/>
          <w:szCs w:val="22"/>
          <w:highlight w:val="none"/>
          <w:u w:val="single"/>
          <w:lang w:eastAsia="zh-CN"/>
        </w:rPr>
        <w:t>县发展改革</w:t>
      </w:r>
      <w:r>
        <w:rPr>
          <w:rFonts w:hint="eastAsia" w:ascii="宋体" w:hAnsi="宋体" w:eastAsia="宋体" w:cs="宋体"/>
          <w:b w:val="0"/>
          <w:bCs w:val="0"/>
          <w:color w:val="auto"/>
          <w:kern w:val="0"/>
          <w:sz w:val="24"/>
          <w:szCs w:val="22"/>
          <w:highlight w:val="none"/>
          <w:u w:val="single"/>
          <w:lang w:val="en-US" w:eastAsia="zh-CN"/>
        </w:rPr>
        <w:t>和政务数据</w:t>
      </w:r>
      <w:r>
        <w:rPr>
          <w:rFonts w:hint="eastAsia" w:ascii="宋体" w:hAnsi="宋体" w:eastAsia="宋体" w:cs="宋体"/>
          <w:b w:val="0"/>
          <w:bCs w:val="0"/>
          <w:color w:val="auto"/>
          <w:kern w:val="0"/>
          <w:sz w:val="24"/>
          <w:szCs w:val="22"/>
          <w:highlight w:val="none"/>
          <w:u w:val="single"/>
          <w:lang w:eastAsia="zh-CN"/>
        </w:rPr>
        <w:t>局</w:t>
      </w:r>
      <w:r>
        <w:rPr>
          <w:rFonts w:hint="eastAsia" w:ascii="宋体" w:hAnsi="宋体" w:eastAsia="宋体" w:cs="宋体"/>
          <w:color w:val="auto"/>
          <w:kern w:val="0"/>
          <w:sz w:val="24"/>
          <w:szCs w:val="22"/>
          <w:highlight w:val="none"/>
        </w:rPr>
        <w:t>以</w:t>
      </w:r>
      <w:r>
        <w:rPr>
          <w:rFonts w:hint="eastAsia" w:ascii="宋体" w:hAnsi="宋体" w:eastAsia="宋体" w:cs="宋体"/>
          <w:color w:val="auto"/>
          <w:kern w:val="0"/>
          <w:sz w:val="24"/>
          <w:szCs w:val="24"/>
          <w:highlight w:val="none"/>
          <w:u w:val="single"/>
        </w:rPr>
        <w:t>《</w:t>
      </w:r>
      <w:r>
        <w:rPr>
          <w:rFonts w:hint="eastAsia" w:ascii="宋体" w:hAnsi="宋体" w:eastAsia="宋体" w:cs="宋体"/>
          <w:color w:val="auto"/>
          <w:kern w:val="0"/>
          <w:sz w:val="24"/>
          <w:szCs w:val="22"/>
          <w:highlight w:val="none"/>
          <w:u w:val="single"/>
          <w:lang w:eastAsia="zh-CN"/>
        </w:rPr>
        <w:t>仁化县发展改革和政务数据局关于</w:t>
      </w:r>
      <w:r>
        <w:rPr>
          <w:rFonts w:hint="eastAsia" w:ascii="宋体" w:hAnsi="宋体" w:eastAsia="宋体" w:cs="宋体"/>
          <w:snapToGrid w:val="0"/>
          <w:color w:val="auto"/>
          <w:kern w:val="0"/>
          <w:sz w:val="24"/>
          <w:szCs w:val="24"/>
          <w:highlight w:val="none"/>
          <w:u w:val="single"/>
          <w:lang w:val="en-US" w:eastAsia="zh-CN" w:bidi="ar-SA"/>
        </w:rPr>
        <w:t>广东省韶关市仁化县典型镇示范带和示范镇建设项目可行性研究报告的批复</w:t>
      </w:r>
      <w:r>
        <w:rPr>
          <w:rFonts w:hint="eastAsia" w:ascii="宋体" w:hAnsi="宋体" w:eastAsia="宋体" w:cs="宋体"/>
          <w:color w:val="auto"/>
          <w:kern w:val="0"/>
          <w:sz w:val="24"/>
          <w:szCs w:val="24"/>
          <w:highlight w:val="none"/>
          <w:u w:val="single"/>
        </w:rPr>
        <w:t>》（</w:t>
      </w:r>
      <w:r>
        <w:rPr>
          <w:rFonts w:hint="eastAsia" w:ascii="宋体" w:hAnsi="宋体" w:eastAsia="宋体" w:cs="宋体"/>
          <w:snapToGrid w:val="0"/>
          <w:color w:val="auto"/>
          <w:kern w:val="0"/>
          <w:sz w:val="24"/>
          <w:szCs w:val="24"/>
          <w:highlight w:val="none"/>
          <w:u w:val="single"/>
          <w:lang w:val="en-US" w:eastAsia="zh-CN"/>
        </w:rPr>
        <w:t>仁发改和政数投审</w:t>
      </w:r>
      <w:r>
        <w:rPr>
          <w:rFonts w:hint="eastAsia" w:ascii="宋体" w:hAnsi="宋体" w:eastAsia="宋体" w:cs="宋体"/>
          <w:color w:val="auto"/>
          <w:kern w:val="0"/>
          <w:sz w:val="24"/>
          <w:szCs w:val="22"/>
          <w:highlight w:val="none"/>
          <w:u w:val="single"/>
          <w:lang w:val="en-US" w:eastAsia="zh-CN"/>
        </w:rPr>
        <w:t>〔</w:t>
      </w:r>
      <w:r>
        <w:rPr>
          <w:rFonts w:hint="eastAsia" w:ascii="宋体" w:hAnsi="宋体" w:eastAsia="宋体" w:cs="宋体"/>
          <w:snapToGrid w:val="0"/>
          <w:color w:val="auto"/>
          <w:kern w:val="0"/>
          <w:sz w:val="24"/>
          <w:szCs w:val="24"/>
          <w:highlight w:val="none"/>
          <w:u w:val="single"/>
          <w:lang w:val="en-US" w:eastAsia="zh-CN"/>
        </w:rPr>
        <w:t>2025</w:t>
      </w:r>
      <w:r>
        <w:rPr>
          <w:rFonts w:hint="eastAsia" w:ascii="宋体" w:hAnsi="宋体" w:eastAsia="宋体" w:cs="宋体"/>
          <w:color w:val="auto"/>
          <w:kern w:val="0"/>
          <w:sz w:val="24"/>
          <w:szCs w:val="22"/>
          <w:highlight w:val="none"/>
          <w:u w:val="single"/>
          <w:lang w:val="en-US" w:eastAsia="zh-CN"/>
        </w:rPr>
        <w:t>〕</w:t>
      </w:r>
      <w:r>
        <w:rPr>
          <w:rFonts w:hint="eastAsia" w:ascii="宋体" w:hAnsi="宋体" w:eastAsia="宋体" w:cs="宋体"/>
          <w:snapToGrid w:val="0"/>
          <w:color w:val="auto"/>
          <w:kern w:val="0"/>
          <w:sz w:val="24"/>
          <w:szCs w:val="24"/>
          <w:highlight w:val="none"/>
          <w:u w:val="single"/>
          <w:lang w:val="en-US" w:eastAsia="zh-CN"/>
        </w:rPr>
        <w:t>9号</w:t>
      </w:r>
      <w:r>
        <w:rPr>
          <w:rFonts w:hint="eastAsia" w:ascii="宋体" w:hAnsi="宋体" w:eastAsia="宋体" w:cs="宋体"/>
          <w:color w:val="auto"/>
          <w:kern w:val="0"/>
          <w:sz w:val="24"/>
          <w:szCs w:val="24"/>
          <w:highlight w:val="none"/>
          <w:u w:val="single"/>
        </w:rPr>
        <w:t>）</w:t>
      </w:r>
      <w:r>
        <w:rPr>
          <w:rFonts w:hint="eastAsia" w:ascii="宋体" w:hAnsi="宋体" w:eastAsia="宋体" w:cs="宋体"/>
          <w:color w:val="auto"/>
          <w:kern w:val="0"/>
          <w:sz w:val="24"/>
          <w:szCs w:val="24"/>
          <w:highlight w:val="none"/>
          <w:u w:val="single"/>
          <w:lang w:eastAsia="zh-CN"/>
        </w:rPr>
        <w:t>、</w:t>
      </w:r>
      <w:r>
        <w:rPr>
          <w:rFonts w:hint="eastAsia" w:ascii="宋体" w:hAnsi="宋体" w:eastAsia="宋体" w:cs="宋体"/>
          <w:color w:val="auto"/>
          <w:kern w:val="0"/>
          <w:sz w:val="24"/>
          <w:szCs w:val="22"/>
          <w:highlight w:val="none"/>
          <w:u w:val="single"/>
          <w:lang w:eastAsia="zh-CN"/>
        </w:rPr>
        <w:t>《仁化县发展改革和政务数据局关于广东省韶关市仁化县典型镇示范带和示范镇建设项目变更的复函》（</w:t>
      </w:r>
      <w:r>
        <w:rPr>
          <w:rFonts w:hint="eastAsia" w:ascii="宋体" w:hAnsi="宋体" w:eastAsia="宋体" w:cs="宋体"/>
          <w:color w:val="auto"/>
          <w:kern w:val="0"/>
          <w:sz w:val="24"/>
          <w:szCs w:val="22"/>
          <w:highlight w:val="none"/>
          <w:u w:val="single"/>
          <w:lang w:val="en-US" w:eastAsia="zh-CN"/>
        </w:rPr>
        <w:t>仁发改和政数投审〔2025〕100号</w:t>
      </w:r>
      <w:r>
        <w:rPr>
          <w:rFonts w:hint="eastAsia" w:ascii="宋体" w:hAnsi="宋体" w:eastAsia="宋体" w:cs="宋体"/>
          <w:color w:val="auto"/>
          <w:kern w:val="0"/>
          <w:sz w:val="24"/>
          <w:szCs w:val="22"/>
          <w:highlight w:val="none"/>
          <w:u w:val="single"/>
          <w:lang w:eastAsia="zh-CN"/>
        </w:rPr>
        <w:t>）、《仁化县发展改革和政务数据局关于仁化县全域人居环境整治建设项目(一期)-大桥镇一标段项目初步设计概算的批复》（</w:t>
      </w:r>
      <w:r>
        <w:rPr>
          <w:rFonts w:hint="eastAsia" w:ascii="宋体" w:hAnsi="宋体" w:eastAsia="宋体" w:cs="宋体"/>
          <w:color w:val="auto"/>
          <w:kern w:val="0"/>
          <w:sz w:val="24"/>
          <w:szCs w:val="22"/>
          <w:highlight w:val="none"/>
          <w:u w:val="single"/>
          <w:lang w:val="en-US" w:eastAsia="zh-CN"/>
        </w:rPr>
        <w:t>仁发改和政数投审[2026]83号</w:t>
      </w:r>
      <w:r>
        <w:rPr>
          <w:rFonts w:hint="eastAsia" w:ascii="宋体" w:hAnsi="宋体" w:eastAsia="宋体" w:cs="宋体"/>
          <w:color w:val="auto"/>
          <w:kern w:val="0"/>
          <w:sz w:val="24"/>
          <w:szCs w:val="22"/>
          <w:highlight w:val="none"/>
          <w:u w:val="single"/>
          <w:lang w:eastAsia="zh-CN"/>
        </w:rPr>
        <w:t>）</w:t>
      </w:r>
      <w:r>
        <w:rPr>
          <w:rFonts w:hint="eastAsia" w:ascii="宋体" w:hAnsi="宋体" w:eastAsia="宋体" w:cs="宋体"/>
          <w:color w:val="auto"/>
          <w:kern w:val="0"/>
          <w:sz w:val="24"/>
          <w:szCs w:val="22"/>
          <w:highlight w:val="none"/>
        </w:rPr>
        <w:t>批准建设，项目代码为</w:t>
      </w:r>
      <w:r>
        <w:rPr>
          <w:rFonts w:hint="eastAsia" w:ascii="宋体" w:hAnsi="宋体" w:eastAsia="宋体" w:cs="宋体"/>
          <w:color w:val="auto"/>
          <w:kern w:val="0"/>
          <w:sz w:val="24"/>
          <w:szCs w:val="22"/>
          <w:highlight w:val="none"/>
          <w:u w:val="single"/>
          <w:lang w:val="en-US" w:eastAsia="zh-CN"/>
        </w:rPr>
        <w:t>2502-440224-04-01-128561、2605-440224-04-01-749568</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u w:val="none"/>
          <w:lang w:val="en-US" w:eastAsia="zh-CN"/>
        </w:rPr>
        <w:t>本工程项目业主</w:t>
      </w:r>
      <w:r>
        <w:rPr>
          <w:rFonts w:hint="eastAsia" w:ascii="宋体" w:hAnsi="宋体" w:eastAsia="宋体" w:cs="宋体"/>
          <w:bCs/>
          <w:snapToGrid w:val="0"/>
          <w:color w:val="auto"/>
          <w:kern w:val="0"/>
          <w:sz w:val="24"/>
          <w:szCs w:val="24"/>
          <w:highlight w:val="none"/>
          <w:u w:val="single"/>
          <w:lang w:val="en-US" w:eastAsia="zh-CN"/>
        </w:rPr>
        <w:t>为仁化县大桥镇人民政府</w:t>
      </w:r>
      <w:r>
        <w:rPr>
          <w:rFonts w:hint="eastAsia" w:ascii="宋体" w:hAnsi="宋体" w:eastAsia="宋体" w:cs="宋体"/>
          <w:bCs/>
          <w:snapToGrid w:val="0"/>
          <w:color w:val="auto"/>
          <w:kern w:val="0"/>
          <w:sz w:val="24"/>
          <w:szCs w:val="24"/>
          <w:highlight w:val="none"/>
          <w:u w:val="none"/>
          <w:lang w:val="en-US" w:eastAsia="zh-CN"/>
        </w:rPr>
        <w:t>，建设资金来自</w:t>
      </w:r>
      <w:r>
        <w:rPr>
          <w:rFonts w:hint="eastAsia" w:ascii="宋体" w:hAnsi="宋体" w:eastAsia="宋体" w:cs="宋体"/>
          <w:bCs/>
          <w:snapToGrid w:val="0"/>
          <w:color w:val="auto"/>
          <w:kern w:val="0"/>
          <w:sz w:val="24"/>
          <w:szCs w:val="24"/>
          <w:highlight w:val="none"/>
          <w:u w:val="single"/>
          <w:lang w:val="en-US" w:eastAsia="zh-CN"/>
        </w:rPr>
        <w:t>上级资金和县财政资金安排解决</w:t>
      </w:r>
      <w:r>
        <w:rPr>
          <w:rFonts w:hint="eastAsia" w:ascii="宋体" w:hAnsi="宋体" w:eastAsia="宋体" w:cs="宋体"/>
          <w:bCs/>
          <w:snapToGrid w:val="0"/>
          <w:color w:val="auto"/>
          <w:kern w:val="0"/>
          <w:sz w:val="24"/>
          <w:szCs w:val="24"/>
          <w:highlight w:val="none"/>
          <w:u w:val="none"/>
          <w:lang w:val="en-US" w:eastAsia="zh-CN"/>
        </w:rPr>
        <w:t>，招标人为</w:t>
      </w:r>
      <w:r>
        <w:rPr>
          <w:rFonts w:hint="eastAsia" w:ascii="宋体" w:hAnsi="宋体" w:eastAsia="宋体" w:cs="宋体"/>
          <w:bCs/>
          <w:snapToGrid w:val="0"/>
          <w:color w:val="auto"/>
          <w:kern w:val="0"/>
          <w:sz w:val="24"/>
          <w:szCs w:val="24"/>
          <w:highlight w:val="none"/>
          <w:u w:val="single"/>
          <w:lang w:val="en-US" w:eastAsia="zh-CN"/>
        </w:rPr>
        <w:t>仁化县大桥镇人民政府</w:t>
      </w:r>
      <w:r>
        <w:rPr>
          <w:rFonts w:hint="eastAsia" w:ascii="宋体" w:hAnsi="宋体" w:eastAsia="宋体" w:cs="宋体"/>
          <w:bCs/>
          <w:snapToGrid w:val="0"/>
          <w:color w:val="auto"/>
          <w:kern w:val="0"/>
          <w:sz w:val="24"/>
          <w:szCs w:val="24"/>
          <w:highlight w:val="none"/>
          <w:u w:val="none"/>
          <w:lang w:val="en-US" w:eastAsia="zh-CN"/>
        </w:rPr>
        <w:t>，招标代理机构为</w:t>
      </w:r>
      <w:r>
        <w:rPr>
          <w:rFonts w:hint="eastAsia" w:ascii="宋体" w:hAnsi="宋体" w:eastAsia="宋体" w:cs="宋体"/>
          <w:bCs/>
          <w:snapToGrid w:val="0"/>
          <w:color w:val="auto"/>
          <w:kern w:val="0"/>
          <w:sz w:val="24"/>
          <w:szCs w:val="24"/>
          <w:highlight w:val="none"/>
          <w:u w:val="single"/>
          <w:lang w:val="en-US" w:eastAsia="zh-CN"/>
        </w:rPr>
        <w:t>深圳群伦项目管理有限公司</w:t>
      </w:r>
      <w:r>
        <w:rPr>
          <w:rFonts w:hint="eastAsia" w:ascii="宋体" w:hAnsi="宋体" w:eastAsia="宋体" w:cs="宋体"/>
          <w:bCs/>
          <w:snapToGrid w:val="0"/>
          <w:color w:val="auto"/>
          <w:kern w:val="0"/>
          <w:sz w:val="24"/>
          <w:szCs w:val="24"/>
          <w:highlight w:val="none"/>
          <w:u w:val="none"/>
          <w:lang w:val="en-US" w:eastAsia="zh-CN"/>
        </w:rPr>
        <w:t>。本招标项目已具备招标条件，现对该项目</w:t>
      </w:r>
      <w:r>
        <w:rPr>
          <w:rFonts w:hint="eastAsia" w:ascii="宋体" w:hAnsi="宋体" w:eastAsia="宋体" w:cs="宋体"/>
          <w:bCs/>
          <w:snapToGrid w:val="0"/>
          <w:color w:val="auto"/>
          <w:kern w:val="0"/>
          <w:sz w:val="24"/>
          <w:szCs w:val="24"/>
          <w:highlight w:val="none"/>
          <w:u w:val="single"/>
          <w:lang w:val="en-US" w:eastAsia="zh-CN"/>
        </w:rPr>
        <w:t>施工</w:t>
      </w:r>
      <w:r>
        <w:rPr>
          <w:rFonts w:hint="eastAsia" w:ascii="宋体" w:hAnsi="宋体" w:eastAsia="宋体" w:cs="宋体"/>
          <w:bCs/>
          <w:snapToGrid w:val="0"/>
          <w:color w:val="auto"/>
          <w:kern w:val="0"/>
          <w:sz w:val="24"/>
          <w:szCs w:val="24"/>
          <w:highlight w:val="none"/>
          <w:u w:val="none"/>
          <w:lang w:val="en-US" w:eastAsia="zh-CN"/>
        </w:rPr>
        <w:t>进行公开招标。</w:t>
      </w:r>
    </w:p>
    <w:p w14:paraId="238EB322">
      <w:pPr>
        <w:keepNext w:val="0"/>
        <w:keepLines w:val="0"/>
        <w:pageBreakBefore w:val="0"/>
        <w:widowControl/>
        <w:kinsoku/>
        <w:wordWrap w:val="0"/>
        <w:overflowPunct/>
        <w:topLinePunct w:val="0"/>
        <w:autoSpaceDE w:val="0"/>
        <w:autoSpaceDN w:val="0"/>
        <w:bidi w:val="0"/>
        <w:adjustRightInd w:val="0"/>
        <w:snapToGrid w:val="0"/>
        <w:spacing w:line="360" w:lineRule="auto"/>
        <w:ind w:left="496" w:right="84" w:rightChars="40"/>
        <w:textAlignment w:val="baseline"/>
        <w:outlineLvl w:val="2"/>
        <w:rPr>
          <w:rFonts w:hint="eastAsia" w:ascii="宋体" w:hAnsi="宋体" w:eastAsia="宋体" w:cs="宋体"/>
          <w:color w:val="auto"/>
          <w:spacing w:val="0"/>
          <w:sz w:val="24"/>
          <w:szCs w:val="24"/>
          <w:highlight w:val="none"/>
        </w:rPr>
      </w:pPr>
      <w:bookmarkStart w:id="12" w:name="_Toc18479"/>
      <w:r>
        <w:rPr>
          <w:rFonts w:hint="eastAsia" w:ascii="宋体" w:hAnsi="宋体" w:eastAsia="宋体" w:cs="宋体"/>
          <w:b/>
          <w:bCs/>
          <w:color w:val="auto"/>
          <w:spacing w:val="0"/>
          <w:sz w:val="24"/>
          <w:szCs w:val="24"/>
          <w:highlight w:val="none"/>
        </w:rPr>
        <w:t>1 ．项目概况、招标范围和标段划分、投标费用等</w:t>
      </w:r>
      <w:bookmarkEnd w:id="11"/>
      <w:bookmarkEnd w:id="12"/>
    </w:p>
    <w:p w14:paraId="26BED16D">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  </w:t>
      </w:r>
      <w:r>
        <w:rPr>
          <w:rFonts w:hint="eastAsia" w:ascii="宋体" w:hAnsi="宋体" w:eastAsia="宋体" w:cs="宋体"/>
          <w:color w:val="auto"/>
          <w:spacing w:val="0"/>
          <w:sz w:val="24"/>
          <w:szCs w:val="24"/>
          <w:highlight w:val="none"/>
        </w:rPr>
        <w:t>项目概况</w:t>
      </w:r>
    </w:p>
    <w:p w14:paraId="33A0C0A8">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color w:val="auto"/>
          <w:spacing w:val="0"/>
          <w:sz w:val="24"/>
          <w:szCs w:val="24"/>
          <w:highlight w:val="none"/>
          <w:u w:val="single"/>
          <w:lang w:val="en-US" w:eastAsia="zh-CN"/>
        </w:rPr>
      </w:pPr>
      <w:r>
        <w:rPr>
          <w:rFonts w:hint="eastAsia" w:ascii="宋体" w:hAnsi="宋体" w:eastAsia="宋体" w:cs="宋体"/>
          <w:b/>
          <w:bCs/>
          <w:color w:val="auto"/>
          <w:spacing w:val="0"/>
          <w:sz w:val="24"/>
          <w:szCs w:val="24"/>
          <w:highlight w:val="none"/>
        </w:rPr>
        <w:t xml:space="preserve">1.1.1  </w:t>
      </w:r>
      <w:r>
        <w:rPr>
          <w:rFonts w:hint="eastAsia" w:ascii="宋体" w:hAnsi="宋体" w:eastAsia="宋体" w:cs="宋体"/>
          <w:color w:val="auto"/>
          <w:spacing w:val="0"/>
          <w:sz w:val="24"/>
          <w:szCs w:val="24"/>
          <w:highlight w:val="none"/>
        </w:rPr>
        <w:t>建设地点：</w:t>
      </w:r>
      <w:r>
        <w:rPr>
          <w:rFonts w:hint="eastAsia" w:ascii="宋体" w:hAnsi="宋体" w:eastAsia="宋体" w:cs="宋体"/>
          <w:color w:val="auto"/>
          <w:spacing w:val="0"/>
          <w:sz w:val="24"/>
          <w:szCs w:val="24"/>
          <w:highlight w:val="none"/>
          <w:u w:val="single"/>
          <w:lang w:val="en-US" w:eastAsia="zh-CN"/>
        </w:rPr>
        <w:t>仁化县大桥镇</w:t>
      </w:r>
    </w:p>
    <w:p w14:paraId="5D286F03">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snapToGrid w:val="0"/>
          <w:color w:val="auto"/>
          <w:kern w:val="0"/>
          <w:sz w:val="24"/>
          <w:highlight w:val="none"/>
          <w:u w:val="single"/>
          <w:lang w:val="en-US" w:eastAsia="zh-CN"/>
        </w:rPr>
      </w:pPr>
      <w:r>
        <w:rPr>
          <w:rFonts w:hint="eastAsia" w:ascii="宋体" w:hAnsi="宋体" w:eastAsia="宋体" w:cs="宋体"/>
          <w:b/>
          <w:bCs/>
          <w:color w:val="auto"/>
          <w:spacing w:val="0"/>
          <w:sz w:val="24"/>
          <w:szCs w:val="24"/>
          <w:highlight w:val="none"/>
        </w:rPr>
        <w:t xml:space="preserve">1.1.2  </w:t>
      </w:r>
      <w:r>
        <w:rPr>
          <w:rFonts w:hint="eastAsia" w:ascii="宋体" w:hAnsi="宋体" w:eastAsia="宋体" w:cs="宋体"/>
          <w:color w:val="auto"/>
          <w:spacing w:val="0"/>
          <w:sz w:val="24"/>
          <w:szCs w:val="24"/>
          <w:highlight w:val="none"/>
        </w:rPr>
        <w:t>建设内容和规模：</w:t>
      </w:r>
      <w:r>
        <w:rPr>
          <w:rFonts w:hint="eastAsia" w:ascii="宋体" w:hAnsi="宋体" w:eastAsia="宋体" w:cs="宋体"/>
          <w:snapToGrid w:val="0"/>
          <w:color w:val="auto"/>
          <w:kern w:val="0"/>
          <w:sz w:val="24"/>
          <w:highlight w:val="none"/>
          <w:u w:val="single"/>
          <w:lang w:val="en-US" w:eastAsia="zh-CN"/>
        </w:rPr>
        <w:t>完善雨污排水系统1007m，农村垃圾收集及分类运转站约1个，三线整治约13157m，照明工程约79盏，农村道路工程4528平方及其他人居环境整治6916平方米等。</w:t>
      </w:r>
    </w:p>
    <w:p w14:paraId="582D5F1D">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color w:val="auto"/>
          <w:spacing w:val="0"/>
          <w:sz w:val="24"/>
          <w:szCs w:val="24"/>
          <w:highlight w:val="none"/>
          <w:u w:val="single"/>
          <w:lang w:val="en-US" w:eastAsia="zh-CN"/>
        </w:rPr>
      </w:pPr>
      <w:r>
        <w:rPr>
          <w:rFonts w:hint="eastAsia" w:ascii="宋体" w:hAnsi="宋体" w:eastAsia="宋体" w:cs="宋体"/>
          <w:b/>
          <w:bCs/>
          <w:color w:val="auto"/>
          <w:spacing w:val="0"/>
          <w:sz w:val="24"/>
          <w:szCs w:val="24"/>
          <w:highlight w:val="none"/>
        </w:rPr>
        <w:t xml:space="preserve">1.1.3  </w:t>
      </w:r>
      <w:r>
        <w:rPr>
          <w:rFonts w:hint="eastAsia" w:ascii="宋体" w:hAnsi="宋体" w:eastAsia="宋体" w:cs="宋体"/>
          <w:color w:val="auto"/>
          <w:spacing w:val="0"/>
          <w:sz w:val="24"/>
          <w:szCs w:val="24"/>
          <w:highlight w:val="none"/>
        </w:rPr>
        <w:t>项目总投资</w:t>
      </w:r>
      <w:r>
        <w:rPr>
          <w:rStyle w:val="26"/>
          <w:rFonts w:hint="eastAsia" w:ascii="宋体" w:hAnsi="宋体" w:eastAsia="宋体" w:cs="宋体"/>
          <w:color w:val="auto"/>
          <w:spacing w:val="0"/>
          <w:kern w:val="0"/>
          <w:sz w:val="24"/>
          <w:szCs w:val="24"/>
          <w:highlight w:val="none"/>
        </w:rPr>
        <w:t>：</w:t>
      </w:r>
      <w:r>
        <w:rPr>
          <w:rFonts w:hint="eastAsia" w:ascii="宋体" w:hAnsi="宋体" w:eastAsia="宋体" w:cs="宋体"/>
          <w:snapToGrid w:val="0"/>
          <w:color w:val="auto"/>
          <w:kern w:val="0"/>
          <w:sz w:val="24"/>
          <w:highlight w:val="none"/>
          <w:u w:val="single"/>
          <w:lang w:val="en-US" w:eastAsia="zh-CN"/>
        </w:rPr>
        <w:t>项目概算总投资459.97万元，其中工程费用405.78万元、工程建设其他费用49.64万元、预备费用4.55万元。</w:t>
      </w:r>
    </w:p>
    <w:p w14:paraId="16BD1157">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color w:val="auto"/>
          <w:spacing w:val="0"/>
          <w:sz w:val="24"/>
          <w:szCs w:val="24"/>
          <w:highlight w:val="none"/>
          <w:u w:val="single"/>
          <w:lang w:val="en-US" w:eastAsia="zh-CN"/>
        </w:rPr>
      </w:pPr>
      <w:r>
        <w:rPr>
          <w:rFonts w:hint="eastAsia" w:ascii="宋体" w:hAnsi="宋体" w:eastAsia="宋体" w:cs="宋体"/>
          <w:b/>
          <w:bCs/>
          <w:color w:val="auto"/>
          <w:spacing w:val="0"/>
          <w:sz w:val="24"/>
          <w:szCs w:val="24"/>
          <w:highlight w:val="none"/>
          <w:u w:val="none"/>
          <w:lang w:val="en-US" w:eastAsia="zh-CN"/>
        </w:rPr>
        <w:t xml:space="preserve">1.2 </w:t>
      </w:r>
      <w:r>
        <w:rPr>
          <w:rFonts w:hint="eastAsia" w:ascii="宋体" w:hAnsi="宋体" w:eastAsia="宋体" w:cs="宋体"/>
          <w:color w:val="auto"/>
          <w:spacing w:val="0"/>
          <w:sz w:val="24"/>
          <w:szCs w:val="24"/>
          <w:highlight w:val="none"/>
          <w:u w:val="single"/>
          <w:lang w:val="en-US" w:eastAsia="zh-CN"/>
        </w:rPr>
        <w:t xml:space="preserve"> 招标范围和标段划分</w:t>
      </w:r>
    </w:p>
    <w:p w14:paraId="03788986">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b/>
          <w:bCs/>
          <w:color w:val="auto"/>
          <w:spacing w:val="0"/>
          <w:sz w:val="24"/>
          <w:szCs w:val="24"/>
          <w:highlight w:val="none"/>
        </w:rPr>
        <w:t xml:space="preserve">1.2.1  </w:t>
      </w:r>
      <w:r>
        <w:rPr>
          <w:rFonts w:hint="eastAsia" w:ascii="宋体" w:hAnsi="宋体" w:eastAsia="宋体" w:cs="宋体"/>
          <w:color w:val="auto"/>
          <w:spacing w:val="0"/>
          <w:sz w:val="24"/>
          <w:szCs w:val="24"/>
          <w:highlight w:val="none"/>
        </w:rPr>
        <w:t>招标范围：</w:t>
      </w:r>
      <w:r>
        <w:rPr>
          <w:rFonts w:hint="eastAsia" w:ascii="宋体" w:hAnsi="宋体" w:eastAsia="宋体" w:cs="宋体"/>
          <w:color w:val="auto"/>
          <w:spacing w:val="0"/>
          <w:sz w:val="24"/>
          <w:szCs w:val="24"/>
          <w:highlight w:val="none"/>
          <w:lang w:eastAsia="zh-CN"/>
        </w:rPr>
        <w:t>按审查合格的施工图纸及工程量清单内容施工。</w:t>
      </w:r>
    </w:p>
    <w:p w14:paraId="0DFB5F34">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color w:val="auto"/>
          <w:spacing w:val="0"/>
          <w:sz w:val="24"/>
          <w:szCs w:val="24"/>
          <w:highlight w:val="none"/>
        </w:rPr>
      </w:pPr>
      <w:bookmarkStart w:id="13" w:name="_Toc24593"/>
      <w:bookmarkStart w:id="14" w:name="_Toc28202"/>
      <w:bookmarkStart w:id="15" w:name="_Toc20855"/>
      <w:bookmarkStart w:id="16" w:name="_Toc14190"/>
      <w:r>
        <w:rPr>
          <w:rFonts w:hint="eastAsia" w:ascii="宋体" w:hAnsi="宋体" w:eastAsia="宋体" w:cs="宋体"/>
          <w:b/>
          <w:bCs/>
          <w:color w:val="auto"/>
          <w:spacing w:val="0"/>
          <w:sz w:val="24"/>
          <w:szCs w:val="24"/>
          <w:highlight w:val="none"/>
        </w:rPr>
        <w:t xml:space="preserve">1.2.2  </w:t>
      </w:r>
      <w:r>
        <w:rPr>
          <w:rFonts w:hint="eastAsia" w:ascii="宋体" w:hAnsi="宋体" w:eastAsia="宋体" w:cs="宋体"/>
          <w:color w:val="auto"/>
          <w:spacing w:val="0"/>
          <w:sz w:val="24"/>
          <w:szCs w:val="24"/>
          <w:highlight w:val="none"/>
        </w:rPr>
        <w:t>标段划分：本招标项目不划分标段。</w:t>
      </w:r>
      <w:bookmarkEnd w:id="13"/>
      <w:bookmarkEnd w:id="14"/>
      <w:bookmarkEnd w:id="15"/>
      <w:bookmarkEnd w:id="16"/>
    </w:p>
    <w:p w14:paraId="3BE6141C">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  </w:t>
      </w:r>
      <w:r>
        <w:rPr>
          <w:rFonts w:hint="eastAsia" w:ascii="宋体" w:hAnsi="宋体" w:eastAsia="宋体" w:cs="宋体"/>
          <w:color w:val="auto"/>
          <w:spacing w:val="0"/>
          <w:sz w:val="24"/>
          <w:szCs w:val="24"/>
          <w:highlight w:val="none"/>
        </w:rPr>
        <w:t>投标费用：投标人应承担所有准备和参加投标的相关费用，不论投标结果如何，招标人均无义务和责任承担这些费用。</w:t>
      </w:r>
    </w:p>
    <w:p w14:paraId="6DC29DD6">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  </w:t>
      </w:r>
      <w:r>
        <w:rPr>
          <w:rFonts w:hint="eastAsia" w:ascii="宋体" w:hAnsi="宋体" w:eastAsia="宋体" w:cs="宋体"/>
          <w:color w:val="auto"/>
          <w:spacing w:val="0"/>
          <w:sz w:val="24"/>
          <w:szCs w:val="24"/>
          <w:highlight w:val="none"/>
        </w:rPr>
        <w:t xml:space="preserve">招标代理费用：  </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shd w:val="clear" w:color="auto" w:fill="FFFFFF"/>
        </w:rPr>
        <w:t xml:space="preserve"> 由</w:t>
      </w:r>
      <w:r>
        <w:rPr>
          <w:rFonts w:hint="eastAsia" w:ascii="宋体" w:hAnsi="宋体" w:eastAsia="宋体" w:cs="宋体"/>
          <w:color w:val="auto"/>
          <w:spacing w:val="0"/>
          <w:sz w:val="24"/>
          <w:szCs w:val="24"/>
          <w:highlight w:val="none"/>
        </w:rPr>
        <w:t>项目业主</w:t>
      </w:r>
      <w:r>
        <w:rPr>
          <w:rFonts w:hint="eastAsia" w:ascii="宋体" w:hAnsi="宋体" w:eastAsia="宋体" w:cs="宋体"/>
          <w:color w:val="auto"/>
          <w:spacing w:val="0"/>
          <w:sz w:val="24"/>
          <w:szCs w:val="24"/>
          <w:highlight w:val="none"/>
          <w:shd w:val="clear" w:color="auto" w:fill="FFFFFF"/>
        </w:rPr>
        <w:t>支</w:t>
      </w:r>
      <w:r>
        <w:rPr>
          <w:rFonts w:hint="eastAsia" w:ascii="宋体" w:hAnsi="宋体" w:eastAsia="宋体" w:cs="宋体"/>
          <w:color w:val="auto"/>
          <w:spacing w:val="0"/>
          <w:sz w:val="24"/>
          <w:szCs w:val="24"/>
          <w:highlight w:val="none"/>
        </w:rPr>
        <w:t>付</w:t>
      </w:r>
      <w:r>
        <w:rPr>
          <w:rFonts w:hint="eastAsia" w:ascii="宋体" w:hAnsi="宋体" w:eastAsia="宋体" w:cs="宋体"/>
          <w:color w:val="auto"/>
          <w:spacing w:val="0"/>
          <w:position w:val="-6"/>
          <w:sz w:val="24"/>
          <w:szCs w:val="24"/>
          <w:highlight w:val="none"/>
          <w:shd w:val="clear" w:color="auto" w:fill="FFFFFF"/>
          <w:lang w:eastAsia="zh-CN"/>
        </w:rPr>
        <w:t xml:space="preserve"> </w:t>
      </w:r>
      <w:r>
        <w:rPr>
          <w:rFonts w:hint="eastAsia" w:ascii="宋体" w:hAnsi="宋体" w:eastAsia="宋体" w:cs="宋体"/>
          <w:color w:val="auto"/>
          <w:spacing w:val="0"/>
          <w:sz w:val="24"/>
          <w:szCs w:val="24"/>
          <w:highlight w:val="none"/>
          <w:shd w:val="clear" w:color="auto" w:fill="FFFFFF"/>
          <w:lang w:eastAsia="zh-CN"/>
        </w:rPr>
        <w:t>☑</w:t>
      </w:r>
      <w:r>
        <w:rPr>
          <w:rFonts w:hint="eastAsia" w:ascii="宋体" w:hAnsi="宋体" w:eastAsia="宋体" w:cs="宋体"/>
          <w:color w:val="auto"/>
          <w:spacing w:val="0"/>
          <w:sz w:val="24"/>
          <w:szCs w:val="24"/>
          <w:highlight w:val="none"/>
          <w:shd w:val="clear" w:color="auto" w:fill="FFFFFF"/>
        </w:rPr>
        <w:t xml:space="preserve"> 由中标人支付。</w:t>
      </w:r>
    </w:p>
    <w:p w14:paraId="3514024E">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jc w:val="left"/>
        <w:textAlignment w:val="baseline"/>
        <w:outlineLvl w:val="2"/>
        <w:rPr>
          <w:rFonts w:hint="eastAsia" w:ascii="宋体" w:hAnsi="宋体" w:eastAsia="宋体" w:cs="宋体"/>
          <w:b w:val="0"/>
          <w:bCs w:val="0"/>
          <w:color w:val="auto"/>
          <w:spacing w:val="0"/>
          <w:sz w:val="24"/>
          <w:szCs w:val="24"/>
          <w:highlight w:val="none"/>
        </w:rPr>
      </w:pPr>
      <w:bookmarkStart w:id="17" w:name="_Toc5575"/>
      <w:r>
        <w:rPr>
          <w:rFonts w:hint="eastAsia" w:ascii="宋体" w:hAnsi="宋体" w:eastAsia="宋体" w:cs="宋体"/>
          <w:b/>
          <w:bCs/>
          <w:color w:val="auto"/>
          <w:spacing w:val="0"/>
          <w:sz w:val="24"/>
          <w:szCs w:val="24"/>
          <w:highlight w:val="none"/>
        </w:rPr>
        <w:t>2．</w:t>
      </w:r>
      <w:r>
        <w:rPr>
          <w:rFonts w:hint="eastAsia" w:ascii="宋体" w:hAnsi="宋体" w:eastAsia="宋体" w:cs="宋体"/>
          <w:b w:val="0"/>
          <w:bCs w:val="0"/>
          <w:color w:val="auto"/>
          <w:spacing w:val="0"/>
          <w:sz w:val="24"/>
          <w:szCs w:val="24"/>
          <w:highlight w:val="none"/>
          <w:lang w:eastAsia="zh-CN"/>
        </w:rPr>
        <w:t>投标人</w:t>
      </w:r>
      <w:r>
        <w:rPr>
          <w:rFonts w:hint="eastAsia" w:ascii="宋体" w:hAnsi="宋体" w:eastAsia="宋体" w:cs="宋体"/>
          <w:b w:val="0"/>
          <w:bCs w:val="0"/>
          <w:color w:val="auto"/>
          <w:spacing w:val="0"/>
          <w:sz w:val="24"/>
          <w:szCs w:val="24"/>
          <w:highlight w:val="none"/>
        </w:rPr>
        <w:t>资质要求</w:t>
      </w:r>
      <w:bookmarkEnd w:id="17"/>
    </w:p>
    <w:p w14:paraId="0B6753F0">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b w:val="0"/>
          <w:bCs w:val="0"/>
          <w:color w:val="auto"/>
          <w:spacing w:val="0"/>
          <w:kern w:val="0"/>
          <w:sz w:val="24"/>
          <w:szCs w:val="24"/>
          <w:highlight w:val="none"/>
          <w:lang w:val="en-US" w:eastAsia="zh-CN" w:bidi="ar-SA"/>
        </w:rPr>
      </w:pPr>
      <w:r>
        <w:rPr>
          <w:rFonts w:hint="eastAsia" w:ascii="宋体" w:hAnsi="宋体" w:eastAsia="宋体" w:cs="宋体"/>
          <w:b/>
          <w:bCs/>
          <w:color w:val="auto"/>
          <w:spacing w:val="0"/>
          <w:kern w:val="0"/>
          <w:sz w:val="24"/>
          <w:szCs w:val="24"/>
          <w:highlight w:val="none"/>
          <w:lang w:val="en-US" w:eastAsia="zh-CN" w:bidi="ar-SA"/>
        </w:rPr>
        <w:t>2.1</w:t>
      </w:r>
      <w:r>
        <w:rPr>
          <w:rFonts w:hint="eastAsia" w:ascii="宋体" w:hAnsi="宋体" w:eastAsia="宋体" w:cs="宋体"/>
          <w:b w:val="0"/>
          <w:bCs w:val="0"/>
          <w:color w:val="auto"/>
          <w:spacing w:val="0"/>
          <w:kern w:val="0"/>
          <w:sz w:val="24"/>
          <w:szCs w:val="24"/>
          <w:highlight w:val="none"/>
          <w:lang w:val="en-US" w:eastAsia="zh-CN" w:bidi="ar-SA"/>
        </w:rPr>
        <w:t xml:space="preserve"> 本次招标</w:t>
      </w:r>
      <w:r>
        <w:rPr>
          <w:rFonts w:hint="eastAsia" w:ascii="宋体" w:hAnsi="宋体" w:eastAsia="宋体" w:cs="宋体"/>
          <w:b/>
          <w:bCs/>
          <w:color w:val="auto"/>
          <w:spacing w:val="0"/>
          <w:kern w:val="0"/>
          <w:sz w:val="24"/>
          <w:szCs w:val="24"/>
          <w:highlight w:val="none"/>
          <w:lang w:val="en-US" w:eastAsia="zh-CN" w:bidi="ar-SA"/>
        </w:rPr>
        <w:t>不接受</w:t>
      </w:r>
      <w:r>
        <w:rPr>
          <w:rFonts w:hint="eastAsia" w:ascii="宋体" w:hAnsi="宋体" w:eastAsia="宋体" w:cs="宋体"/>
          <w:b w:val="0"/>
          <w:bCs w:val="0"/>
          <w:color w:val="auto"/>
          <w:spacing w:val="0"/>
          <w:kern w:val="0"/>
          <w:sz w:val="24"/>
          <w:szCs w:val="24"/>
          <w:highlight w:val="none"/>
          <w:lang w:val="en-US" w:eastAsia="zh-CN" w:bidi="ar-SA"/>
        </w:rPr>
        <w:t>联合体投标。</w:t>
      </w:r>
    </w:p>
    <w:p w14:paraId="26DA6CF0">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b w:val="0"/>
          <w:bCs w:val="0"/>
          <w:color w:val="auto"/>
          <w:spacing w:val="0"/>
          <w:kern w:val="0"/>
          <w:sz w:val="24"/>
          <w:szCs w:val="24"/>
          <w:highlight w:val="none"/>
          <w:lang w:val="en-US" w:eastAsia="zh-CN" w:bidi="ar-SA"/>
        </w:rPr>
      </w:pPr>
      <w:r>
        <w:rPr>
          <w:rFonts w:hint="eastAsia" w:ascii="宋体" w:hAnsi="宋体" w:eastAsia="宋体" w:cs="宋体"/>
          <w:b/>
          <w:bCs/>
          <w:color w:val="auto"/>
          <w:spacing w:val="0"/>
          <w:kern w:val="0"/>
          <w:sz w:val="24"/>
          <w:szCs w:val="24"/>
          <w:highlight w:val="none"/>
          <w:lang w:val="en-US" w:eastAsia="zh-CN" w:bidi="ar-SA"/>
        </w:rPr>
        <w:t>2.2</w:t>
      </w:r>
      <w:r>
        <w:rPr>
          <w:rFonts w:hint="eastAsia" w:ascii="宋体" w:hAnsi="宋体" w:eastAsia="宋体" w:cs="宋体"/>
          <w:b w:val="0"/>
          <w:bCs w:val="0"/>
          <w:color w:val="auto"/>
          <w:spacing w:val="0"/>
          <w:kern w:val="0"/>
          <w:sz w:val="24"/>
          <w:szCs w:val="24"/>
          <w:highlight w:val="none"/>
          <w:lang w:val="en-US" w:eastAsia="zh-CN" w:bidi="ar-SA"/>
        </w:rPr>
        <w:t xml:space="preserve"> 资格资质要求</w:t>
      </w:r>
    </w:p>
    <w:p w14:paraId="598EC804">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b w:val="0"/>
          <w:bCs w:val="0"/>
          <w:color w:val="auto"/>
          <w:spacing w:val="0"/>
          <w:kern w:val="0"/>
          <w:sz w:val="24"/>
          <w:szCs w:val="24"/>
          <w:highlight w:val="none"/>
          <w:lang w:val="en-US" w:eastAsia="zh-CN" w:bidi="ar-SA"/>
        </w:rPr>
      </w:pPr>
      <w:r>
        <w:rPr>
          <w:rFonts w:hint="eastAsia" w:ascii="宋体" w:hAnsi="宋体" w:eastAsia="宋体" w:cs="宋体"/>
          <w:b/>
          <w:bCs/>
          <w:color w:val="auto"/>
          <w:spacing w:val="0"/>
          <w:kern w:val="0"/>
          <w:sz w:val="24"/>
          <w:szCs w:val="24"/>
          <w:highlight w:val="none"/>
          <w:lang w:val="en-US" w:eastAsia="zh-CN" w:bidi="ar-SA"/>
        </w:rPr>
        <w:t>2.2.1</w:t>
      </w:r>
      <w:r>
        <w:rPr>
          <w:rFonts w:hint="eastAsia" w:ascii="宋体" w:hAnsi="宋体" w:eastAsia="宋体" w:cs="宋体"/>
          <w:b w:val="0"/>
          <w:bCs w:val="0"/>
          <w:color w:val="auto"/>
          <w:spacing w:val="0"/>
          <w:kern w:val="0"/>
          <w:sz w:val="24"/>
          <w:szCs w:val="24"/>
          <w:highlight w:val="none"/>
          <w:lang w:val="en-US" w:eastAsia="zh-CN" w:bidi="ar-SA"/>
        </w:rPr>
        <w:t xml:space="preserve"> 投标人须具备独立法人资格，按国家法律经营。</w:t>
      </w:r>
    </w:p>
    <w:p w14:paraId="014575D1">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b w:val="0"/>
          <w:bCs w:val="0"/>
          <w:color w:val="auto"/>
          <w:spacing w:val="0"/>
          <w:kern w:val="0"/>
          <w:sz w:val="24"/>
          <w:szCs w:val="24"/>
          <w:highlight w:val="none"/>
          <w:lang w:val="en-US" w:eastAsia="zh-CN" w:bidi="ar-SA"/>
        </w:rPr>
      </w:pPr>
      <w:r>
        <w:rPr>
          <w:rFonts w:hint="eastAsia" w:ascii="宋体" w:hAnsi="宋体" w:eastAsia="宋体" w:cs="宋体"/>
          <w:b/>
          <w:bCs/>
          <w:color w:val="auto"/>
          <w:spacing w:val="0"/>
          <w:kern w:val="0"/>
          <w:sz w:val="24"/>
          <w:szCs w:val="24"/>
          <w:highlight w:val="none"/>
          <w:lang w:val="en-US" w:eastAsia="zh-CN" w:bidi="ar-SA"/>
        </w:rPr>
        <w:t>2.2.2</w:t>
      </w:r>
      <w:r>
        <w:rPr>
          <w:rFonts w:hint="eastAsia" w:ascii="宋体" w:hAnsi="宋体" w:eastAsia="宋体" w:cs="宋体"/>
          <w:b w:val="0"/>
          <w:bCs w:val="0"/>
          <w:color w:val="auto"/>
          <w:spacing w:val="0"/>
          <w:kern w:val="0"/>
          <w:sz w:val="24"/>
          <w:szCs w:val="24"/>
          <w:highlight w:val="none"/>
          <w:lang w:val="en-US" w:eastAsia="zh-CN" w:bidi="ar-SA"/>
        </w:rPr>
        <w:t xml:space="preserve"> 投标人须持有建设行政主管部门颁发的企业资质证书及安全生产许可证。</w:t>
      </w:r>
    </w:p>
    <w:p w14:paraId="18EA7E80">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Fonts w:hint="eastAsia" w:ascii="宋体" w:hAnsi="宋体" w:eastAsia="宋体" w:cs="宋体"/>
          <w:b w:val="0"/>
          <w:bCs w:val="0"/>
          <w:color w:val="auto"/>
          <w:spacing w:val="0"/>
          <w:kern w:val="0"/>
          <w:sz w:val="24"/>
          <w:szCs w:val="24"/>
          <w:highlight w:val="none"/>
          <w:lang w:val="en-US" w:eastAsia="zh-CN" w:bidi="ar-SA"/>
        </w:rPr>
      </w:pPr>
      <w:r>
        <w:rPr>
          <w:rFonts w:hint="eastAsia" w:ascii="宋体" w:hAnsi="宋体" w:eastAsia="宋体" w:cs="宋体"/>
          <w:b/>
          <w:bCs/>
          <w:color w:val="auto"/>
          <w:spacing w:val="0"/>
          <w:kern w:val="0"/>
          <w:sz w:val="24"/>
          <w:szCs w:val="24"/>
          <w:highlight w:val="none"/>
          <w:lang w:val="en-US" w:eastAsia="zh-CN" w:bidi="ar-SA"/>
        </w:rPr>
        <w:t xml:space="preserve">2.2.3 </w:t>
      </w:r>
      <w:r>
        <w:rPr>
          <w:rFonts w:hint="eastAsia" w:ascii="宋体" w:hAnsi="宋体" w:eastAsia="宋体" w:cs="宋体"/>
          <w:snapToGrid w:val="0"/>
          <w:color w:val="auto"/>
          <w:spacing w:val="0"/>
          <w:kern w:val="0"/>
          <w:sz w:val="24"/>
          <w:szCs w:val="24"/>
          <w:highlight w:val="none"/>
          <w:lang w:eastAsia="zh-CN" w:bidi="ar-SA"/>
        </w:rPr>
        <w:t>投标人须具备以下资质：</w:t>
      </w:r>
      <w:r>
        <w:rPr>
          <w:rFonts w:hint="eastAsia" w:ascii="宋体" w:hAnsi="宋体" w:eastAsia="宋体" w:cs="宋体"/>
          <w:snapToGrid w:val="0"/>
          <w:color w:val="auto"/>
          <w:kern w:val="0"/>
          <w:sz w:val="24"/>
          <w:szCs w:val="24"/>
          <w:highlight w:val="none"/>
          <w:u w:val="single"/>
          <w:lang w:eastAsia="zh-CN"/>
        </w:rPr>
        <w:t>具</w:t>
      </w:r>
      <w:r>
        <w:rPr>
          <w:rFonts w:hint="eastAsia" w:ascii="宋体" w:hAnsi="宋体" w:eastAsia="宋体" w:cs="宋体"/>
          <w:snapToGrid w:val="0"/>
          <w:color w:val="auto"/>
          <w:kern w:val="0"/>
          <w:sz w:val="24"/>
          <w:szCs w:val="24"/>
          <w:highlight w:val="none"/>
          <w:u w:val="single"/>
          <w:lang w:val="en-US" w:eastAsia="zh-CN"/>
        </w:rPr>
        <w:t>有</w:t>
      </w:r>
      <w:r>
        <w:rPr>
          <w:rFonts w:hint="eastAsia" w:ascii="宋体" w:hAnsi="宋体" w:eastAsia="宋体" w:cs="宋体"/>
          <w:snapToGrid w:val="0"/>
          <w:color w:val="auto"/>
          <w:kern w:val="0"/>
          <w:sz w:val="24"/>
          <w:szCs w:val="24"/>
          <w:highlight w:val="none"/>
          <w:u w:val="single"/>
          <w:lang w:eastAsia="zh-CN"/>
        </w:rPr>
        <w:t>市政公用工程施工总承包三级以上（含三级）资质，并在有效期内</w:t>
      </w:r>
      <w:r>
        <w:rPr>
          <w:rFonts w:hint="eastAsia" w:ascii="宋体" w:hAnsi="宋体" w:eastAsia="宋体" w:cs="宋体"/>
          <w:snapToGrid w:val="0"/>
          <w:color w:val="auto"/>
          <w:spacing w:val="0"/>
          <w:kern w:val="0"/>
          <w:sz w:val="24"/>
          <w:szCs w:val="24"/>
          <w:highlight w:val="none"/>
          <w:lang w:eastAsia="zh-CN" w:bidi="ar-SA"/>
        </w:rPr>
        <w:t>。</w:t>
      </w:r>
    </w:p>
    <w:p w14:paraId="09954442">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Style w:val="26"/>
          <w:rFonts w:hint="eastAsia" w:ascii="宋体" w:hAnsi="宋体" w:eastAsia="宋体" w:cs="宋体"/>
          <w:b w:val="0"/>
          <w:bCs w:val="0"/>
          <w:color w:val="auto"/>
          <w:spacing w:val="0"/>
          <w:kern w:val="0"/>
          <w:sz w:val="24"/>
          <w:szCs w:val="24"/>
          <w:highlight w:val="none"/>
          <w:lang w:val="en-US" w:eastAsia="zh-CN"/>
        </w:rPr>
      </w:pPr>
      <w:r>
        <w:rPr>
          <w:rFonts w:hint="eastAsia" w:ascii="宋体" w:hAnsi="宋体" w:eastAsia="宋体" w:cs="宋体"/>
          <w:b/>
          <w:bCs/>
          <w:color w:val="auto"/>
          <w:spacing w:val="0"/>
          <w:kern w:val="0"/>
          <w:sz w:val="24"/>
          <w:szCs w:val="24"/>
          <w:highlight w:val="none"/>
          <w:lang w:val="en-US" w:eastAsia="zh-CN" w:bidi="ar-SA"/>
        </w:rPr>
        <w:t>2.2.4</w:t>
      </w:r>
      <w:r>
        <w:rPr>
          <w:rFonts w:hint="eastAsia" w:ascii="宋体" w:hAnsi="宋体" w:eastAsia="宋体" w:cs="宋体"/>
          <w:b w:val="0"/>
          <w:bCs w:val="0"/>
          <w:color w:val="auto"/>
          <w:spacing w:val="0"/>
          <w:kern w:val="0"/>
          <w:sz w:val="24"/>
          <w:szCs w:val="24"/>
          <w:highlight w:val="none"/>
          <w:lang w:val="en-US" w:eastAsia="zh-CN" w:bidi="ar-SA"/>
        </w:rPr>
        <w:t xml:space="preserve">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F9CF9A1">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Style w:val="26"/>
          <w:rFonts w:hint="eastAsia" w:ascii="宋体" w:hAnsi="宋体" w:eastAsia="宋体" w:cs="宋体"/>
          <w:b w:val="0"/>
          <w:bCs w:val="0"/>
          <w:color w:val="auto"/>
          <w:spacing w:val="0"/>
          <w:kern w:val="0"/>
          <w:sz w:val="24"/>
          <w:szCs w:val="24"/>
          <w:highlight w:val="none"/>
          <w:lang w:val="en-US" w:eastAsia="zh-CN"/>
        </w:rPr>
      </w:pPr>
      <w:r>
        <w:rPr>
          <w:rStyle w:val="26"/>
          <w:rFonts w:hint="eastAsia" w:ascii="宋体" w:hAnsi="宋体" w:eastAsia="宋体" w:cs="宋体"/>
          <w:b/>
          <w:bCs/>
          <w:color w:val="auto"/>
          <w:spacing w:val="0"/>
          <w:kern w:val="0"/>
          <w:sz w:val="24"/>
          <w:szCs w:val="24"/>
          <w:highlight w:val="none"/>
          <w:lang w:val="en-US" w:eastAsia="zh-CN"/>
        </w:rPr>
        <w:t>2.3</w:t>
      </w:r>
      <w:r>
        <w:rPr>
          <w:rStyle w:val="26"/>
          <w:rFonts w:hint="eastAsia" w:ascii="宋体" w:hAnsi="宋体" w:eastAsia="宋体" w:cs="宋体"/>
          <w:b w:val="0"/>
          <w:bCs w:val="0"/>
          <w:color w:val="auto"/>
          <w:spacing w:val="0"/>
          <w:kern w:val="0"/>
          <w:sz w:val="24"/>
          <w:szCs w:val="24"/>
          <w:highlight w:val="none"/>
          <w:lang w:val="en-US" w:eastAsia="zh-CN"/>
        </w:rPr>
        <w:t xml:space="preserve"> 相关人员要求</w:t>
      </w:r>
    </w:p>
    <w:p w14:paraId="49155701">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Style w:val="26"/>
          <w:rFonts w:hint="eastAsia" w:ascii="宋体" w:hAnsi="宋体" w:eastAsia="宋体" w:cs="宋体"/>
          <w:b w:val="0"/>
          <w:bCs w:val="0"/>
          <w:color w:val="auto"/>
          <w:spacing w:val="0"/>
          <w:kern w:val="0"/>
          <w:sz w:val="24"/>
          <w:szCs w:val="24"/>
          <w:highlight w:val="none"/>
          <w:lang w:val="en-US" w:eastAsia="zh-CN"/>
        </w:rPr>
      </w:pPr>
      <w:r>
        <w:rPr>
          <w:rStyle w:val="26"/>
          <w:rFonts w:hint="eastAsia" w:ascii="宋体" w:hAnsi="宋体" w:eastAsia="宋体" w:cs="宋体"/>
          <w:b/>
          <w:bCs/>
          <w:color w:val="auto"/>
          <w:spacing w:val="0"/>
          <w:kern w:val="0"/>
          <w:sz w:val="24"/>
          <w:szCs w:val="24"/>
          <w:highlight w:val="none"/>
          <w:lang w:val="en-US" w:eastAsia="zh-CN"/>
        </w:rPr>
        <w:t xml:space="preserve">2.3.1 </w:t>
      </w:r>
      <w:r>
        <w:rPr>
          <w:rStyle w:val="26"/>
          <w:rFonts w:hint="eastAsia" w:ascii="宋体" w:hAnsi="宋体" w:eastAsia="宋体" w:cs="宋体"/>
          <w:b w:val="0"/>
          <w:bCs w:val="0"/>
          <w:color w:val="auto"/>
          <w:spacing w:val="0"/>
          <w:kern w:val="0"/>
          <w:sz w:val="24"/>
          <w:szCs w:val="24"/>
          <w:highlight w:val="none"/>
          <w:lang w:val="en-US" w:eastAsia="zh-CN"/>
        </w:rPr>
        <w:t>拟派项目经理为</w:t>
      </w:r>
      <w:r>
        <w:rPr>
          <w:rStyle w:val="26"/>
          <w:rFonts w:hint="eastAsia" w:ascii="宋体" w:hAnsi="宋体" w:eastAsia="宋体" w:cs="宋体"/>
          <w:b w:val="0"/>
          <w:bCs w:val="0"/>
          <w:color w:val="auto"/>
          <w:spacing w:val="0"/>
          <w:kern w:val="0"/>
          <w:sz w:val="24"/>
          <w:szCs w:val="24"/>
          <w:highlight w:val="none"/>
          <w:u w:val="single"/>
          <w:lang w:val="en-US" w:eastAsia="zh-CN"/>
        </w:rPr>
        <w:t>市政公用工程</w:t>
      </w:r>
      <w:r>
        <w:rPr>
          <w:rStyle w:val="26"/>
          <w:rFonts w:hint="eastAsia" w:ascii="宋体" w:hAnsi="宋体" w:eastAsia="宋体" w:cs="宋体"/>
          <w:b w:val="0"/>
          <w:bCs w:val="0"/>
          <w:color w:val="auto"/>
          <w:spacing w:val="0"/>
          <w:kern w:val="0"/>
          <w:sz w:val="24"/>
          <w:szCs w:val="24"/>
          <w:highlight w:val="none"/>
          <w:lang w:val="en-US" w:eastAsia="zh-CN"/>
        </w:rPr>
        <w:t>专业一级或二级注册建造师，应持有住建部门印发的在使用有效期内的有效电子注册证书（根据广东省住房和城乡建设厅（粤建市函〔2023〕469号）文件精神，二级注册建造师可随注册企业在全国范围内执业），同时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p>
    <w:p w14:paraId="5F0FE099">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Style w:val="26"/>
          <w:rFonts w:hint="eastAsia" w:ascii="宋体" w:hAnsi="宋体" w:eastAsia="宋体" w:cs="宋体"/>
          <w:b w:val="0"/>
          <w:bCs w:val="0"/>
          <w:color w:val="auto"/>
          <w:spacing w:val="0"/>
          <w:kern w:val="0"/>
          <w:sz w:val="24"/>
          <w:szCs w:val="24"/>
          <w:highlight w:val="none"/>
          <w:lang w:val="en-US" w:eastAsia="zh-CN"/>
        </w:rPr>
      </w:pPr>
      <w:r>
        <w:rPr>
          <w:rStyle w:val="26"/>
          <w:rFonts w:hint="eastAsia" w:ascii="宋体" w:hAnsi="宋体" w:eastAsia="宋体" w:cs="宋体"/>
          <w:b/>
          <w:bCs/>
          <w:color w:val="auto"/>
          <w:spacing w:val="0"/>
          <w:kern w:val="0"/>
          <w:sz w:val="24"/>
          <w:szCs w:val="24"/>
          <w:highlight w:val="none"/>
          <w:lang w:val="en-US" w:eastAsia="zh-CN"/>
        </w:rPr>
        <w:t>2.3.2</w:t>
      </w:r>
      <w:r>
        <w:rPr>
          <w:rStyle w:val="26"/>
          <w:rFonts w:hint="eastAsia" w:ascii="宋体" w:hAnsi="宋体" w:eastAsia="宋体" w:cs="宋体"/>
          <w:b w:val="0"/>
          <w:bCs w:val="0"/>
          <w:color w:val="auto"/>
          <w:spacing w:val="0"/>
          <w:kern w:val="0"/>
          <w:sz w:val="24"/>
          <w:szCs w:val="24"/>
          <w:highlight w:val="none"/>
          <w:lang w:val="en-US" w:eastAsia="zh-CN"/>
        </w:rPr>
        <w:t xml:space="preserve"> 拟派项目技术负责人须具备</w:t>
      </w:r>
      <w:r>
        <w:rPr>
          <w:rStyle w:val="26"/>
          <w:rFonts w:hint="eastAsia" w:ascii="宋体" w:hAnsi="宋体" w:eastAsia="宋体" w:cs="宋体"/>
          <w:b w:val="0"/>
          <w:bCs w:val="0"/>
          <w:color w:val="auto"/>
          <w:spacing w:val="0"/>
          <w:kern w:val="0"/>
          <w:sz w:val="24"/>
          <w:szCs w:val="24"/>
          <w:highlight w:val="none"/>
          <w:u w:val="none"/>
          <w:lang w:val="en-US" w:eastAsia="zh-CN"/>
        </w:rPr>
        <w:t>中级工程师以上（含中级）</w:t>
      </w:r>
      <w:r>
        <w:rPr>
          <w:rStyle w:val="26"/>
          <w:rFonts w:hint="eastAsia" w:ascii="宋体" w:hAnsi="宋体" w:eastAsia="宋体" w:cs="宋体"/>
          <w:b w:val="0"/>
          <w:bCs w:val="0"/>
          <w:color w:val="auto"/>
          <w:spacing w:val="0"/>
          <w:kern w:val="0"/>
          <w:sz w:val="24"/>
          <w:szCs w:val="24"/>
          <w:highlight w:val="none"/>
          <w:lang w:val="en-US" w:eastAsia="zh-CN"/>
        </w:rPr>
        <w:t>技术职称。</w:t>
      </w:r>
    </w:p>
    <w:p w14:paraId="4A2C1918">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Style w:val="26"/>
          <w:rFonts w:hint="eastAsia" w:ascii="宋体" w:hAnsi="宋体" w:eastAsia="宋体" w:cs="宋体"/>
          <w:b w:val="0"/>
          <w:bCs w:val="0"/>
          <w:color w:val="auto"/>
          <w:spacing w:val="0"/>
          <w:kern w:val="0"/>
          <w:sz w:val="24"/>
          <w:szCs w:val="24"/>
          <w:highlight w:val="none"/>
          <w:lang w:val="en-US" w:eastAsia="zh-CN"/>
        </w:rPr>
      </w:pPr>
      <w:r>
        <w:rPr>
          <w:rStyle w:val="26"/>
          <w:rFonts w:hint="eastAsia" w:ascii="宋体" w:hAnsi="宋体" w:eastAsia="宋体" w:cs="宋体"/>
          <w:b/>
          <w:bCs/>
          <w:color w:val="auto"/>
          <w:spacing w:val="0"/>
          <w:kern w:val="0"/>
          <w:sz w:val="24"/>
          <w:szCs w:val="24"/>
          <w:highlight w:val="none"/>
          <w:lang w:val="en-US" w:eastAsia="zh-CN"/>
        </w:rPr>
        <w:t xml:space="preserve">2.3.3 </w:t>
      </w:r>
      <w:r>
        <w:rPr>
          <w:rStyle w:val="26"/>
          <w:rFonts w:hint="eastAsia" w:ascii="宋体" w:hAnsi="宋体" w:eastAsia="宋体" w:cs="宋体"/>
          <w:b w:val="0"/>
          <w:bCs w:val="0"/>
          <w:color w:val="auto"/>
          <w:spacing w:val="0"/>
          <w:kern w:val="0"/>
          <w:sz w:val="24"/>
          <w:szCs w:val="24"/>
          <w:highlight w:val="none"/>
          <w:lang w:val="en-US" w:eastAsia="zh-CN"/>
        </w:rPr>
        <w:t>投标人拟派专职安全生产管理人员须具备有效安全生产考核合格证明（C证，安全生产考核合格证书或“广东省建筑施工企业管理人员安全生产考核系统”考核合格信息打印页），且不少于</w:t>
      </w:r>
      <w:r>
        <w:rPr>
          <w:rStyle w:val="26"/>
          <w:rFonts w:hint="eastAsia" w:ascii="宋体" w:hAnsi="宋体" w:eastAsia="宋体" w:cs="宋体"/>
          <w:b w:val="0"/>
          <w:bCs w:val="0"/>
          <w:color w:val="auto"/>
          <w:spacing w:val="0"/>
          <w:kern w:val="0"/>
          <w:sz w:val="24"/>
          <w:szCs w:val="24"/>
          <w:highlight w:val="none"/>
          <w:u w:val="single"/>
          <w:lang w:val="en-US" w:eastAsia="zh-CN"/>
        </w:rPr>
        <w:t xml:space="preserve"> 1 </w:t>
      </w:r>
      <w:r>
        <w:rPr>
          <w:rStyle w:val="26"/>
          <w:rFonts w:hint="eastAsia" w:ascii="宋体" w:hAnsi="宋体" w:eastAsia="宋体" w:cs="宋体"/>
          <w:b w:val="0"/>
          <w:bCs w:val="0"/>
          <w:color w:val="auto"/>
          <w:spacing w:val="0"/>
          <w:kern w:val="0"/>
          <w:sz w:val="24"/>
          <w:szCs w:val="24"/>
          <w:highlight w:val="none"/>
          <w:lang w:val="en-US" w:eastAsia="zh-CN"/>
        </w:rPr>
        <w:t>人。</w:t>
      </w:r>
    </w:p>
    <w:p w14:paraId="4F82BDFF">
      <w:pPr>
        <w:keepNext w:val="0"/>
        <w:keepLines w:val="0"/>
        <w:pageBreakBefore w:val="0"/>
        <w:widowControl/>
        <w:kinsoku/>
        <w:wordWrap w:val="0"/>
        <w:overflowPunct/>
        <w:topLinePunct w:val="0"/>
        <w:autoSpaceDE w:val="0"/>
        <w:autoSpaceDN w:val="0"/>
        <w:bidi w:val="0"/>
        <w:adjustRightInd w:val="0"/>
        <w:snapToGrid w:val="0"/>
        <w:spacing w:line="360" w:lineRule="auto"/>
        <w:ind w:left="0" w:right="84" w:rightChars="40" w:firstLine="482" w:firstLineChars="200"/>
        <w:textAlignment w:val="baseline"/>
        <w:outlineLvl w:val="9"/>
        <w:rPr>
          <w:rStyle w:val="26"/>
          <w:rFonts w:hint="eastAsia" w:ascii="宋体" w:hAnsi="宋体" w:eastAsia="宋体" w:cs="宋体"/>
          <w:b w:val="0"/>
          <w:bCs w:val="0"/>
          <w:color w:val="auto"/>
          <w:spacing w:val="0"/>
          <w:kern w:val="0"/>
          <w:sz w:val="24"/>
          <w:szCs w:val="24"/>
          <w:highlight w:val="none"/>
          <w:lang w:val="en-US" w:eastAsia="zh-CN"/>
        </w:rPr>
      </w:pPr>
      <w:r>
        <w:rPr>
          <w:rStyle w:val="26"/>
          <w:rFonts w:hint="eastAsia" w:ascii="宋体" w:hAnsi="宋体" w:eastAsia="宋体" w:cs="宋体"/>
          <w:b/>
          <w:bCs/>
          <w:color w:val="auto"/>
          <w:spacing w:val="0"/>
          <w:kern w:val="0"/>
          <w:sz w:val="24"/>
          <w:szCs w:val="24"/>
          <w:highlight w:val="none"/>
          <w:lang w:val="en-US" w:eastAsia="zh-CN"/>
        </w:rPr>
        <w:t>2.3.4</w:t>
      </w:r>
      <w:r>
        <w:rPr>
          <w:rStyle w:val="26"/>
          <w:rFonts w:hint="eastAsia" w:ascii="宋体" w:hAnsi="宋体" w:eastAsia="宋体" w:cs="宋体"/>
          <w:b w:val="0"/>
          <w:bCs w:val="0"/>
          <w:color w:val="auto"/>
          <w:spacing w:val="0"/>
          <w:kern w:val="0"/>
          <w:sz w:val="24"/>
          <w:szCs w:val="24"/>
          <w:highlight w:val="none"/>
          <w:lang w:val="en-US" w:eastAsia="zh-CN"/>
        </w:rPr>
        <w:t xml:space="preserve"> 投标人（包括组成联合体的所有成员单位）与其拟派往本项目管理机构的所有人员之间必须具备合法、唯一的劳动聘用关系。拟派人员中具备注册执业资格的，其注册单位须与投标人保持一致。</w:t>
      </w:r>
    </w:p>
    <w:p w14:paraId="6B5D9824">
      <w:pPr>
        <w:keepNext w:val="0"/>
        <w:keepLines w:val="0"/>
        <w:pageBreakBefore w:val="0"/>
        <w:kinsoku/>
        <w:wordWrap w:val="0"/>
        <w:overflowPunct/>
        <w:topLinePunct w:val="0"/>
        <w:bidi w:val="0"/>
        <w:spacing w:before="78" w:line="220" w:lineRule="auto"/>
        <w:ind w:left="489"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2.4  </w:t>
      </w:r>
      <w:r>
        <w:rPr>
          <w:rFonts w:hint="eastAsia" w:ascii="宋体" w:hAnsi="宋体" w:eastAsia="宋体" w:cs="宋体"/>
          <w:color w:val="auto"/>
          <w:spacing w:val="0"/>
          <w:sz w:val="24"/>
          <w:szCs w:val="24"/>
          <w:highlight w:val="none"/>
        </w:rPr>
        <w:t>禁止投标条款</w:t>
      </w:r>
    </w:p>
    <w:p w14:paraId="4F43481F">
      <w:pPr>
        <w:keepNext w:val="0"/>
        <w:keepLines w:val="0"/>
        <w:pageBreakBefore w:val="0"/>
        <w:kinsoku/>
        <w:wordWrap w:val="0"/>
        <w:overflowPunct/>
        <w:topLinePunct w:val="0"/>
        <w:bidi w:val="0"/>
        <w:spacing w:before="153" w:line="220" w:lineRule="auto"/>
        <w:ind w:left="489"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2.4.1  </w:t>
      </w:r>
      <w:r>
        <w:rPr>
          <w:rFonts w:hint="eastAsia" w:ascii="宋体" w:hAnsi="宋体" w:eastAsia="宋体" w:cs="宋体"/>
          <w:color w:val="auto"/>
          <w:spacing w:val="0"/>
          <w:sz w:val="24"/>
          <w:szCs w:val="24"/>
          <w:highlight w:val="none"/>
        </w:rPr>
        <w:t>投标人不得存在下列情形之一：</w:t>
      </w:r>
    </w:p>
    <w:p w14:paraId="5ECD680F">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（1）为招标人不具有独立法人资格的附属机构（单位）；</w:t>
      </w:r>
    </w:p>
    <w:p w14:paraId="7BE80EB7">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（2）为本招标项目前期准备提供设计或咨询服务的；</w:t>
      </w:r>
    </w:p>
    <w:p w14:paraId="0466C218">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（3）与本招标项目的其他投标人为同一个单位负责人；</w:t>
      </w:r>
    </w:p>
    <w:p w14:paraId="51978EC7">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（4）与本招标项目的其他投标人存在控股、管理关系；</w:t>
      </w:r>
    </w:p>
    <w:p w14:paraId="27DE5D51">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（5）为本招标项目的监理人；</w:t>
      </w:r>
    </w:p>
    <w:p w14:paraId="01E2A759">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（6）为本招标项目的代建人；</w:t>
      </w:r>
    </w:p>
    <w:p w14:paraId="3F4CE4E0">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（7）为本招标项目的招标代理机构；</w:t>
      </w:r>
    </w:p>
    <w:p w14:paraId="32DC1C8C">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（8）与本招标项目的监理人或代建人或招标代理机构同为一个 法定代表人；</w:t>
      </w:r>
    </w:p>
    <w:p w14:paraId="356D5091">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（9）与本招标项目的监理人或代建人或招标代理机构存在控股或参股关系；</w:t>
      </w:r>
    </w:p>
    <w:p w14:paraId="1F6F6AFF">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（10）与本招标项目的监理人或代建人或招标代理机构存在相互任职或工作关系；</w:t>
      </w:r>
    </w:p>
    <w:p w14:paraId="62615967">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（11）被依法暂停或者取消投标资格；</w:t>
      </w:r>
    </w:p>
    <w:p w14:paraId="51CC66B8">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（12）被责令停产停业、暂扣或者吊销许可证、暂扣或者吊销执照；</w:t>
      </w:r>
    </w:p>
    <w:p w14:paraId="4D4EA795">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（13）进入清算程序，或被宣告破产，或其他丧失履约能力的情形；</w:t>
      </w:r>
    </w:p>
    <w:p w14:paraId="742CE9C2">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（14）在最近三年内发生重大工程质量或安全问题（以相关行业主管部门的行政处罚决定或司法机关出具的有关法律文书为准）；</w:t>
      </w:r>
    </w:p>
    <w:p w14:paraId="5FDD5BCF">
      <w:pPr>
        <w:keepNext w:val="0"/>
        <w:keepLines w:val="0"/>
        <w:pageBreakBefore w:val="0"/>
        <w:kinsoku/>
        <w:wordWrap w:val="0"/>
        <w:overflowPunct/>
        <w:topLinePunct w:val="0"/>
        <w:bidi w:val="0"/>
        <w:spacing w:before="118" w:line="293" w:lineRule="auto"/>
        <w:ind w:left="232" w:right="84" w:rightChars="40" w:firstLine="36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（15）被“信用中国 ”网站（https://www.creditchina.gov.cn）发布的《法人和非法人组织公共信用信息报告》列为严重失信主体名单的。</w:t>
      </w:r>
    </w:p>
    <w:p w14:paraId="28B49AD7">
      <w:pPr>
        <w:keepNext w:val="0"/>
        <w:keepLines w:val="0"/>
        <w:pageBreakBefore w:val="0"/>
        <w:kinsoku/>
        <w:wordWrap w:val="0"/>
        <w:overflowPunct/>
        <w:topLinePunct w:val="0"/>
        <w:bidi w:val="0"/>
        <w:spacing w:before="155" w:line="219" w:lineRule="auto"/>
        <w:ind w:left="70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2.4.2  </w:t>
      </w:r>
      <w:r>
        <w:rPr>
          <w:rFonts w:hint="eastAsia" w:ascii="宋体" w:hAnsi="宋体" w:eastAsia="宋体" w:cs="宋体"/>
          <w:color w:val="auto"/>
          <w:spacing w:val="0"/>
          <w:sz w:val="24"/>
          <w:szCs w:val="24"/>
          <w:highlight w:val="none"/>
        </w:rPr>
        <w:t>招标人拒绝以下名单中的单位参加本次投标：</w:t>
      </w:r>
    </w:p>
    <w:p w14:paraId="3180535E">
      <w:pPr>
        <w:keepNext w:val="0"/>
        <w:keepLines w:val="0"/>
        <w:pageBreakBefore w:val="0"/>
        <w:kinsoku/>
        <w:wordWrap w:val="0"/>
        <w:overflowPunct/>
        <w:topLinePunct w:val="0"/>
        <w:bidi w:val="0"/>
        <w:spacing w:line="93" w:lineRule="auto"/>
        <w:ind w:right="84" w:rightChars="40"/>
        <w:rPr>
          <w:rFonts w:hint="eastAsia" w:ascii="宋体" w:hAnsi="宋体" w:eastAsia="宋体" w:cs="宋体"/>
          <w:color w:val="auto"/>
          <w:spacing w:val="0"/>
          <w:sz w:val="2"/>
          <w:highlight w:val="none"/>
        </w:rPr>
      </w:pPr>
    </w:p>
    <w:tbl>
      <w:tblPr>
        <w:tblStyle w:val="14"/>
        <w:tblW w:w="8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3510"/>
        <w:gridCol w:w="4136"/>
      </w:tblGrid>
      <w:tr w14:paraId="43E9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677" w:type="dxa"/>
            <w:vAlign w:val="center"/>
          </w:tcPr>
          <w:p w14:paraId="7BF137CE">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both"/>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序号</w:t>
            </w:r>
          </w:p>
        </w:tc>
        <w:tc>
          <w:tcPr>
            <w:tcW w:w="3510" w:type="dxa"/>
            <w:vAlign w:val="center"/>
          </w:tcPr>
          <w:p w14:paraId="42A265C1">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单位名称</w:t>
            </w:r>
          </w:p>
        </w:tc>
        <w:tc>
          <w:tcPr>
            <w:tcW w:w="4136" w:type="dxa"/>
            <w:vAlign w:val="center"/>
          </w:tcPr>
          <w:p w14:paraId="5BF15785">
            <w:pPr>
              <w:keepNext w:val="0"/>
              <w:keepLines w:val="0"/>
              <w:pageBreakBefore w:val="0"/>
              <w:widowControl w:val="0"/>
              <w:kinsoku/>
              <w:wordWrap w:val="0"/>
              <w:overflowPunct/>
              <w:topLinePunct w:val="0"/>
              <w:autoSpaceDE/>
              <w:autoSpaceDN/>
              <w:bidi w:val="0"/>
              <w:adjustRightInd w:val="0"/>
              <w:snapToGrid w:val="0"/>
              <w:spacing w:line="400" w:lineRule="exact"/>
              <w:ind w:right="84" w:rightChars="4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拒绝原因</w:t>
            </w:r>
          </w:p>
        </w:tc>
      </w:tr>
      <w:tr w14:paraId="4451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4E24EC0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1</w:t>
            </w:r>
          </w:p>
        </w:tc>
        <w:tc>
          <w:tcPr>
            <w:tcW w:w="3510" w:type="dxa"/>
            <w:vAlign w:val="center"/>
          </w:tcPr>
          <w:p w14:paraId="637017C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仁化县大桥镇人民政府</w:t>
            </w:r>
          </w:p>
        </w:tc>
        <w:tc>
          <w:tcPr>
            <w:tcW w:w="4136" w:type="dxa"/>
            <w:vAlign w:val="center"/>
          </w:tcPr>
          <w:p w14:paraId="7AE1E7F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为本招标项目的招标人</w:t>
            </w:r>
          </w:p>
        </w:tc>
      </w:tr>
      <w:tr w14:paraId="4088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1259E91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2</w:t>
            </w:r>
          </w:p>
        </w:tc>
        <w:tc>
          <w:tcPr>
            <w:tcW w:w="3510" w:type="dxa"/>
            <w:vAlign w:val="center"/>
          </w:tcPr>
          <w:p w14:paraId="551C3A5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深圳群伦项目管理有限公司</w:t>
            </w:r>
          </w:p>
        </w:tc>
        <w:tc>
          <w:tcPr>
            <w:tcW w:w="4136" w:type="dxa"/>
            <w:vAlign w:val="center"/>
          </w:tcPr>
          <w:p w14:paraId="3E89779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为本招标项目的招标代理机构</w:t>
            </w:r>
          </w:p>
        </w:tc>
      </w:tr>
      <w:tr w14:paraId="043C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77" w:type="dxa"/>
            <w:vAlign w:val="center"/>
          </w:tcPr>
          <w:p w14:paraId="464FC14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3</w:t>
            </w:r>
          </w:p>
        </w:tc>
        <w:tc>
          <w:tcPr>
            <w:tcW w:w="3510" w:type="dxa"/>
            <w:vAlign w:val="center"/>
          </w:tcPr>
          <w:p w14:paraId="6DA6A18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中设建联工程设计有限公司</w:t>
            </w:r>
          </w:p>
        </w:tc>
        <w:tc>
          <w:tcPr>
            <w:tcW w:w="4136" w:type="dxa"/>
            <w:vAlign w:val="center"/>
          </w:tcPr>
          <w:p w14:paraId="138076B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为本招标项目的可行性研究报告编制单位</w:t>
            </w:r>
          </w:p>
        </w:tc>
      </w:tr>
      <w:tr w14:paraId="471F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77" w:type="dxa"/>
            <w:vAlign w:val="center"/>
          </w:tcPr>
          <w:p w14:paraId="4CC90E4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4</w:t>
            </w:r>
          </w:p>
        </w:tc>
        <w:tc>
          <w:tcPr>
            <w:tcW w:w="3510" w:type="dxa"/>
            <w:vAlign w:val="center"/>
          </w:tcPr>
          <w:p w14:paraId="31B04FF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珠海市交通勘察设计院有限公司</w:t>
            </w:r>
          </w:p>
        </w:tc>
        <w:tc>
          <w:tcPr>
            <w:tcW w:w="4136" w:type="dxa"/>
            <w:vAlign w:val="center"/>
          </w:tcPr>
          <w:p w14:paraId="44D73CF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为本招标项目的概算编制单位</w:t>
            </w:r>
          </w:p>
        </w:tc>
      </w:tr>
      <w:tr w14:paraId="09A0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77" w:type="dxa"/>
            <w:vAlign w:val="center"/>
          </w:tcPr>
          <w:p w14:paraId="204C30E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5</w:t>
            </w:r>
          </w:p>
        </w:tc>
        <w:tc>
          <w:tcPr>
            <w:tcW w:w="3510" w:type="dxa"/>
            <w:shd w:val="clear" w:color="auto" w:fill="auto"/>
            <w:vAlign w:val="center"/>
          </w:tcPr>
          <w:p w14:paraId="51B0AA2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中大设计集团有限公司</w:t>
            </w:r>
          </w:p>
        </w:tc>
        <w:tc>
          <w:tcPr>
            <w:tcW w:w="4136" w:type="dxa"/>
            <w:shd w:val="clear" w:color="auto" w:fill="auto"/>
            <w:vAlign w:val="center"/>
          </w:tcPr>
          <w:p w14:paraId="47CCADB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为本招标项目的勘察设计单位</w:t>
            </w:r>
          </w:p>
        </w:tc>
      </w:tr>
      <w:tr w14:paraId="0DA6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77" w:type="dxa"/>
            <w:vAlign w:val="center"/>
          </w:tcPr>
          <w:p w14:paraId="6873978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84" w:rightChars="40" w:firstLine="0" w:firstLineChars="0"/>
              <w:jc w:val="center"/>
              <w:textAlignment w:val="auto"/>
              <w:rPr>
                <w:rFonts w:hint="default"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6</w:t>
            </w:r>
          </w:p>
        </w:tc>
        <w:tc>
          <w:tcPr>
            <w:tcW w:w="3510" w:type="dxa"/>
            <w:shd w:val="clear" w:color="auto" w:fill="auto"/>
            <w:vAlign w:val="center"/>
          </w:tcPr>
          <w:p w14:paraId="4B050BE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center"/>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广州高新工程顾问有限公司</w:t>
            </w:r>
          </w:p>
        </w:tc>
        <w:tc>
          <w:tcPr>
            <w:tcW w:w="4136" w:type="dxa"/>
            <w:shd w:val="clear" w:color="auto" w:fill="auto"/>
            <w:vAlign w:val="center"/>
          </w:tcPr>
          <w:p w14:paraId="2E8A261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leftChars="0" w:right="84" w:rightChars="40" w:firstLine="0" w:firstLineChars="0"/>
              <w:jc w:val="left"/>
              <w:textAlignment w:val="auto"/>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为本招标项目的监理单位</w:t>
            </w:r>
          </w:p>
        </w:tc>
      </w:tr>
    </w:tbl>
    <w:p w14:paraId="103B6326">
      <w:pPr>
        <w:keepNext w:val="0"/>
        <w:keepLines w:val="0"/>
        <w:pageBreakBefore w:val="0"/>
        <w:kinsoku/>
        <w:wordWrap w:val="0"/>
        <w:overflowPunct/>
        <w:topLinePunct w:val="0"/>
        <w:bidi w:val="0"/>
        <w:spacing w:before="153" w:line="221" w:lineRule="auto"/>
        <w:ind w:left="70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2.5  </w:t>
      </w:r>
      <w:r>
        <w:rPr>
          <w:rFonts w:hint="eastAsia" w:ascii="宋体" w:hAnsi="宋体" w:eastAsia="宋体" w:cs="宋体"/>
          <w:color w:val="auto"/>
          <w:spacing w:val="0"/>
          <w:sz w:val="24"/>
          <w:szCs w:val="24"/>
          <w:highlight w:val="none"/>
        </w:rPr>
        <w:t>其他要求</w:t>
      </w:r>
    </w:p>
    <w:p w14:paraId="495DD04A">
      <w:pPr>
        <w:keepNext w:val="0"/>
        <w:keepLines w:val="0"/>
        <w:pageBreakBefore w:val="0"/>
        <w:kinsoku/>
        <w:wordWrap w:val="0"/>
        <w:overflowPunct/>
        <w:topLinePunct w:val="0"/>
        <w:bidi w:val="0"/>
        <w:spacing w:before="150" w:line="334" w:lineRule="auto"/>
        <w:ind w:left="232" w:right="84" w:rightChars="40" w:firstLine="481"/>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lang w:eastAsia="zh-CN"/>
        </w:rPr>
        <w:t>省外企业及其拟派往本项目管理机构的所有人员均须按照《广东省住房和城乡建设厅关于取消省外建筑企业和人员进粤信息备案有关工作的通知》（粤建市﹝2015﹞52 号）规定在“进粤企业和人员诚信信息登记平台”录入相关信息并通过数据规范检查。</w:t>
      </w:r>
    </w:p>
    <w:p w14:paraId="1FE05A34">
      <w:pPr>
        <w:keepNext w:val="0"/>
        <w:keepLines w:val="0"/>
        <w:pageBreakBefore w:val="0"/>
        <w:kinsoku/>
        <w:wordWrap w:val="0"/>
        <w:overflowPunct/>
        <w:topLinePunct w:val="0"/>
        <w:bidi w:val="0"/>
        <w:spacing w:before="79" w:line="220" w:lineRule="auto"/>
        <w:ind w:left="715" w:right="84" w:rightChars="40"/>
        <w:outlineLvl w:val="2"/>
        <w:rPr>
          <w:rFonts w:hint="eastAsia" w:ascii="宋体" w:hAnsi="宋体" w:eastAsia="宋体" w:cs="宋体"/>
          <w:color w:val="auto"/>
          <w:spacing w:val="0"/>
          <w:sz w:val="24"/>
          <w:szCs w:val="24"/>
          <w:highlight w:val="none"/>
        </w:rPr>
      </w:pPr>
      <w:bookmarkStart w:id="18" w:name="_Toc23243"/>
      <w:bookmarkStart w:id="19" w:name="_Toc26517"/>
      <w:r>
        <w:rPr>
          <w:rFonts w:hint="eastAsia" w:ascii="宋体" w:hAnsi="宋体" w:eastAsia="宋体" w:cs="宋体"/>
          <w:b/>
          <w:bCs/>
          <w:color w:val="auto"/>
          <w:spacing w:val="0"/>
          <w:sz w:val="24"/>
          <w:szCs w:val="24"/>
          <w:highlight w:val="none"/>
        </w:rPr>
        <w:t>3．招标文件的获取</w:t>
      </w:r>
      <w:bookmarkEnd w:id="18"/>
      <w:bookmarkEnd w:id="19"/>
    </w:p>
    <w:p w14:paraId="58025C1D">
      <w:pPr>
        <w:keepNext w:val="0"/>
        <w:keepLines w:val="0"/>
        <w:pageBreakBefore w:val="0"/>
        <w:kinsoku/>
        <w:wordWrap w:val="0"/>
        <w:overflowPunct/>
        <w:topLinePunct w:val="0"/>
        <w:bidi w:val="0"/>
        <w:spacing w:before="182" w:line="219" w:lineRule="auto"/>
        <w:ind w:left="704"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3.1  </w:t>
      </w:r>
      <w:r>
        <w:rPr>
          <w:rFonts w:hint="eastAsia" w:ascii="宋体" w:hAnsi="宋体" w:eastAsia="宋体" w:cs="宋体"/>
          <w:color w:val="auto"/>
          <w:spacing w:val="0"/>
          <w:sz w:val="24"/>
          <w:szCs w:val="24"/>
          <w:highlight w:val="none"/>
        </w:rPr>
        <w:t>本次招标实行电子投标。</w:t>
      </w:r>
    </w:p>
    <w:p w14:paraId="29156863">
      <w:pPr>
        <w:keepNext w:val="0"/>
        <w:keepLines w:val="0"/>
        <w:pageBreakBefore w:val="0"/>
        <w:kinsoku/>
        <w:wordWrap w:val="0"/>
        <w:overflowPunct/>
        <w:topLinePunct w:val="0"/>
        <w:bidi w:val="0"/>
        <w:spacing w:before="178" w:line="355" w:lineRule="auto"/>
        <w:ind w:left="0" w:leftChars="0" w:right="84" w:rightChars="40" w:firstLine="481" w:firstLineChars="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本次招标实行电子投标。本项目招标文件随招标公告一并在全国公共资源交易平台（广东省 ·韶关市）（https://ygp.gdzwfw.gov.cn/ggzy-portal/#/440200/index）网站发布。招标文件一经发布，视为发送投标人，招标文件及相关附件由投标人自行在全国公共资源交易平台（广东省 ·韶关市）网站下载。请于招标文件获取期间,（见本章第二节“重要事项时间地点一览表 ”）招标文件获取期间与招标公告发布时间一致，投标人须登录全国公共资源交易平台（广东省 ·韶关市）（https://ygp.gdzwfw.gov.cn/ggzy-portal/#/440200/index），使用新建设工程交易系统进行下载招标文件及相关附件，并于电子投标截止时间（见本章第二节“重要事项时间地点一览表 ”）前完成电子投标。投标人可登录全国公共资源交易平台（广东省 ·韶关市）（https://ygp.gdzwfw.gov.cn/ggzy-portal/#/440200/index），在【服务指南】栏目中建设工程交易中下载《韶关市公共资源建设工程交易系统-投标人操作指南（电子评标）》（附件2），了解网上获取招标文件操作流程。技术咨询电话：0751-8379671 伍先生，业务咨询电话：0751-8633211、8633071。</w:t>
      </w:r>
    </w:p>
    <w:p w14:paraId="039A8FB6">
      <w:pPr>
        <w:keepNext w:val="0"/>
        <w:keepLines w:val="0"/>
        <w:pageBreakBefore w:val="0"/>
        <w:kinsoku/>
        <w:wordWrap w:val="0"/>
        <w:overflowPunct/>
        <w:topLinePunct w:val="0"/>
        <w:bidi w:val="0"/>
        <w:spacing w:before="142" w:line="330" w:lineRule="auto"/>
        <w:ind w:left="11" w:right="84" w:rightChars="40" w:firstLine="473"/>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3.2  </w:t>
      </w:r>
      <w:r>
        <w:rPr>
          <w:rFonts w:hint="eastAsia" w:ascii="宋体" w:hAnsi="宋体" w:eastAsia="宋体" w:cs="宋体"/>
          <w:color w:val="auto"/>
          <w:spacing w:val="0"/>
          <w:sz w:val="24"/>
          <w:szCs w:val="24"/>
          <w:highlight w:val="none"/>
        </w:rPr>
        <w:t>只有申领了数字证书（CA）、“粤企签 ”或 GDCA/SZCA/NETCA 等符合法律法规规定的电子印章，并在交易系统中完成企业信息数据入库的投标人，方可使用建设工程交易系统进行招标文件及附件获取和电子投标。</w:t>
      </w:r>
    </w:p>
    <w:p w14:paraId="2FE752CB">
      <w:pPr>
        <w:keepNext w:val="0"/>
        <w:keepLines w:val="0"/>
        <w:pageBreakBefore w:val="0"/>
        <w:kinsoku/>
        <w:wordWrap w:val="0"/>
        <w:overflowPunct/>
        <w:topLinePunct w:val="0"/>
        <w:bidi w:val="0"/>
        <w:spacing w:before="32" w:line="332" w:lineRule="auto"/>
        <w:ind w:left="10" w:right="84" w:rightChars="40" w:firstLine="48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首次在韶关市参与建设工程招标投标活动的投标人，必须在平台系统上传企业相关资料办理企业入库事宜。投标人可登录全国公共资源交易平台（广东省 ·韶关市）（</w:t>
      </w: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"https://ygp.gdzwfw.gov.cn/ggzy-portal/#/440200/index" </w:instrText>
      </w:r>
      <w:r>
        <w:rPr>
          <w:rFonts w:hint="eastAsia" w:ascii="宋体" w:hAnsi="宋体" w:eastAsia="宋体" w:cs="宋体"/>
          <w:color w:val="auto"/>
          <w:spacing w:val="0"/>
          <w:highlight w:val="none"/>
        </w:rPr>
        <w:fldChar w:fldCharType="separate"/>
      </w:r>
      <w:r>
        <w:rPr>
          <w:rFonts w:hint="eastAsia" w:ascii="宋体" w:hAnsi="宋体" w:eastAsia="宋体" w:cs="宋体"/>
          <w:color w:val="auto"/>
          <w:spacing w:val="0"/>
          <w:sz w:val="24"/>
          <w:szCs w:val="24"/>
          <w:highlight w:val="none"/>
        </w:rPr>
        <w:t>https://ygp.gdzwfw.gov.cn/ggzy-portal/#/440200/index</w:t>
      </w:r>
      <w:r>
        <w:rPr>
          <w:rFonts w:hint="eastAsia" w:ascii="宋体" w:hAnsi="宋体" w:eastAsia="宋体" w:cs="宋体"/>
          <w:color w:val="auto"/>
          <w:spacing w:val="0"/>
          <w:sz w:val="24"/>
          <w:szCs w:val="24"/>
          <w:highlight w:val="none"/>
        </w:rPr>
        <w:fldChar w:fldCharType="end"/>
      </w:r>
      <w:r>
        <w:rPr>
          <w:rFonts w:hint="eastAsia" w:ascii="宋体" w:hAnsi="宋体" w:eastAsia="宋体" w:cs="宋体"/>
          <w:color w:val="auto"/>
          <w:spacing w:val="0"/>
          <w:sz w:val="24"/>
          <w:szCs w:val="24"/>
          <w:highlight w:val="none"/>
        </w:rPr>
        <w:t>）办理企业入库、数字证书及电子印章事宜，具体请在平台查阅相应的交易指引。</w:t>
      </w:r>
    </w:p>
    <w:p w14:paraId="6F360068">
      <w:pPr>
        <w:keepNext w:val="0"/>
        <w:keepLines w:val="0"/>
        <w:pageBreakBefore w:val="0"/>
        <w:kinsoku/>
        <w:wordWrap w:val="0"/>
        <w:overflowPunct/>
        <w:topLinePunct w:val="0"/>
        <w:bidi w:val="0"/>
        <w:spacing w:before="37" w:line="329" w:lineRule="auto"/>
        <w:ind w:left="9" w:right="84" w:rightChars="40" w:firstLine="507"/>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已入库企业有关信息（如单位名称、基本账号、资质、人员等）发生变化的，须及时在交易系统进行相应变更。投标人未及时变更信息而造成的损失和后果，由投标人自行承担。</w:t>
      </w:r>
    </w:p>
    <w:p w14:paraId="1BE8084A">
      <w:pPr>
        <w:keepNext w:val="0"/>
        <w:keepLines w:val="0"/>
        <w:pageBreakBefore w:val="0"/>
        <w:kinsoku/>
        <w:wordWrap w:val="0"/>
        <w:overflowPunct/>
        <w:topLinePunct w:val="0"/>
        <w:bidi w:val="0"/>
        <w:spacing w:before="33" w:line="335" w:lineRule="auto"/>
        <w:ind w:left="10" w:right="84" w:rightChars="40" w:firstLine="508"/>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 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40CA127C">
      <w:pPr>
        <w:keepNext w:val="0"/>
        <w:keepLines w:val="0"/>
        <w:pageBreakBefore w:val="0"/>
        <w:kinsoku/>
        <w:wordWrap w:val="0"/>
        <w:overflowPunct/>
        <w:topLinePunct w:val="0"/>
        <w:bidi w:val="0"/>
        <w:spacing w:before="33" w:line="221" w:lineRule="auto"/>
        <w:ind w:left="484"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  </w:t>
      </w:r>
      <w:r>
        <w:rPr>
          <w:rFonts w:hint="eastAsia" w:ascii="宋体" w:hAnsi="宋体" w:eastAsia="宋体" w:cs="宋体"/>
          <w:color w:val="auto"/>
          <w:spacing w:val="0"/>
          <w:sz w:val="24"/>
          <w:szCs w:val="24"/>
          <w:highlight w:val="none"/>
        </w:rPr>
        <w:t>投标保证</w:t>
      </w:r>
    </w:p>
    <w:p w14:paraId="734994B7">
      <w:pPr>
        <w:keepNext w:val="0"/>
        <w:keepLines w:val="0"/>
        <w:pageBreakBefore w:val="0"/>
        <w:kinsoku/>
        <w:wordWrap w:val="0"/>
        <w:overflowPunct/>
        <w:topLinePunct w:val="0"/>
        <w:bidi w:val="0"/>
        <w:spacing w:before="152" w:line="280" w:lineRule="auto"/>
        <w:ind w:left="8"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3.3.1  </w:t>
      </w:r>
      <w:r>
        <w:rPr>
          <w:rFonts w:hint="eastAsia" w:ascii="宋体" w:hAnsi="宋体" w:eastAsia="宋体" w:cs="宋体"/>
          <w:color w:val="auto"/>
          <w:spacing w:val="0"/>
          <w:sz w:val="24"/>
          <w:szCs w:val="24"/>
          <w:highlight w:val="none"/>
        </w:rPr>
        <w:t>投标人须缴纳金额为</w:t>
      </w:r>
      <w:r>
        <w:rPr>
          <w:rFonts w:hint="eastAsia" w:ascii="宋体" w:hAnsi="宋体" w:eastAsia="宋体" w:cs="宋体"/>
          <w:color w:val="auto"/>
          <w:spacing w:val="0"/>
          <w:sz w:val="24"/>
          <w:szCs w:val="24"/>
          <w:highlight w:val="none"/>
          <w:u w:val="single"/>
          <w:lang w:val="en-US" w:eastAsia="zh-CN"/>
        </w:rPr>
        <w:t>50000.00</w:t>
      </w:r>
      <w:r>
        <w:rPr>
          <w:rFonts w:hint="eastAsia" w:ascii="宋体" w:hAnsi="宋体" w:eastAsia="宋体" w:cs="宋体"/>
          <w:color w:val="auto"/>
          <w:spacing w:val="0"/>
          <w:sz w:val="24"/>
          <w:szCs w:val="24"/>
          <w:highlight w:val="none"/>
          <w:u w:val="none"/>
          <w:lang w:val="en-US" w:eastAsia="zh-CN"/>
        </w:rPr>
        <w:t>元</w:t>
      </w:r>
      <w:r>
        <w:rPr>
          <w:rFonts w:hint="eastAsia" w:ascii="宋体" w:hAnsi="宋体" w:eastAsia="宋体" w:cs="宋体"/>
          <w:color w:val="auto"/>
          <w:spacing w:val="0"/>
          <w:sz w:val="24"/>
          <w:szCs w:val="24"/>
          <w:highlight w:val="none"/>
        </w:rPr>
        <w:t>人民币的投标保证。联合体投标的，由联合体牵头人缴纳。</w:t>
      </w:r>
    </w:p>
    <w:p w14:paraId="5595FFDA">
      <w:pPr>
        <w:keepNext w:val="0"/>
        <w:keepLines w:val="0"/>
        <w:pageBreakBefore w:val="0"/>
        <w:kinsoku/>
        <w:wordWrap w:val="0"/>
        <w:overflowPunct/>
        <w:topLinePunct w:val="0"/>
        <w:bidi w:val="0"/>
        <w:spacing w:before="35" w:line="325" w:lineRule="auto"/>
        <w:ind w:left="12" w:right="84" w:rightChars="40" w:firstLine="471"/>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3.3.2  </w:t>
      </w:r>
      <w:r>
        <w:rPr>
          <w:rFonts w:hint="eastAsia" w:ascii="宋体" w:hAnsi="宋体" w:eastAsia="宋体" w:cs="宋体"/>
          <w:color w:val="auto"/>
          <w:spacing w:val="0"/>
          <w:sz w:val="24"/>
          <w:szCs w:val="24"/>
          <w:highlight w:val="none"/>
        </w:rPr>
        <w:t>投标保证的形式包括投标保证金、投标保证担保、投标保证保险三种，由投标人自主选择。</w:t>
      </w:r>
    </w:p>
    <w:p w14:paraId="52BC198A">
      <w:pPr>
        <w:keepNext w:val="0"/>
        <w:keepLines w:val="0"/>
        <w:pageBreakBefore w:val="0"/>
        <w:kinsoku/>
        <w:wordWrap w:val="0"/>
        <w:overflowPunct/>
        <w:topLinePunct w:val="0"/>
        <w:bidi w:val="0"/>
        <w:spacing w:before="78" w:line="334" w:lineRule="auto"/>
        <w:ind w:left="12" w:right="84" w:rightChars="40" w:firstLine="490"/>
        <w:jc w:val="both"/>
        <w:rPr>
          <w:rFonts w:hint="eastAsia" w:ascii="宋体" w:hAnsi="宋体" w:eastAsia="宋体" w:cs="宋体"/>
          <w:color w:val="auto"/>
          <w:spacing w:val="0"/>
          <w:sz w:val="24"/>
          <w:szCs w:val="24"/>
          <w:highlight w:val="none"/>
        </w:rPr>
      </w:pPr>
      <w:bookmarkStart w:id="20" w:name="bookmark117"/>
      <w:bookmarkEnd w:id="20"/>
      <w:r>
        <w:rPr>
          <w:rFonts w:hint="eastAsia" w:ascii="宋体" w:hAnsi="宋体" w:eastAsia="宋体" w:cs="宋体"/>
          <w:color w:val="auto"/>
          <w:spacing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招标文件“重要事项时间地点一览表 ”）前，从其基本账户将投标保证金转账到指定的缴纳账号。逾期到账的、从非投标人基本账户转出的，其投标无效。</w:t>
      </w:r>
    </w:p>
    <w:p w14:paraId="5AD570B6">
      <w:pPr>
        <w:keepNext w:val="0"/>
        <w:keepLines w:val="0"/>
        <w:pageBreakBefore w:val="0"/>
        <w:kinsoku/>
        <w:wordWrap w:val="0"/>
        <w:overflowPunct/>
        <w:topLinePunct w:val="0"/>
        <w:bidi w:val="0"/>
        <w:spacing w:before="78" w:line="334" w:lineRule="auto"/>
        <w:ind w:left="12" w:right="84" w:rightChars="40"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66604B82">
      <w:pPr>
        <w:keepNext w:val="0"/>
        <w:keepLines w:val="0"/>
        <w:pageBreakBefore w:val="0"/>
        <w:kinsoku/>
        <w:wordWrap w:val="0"/>
        <w:overflowPunct/>
        <w:topLinePunct w:val="0"/>
        <w:bidi w:val="0"/>
        <w:spacing w:before="78" w:line="334" w:lineRule="auto"/>
        <w:ind w:left="12" w:right="84" w:rightChars="40"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（3）采用投标保证保险的，投标人须在投标保证保险投保截止时间（见本招标文件“重要事项时间地点一览表 ”）前，使用建设工程交易系统完成网上投保。投标人可在系统选择保险机构、录入投保信息、支付保费、打印电子保单，电子保单的有效期不得短于投标有效期。投标人可登录全国公共资源交易平台（广东省·韶关市）（</w:t>
      </w:r>
      <w:r>
        <w:rPr>
          <w:rFonts w:hint="eastAsia" w:ascii="宋体" w:hAnsi="宋体" w:eastAsia="宋体" w:cs="宋体"/>
          <w:color w:val="auto"/>
          <w:spacing w:val="0"/>
          <w:sz w:val="24"/>
          <w:szCs w:val="24"/>
          <w:highlight w:val="none"/>
        </w:rPr>
        <w:fldChar w:fldCharType="begin"/>
      </w:r>
      <w:r>
        <w:rPr>
          <w:rFonts w:hint="eastAsia" w:ascii="宋体" w:hAnsi="宋体" w:eastAsia="宋体" w:cs="宋体"/>
          <w:color w:val="auto"/>
          <w:spacing w:val="0"/>
          <w:sz w:val="24"/>
          <w:szCs w:val="24"/>
          <w:highlight w:val="none"/>
        </w:rPr>
        <w:instrText xml:space="preserve"> HYPERLINK "https://ygp.gdzwfw.gov.cn/ggzy-portal/#/440200/index" </w:instrText>
      </w:r>
      <w:r>
        <w:rPr>
          <w:rFonts w:hint="eastAsia" w:ascii="宋体" w:hAnsi="宋体" w:eastAsia="宋体" w:cs="宋体"/>
          <w:color w:val="auto"/>
          <w:spacing w:val="0"/>
          <w:sz w:val="24"/>
          <w:szCs w:val="24"/>
          <w:highlight w:val="none"/>
        </w:rPr>
        <w:fldChar w:fldCharType="separate"/>
      </w:r>
      <w:r>
        <w:rPr>
          <w:rFonts w:hint="eastAsia" w:ascii="宋体" w:hAnsi="宋体" w:eastAsia="宋体" w:cs="宋体"/>
          <w:color w:val="auto"/>
          <w:spacing w:val="0"/>
          <w:sz w:val="24"/>
          <w:szCs w:val="24"/>
          <w:highlight w:val="none"/>
        </w:rPr>
        <w:t>https://ygp.gdzwfw.gov.cn/ggzy-portal/#/440200/index</w:t>
      </w:r>
      <w:r>
        <w:rPr>
          <w:rFonts w:hint="eastAsia" w:ascii="宋体" w:hAnsi="宋体" w:eastAsia="宋体" w:cs="宋体"/>
          <w:color w:val="auto"/>
          <w:spacing w:val="0"/>
          <w:sz w:val="24"/>
          <w:szCs w:val="24"/>
          <w:highlight w:val="none"/>
        </w:rPr>
        <w:fldChar w:fldCharType="end"/>
      </w:r>
      <w:r>
        <w:rPr>
          <w:rFonts w:hint="eastAsia" w:ascii="宋体" w:hAnsi="宋体" w:eastAsia="宋体" w:cs="宋体"/>
          <w:color w:val="auto"/>
          <w:spacing w:val="0"/>
          <w:sz w:val="24"/>
          <w:szCs w:val="24"/>
          <w:highlight w:val="none"/>
        </w:rPr>
        <w:t>），在【服务指南】栏目中下载《建设工程网上交易系统保险保证金缴纳操作指南》，了解网上投保具体操作流程。逾期投保的，其投标无效。</w:t>
      </w:r>
    </w:p>
    <w:p w14:paraId="20834965">
      <w:pPr>
        <w:keepNext w:val="0"/>
        <w:keepLines w:val="0"/>
        <w:pageBreakBefore w:val="0"/>
        <w:kinsoku/>
        <w:wordWrap w:val="0"/>
        <w:overflowPunct/>
        <w:topLinePunct w:val="0"/>
        <w:bidi w:val="0"/>
        <w:spacing w:before="78" w:line="334" w:lineRule="auto"/>
        <w:ind w:left="12" w:right="84" w:rightChars="40"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1EC47989">
      <w:pPr>
        <w:keepNext w:val="0"/>
        <w:keepLines w:val="0"/>
        <w:pageBreakBefore w:val="0"/>
        <w:kinsoku/>
        <w:wordWrap w:val="0"/>
        <w:overflowPunct/>
        <w:topLinePunct w:val="0"/>
        <w:bidi w:val="0"/>
        <w:spacing w:before="78" w:line="334" w:lineRule="auto"/>
        <w:ind w:left="12" w:right="84" w:rightChars="40" w:firstLine="49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3.4 </w:t>
      </w:r>
      <w:r>
        <w:rPr>
          <w:rFonts w:hint="eastAsia" w:ascii="宋体" w:hAnsi="宋体" w:eastAsia="宋体" w:cs="宋体"/>
          <w:color w:val="auto"/>
          <w:spacing w:val="0"/>
          <w:sz w:val="24"/>
          <w:szCs w:val="24"/>
          <w:highlight w:val="none"/>
        </w:rPr>
        <w:t xml:space="preserve"> 若投标人因自身原因未能正确完成获取招标文件、电子投标、缴纳投标保证的，其投标无效。</w:t>
      </w:r>
    </w:p>
    <w:p w14:paraId="385224D7">
      <w:pPr>
        <w:keepNext w:val="0"/>
        <w:keepLines w:val="0"/>
        <w:pageBreakBefore w:val="0"/>
        <w:kinsoku/>
        <w:wordWrap w:val="0"/>
        <w:overflowPunct/>
        <w:topLinePunct w:val="0"/>
        <w:bidi w:val="0"/>
        <w:spacing w:before="79" w:line="221" w:lineRule="auto"/>
        <w:ind w:left="487" w:right="84" w:rightChars="40"/>
        <w:outlineLvl w:val="2"/>
        <w:rPr>
          <w:rFonts w:hint="eastAsia" w:ascii="宋体" w:hAnsi="宋体" w:eastAsia="宋体" w:cs="宋体"/>
          <w:color w:val="auto"/>
          <w:spacing w:val="0"/>
          <w:sz w:val="24"/>
          <w:szCs w:val="24"/>
          <w:highlight w:val="none"/>
        </w:rPr>
      </w:pPr>
      <w:bookmarkStart w:id="21" w:name="bookmark78"/>
      <w:bookmarkEnd w:id="21"/>
      <w:bookmarkStart w:id="22" w:name="bookmark64"/>
      <w:bookmarkEnd w:id="22"/>
      <w:bookmarkStart w:id="23" w:name="_Toc15498"/>
      <w:bookmarkStart w:id="24" w:name="_Toc22809"/>
      <w:r>
        <w:rPr>
          <w:rFonts w:hint="eastAsia" w:ascii="宋体" w:hAnsi="宋体" w:eastAsia="宋体" w:cs="宋体"/>
          <w:b/>
          <w:bCs/>
          <w:color w:val="auto"/>
          <w:spacing w:val="0"/>
          <w:sz w:val="24"/>
          <w:szCs w:val="24"/>
          <w:highlight w:val="none"/>
        </w:rPr>
        <w:t>4</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．工期要求</w:t>
      </w:r>
      <w:bookmarkEnd w:id="23"/>
      <w:bookmarkEnd w:id="24"/>
    </w:p>
    <w:p w14:paraId="10DC164E">
      <w:pPr>
        <w:keepNext w:val="0"/>
        <w:keepLines w:val="0"/>
        <w:pageBreakBefore w:val="0"/>
        <w:kinsoku/>
        <w:wordWrap w:val="0"/>
        <w:overflowPunct/>
        <w:topLinePunct w:val="0"/>
        <w:bidi w:val="0"/>
        <w:spacing w:before="153" w:line="324" w:lineRule="auto"/>
        <w:ind w:left="30" w:right="84" w:rightChars="40" w:firstLine="46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本招标项目招标工期为</w:t>
      </w:r>
      <w:r>
        <w:rPr>
          <w:rFonts w:hint="eastAsia" w:ascii="宋体" w:hAnsi="宋体" w:eastAsia="宋体" w:cs="宋体"/>
          <w:color w:val="auto"/>
          <w:spacing w:val="0"/>
          <w:sz w:val="24"/>
          <w:szCs w:val="24"/>
          <w:highlight w:val="none"/>
          <w:u w:val="single"/>
          <w:lang w:val="en-US" w:eastAsia="zh-CN"/>
        </w:rPr>
        <w:t>60个日历天</w:t>
      </w:r>
      <w:r>
        <w:rPr>
          <w:rFonts w:hint="eastAsia" w:ascii="宋体" w:hAnsi="宋体" w:eastAsia="宋体" w:cs="宋体"/>
          <w:color w:val="auto"/>
          <w:spacing w:val="0"/>
          <w:sz w:val="24"/>
          <w:szCs w:val="24"/>
          <w:highlight w:val="none"/>
        </w:rPr>
        <w:t>，中标人必须在招标工期内完成招标范围内的全部内容。</w:t>
      </w:r>
    </w:p>
    <w:p w14:paraId="2574D13A">
      <w:pPr>
        <w:keepNext w:val="0"/>
        <w:keepLines w:val="0"/>
        <w:pageBreakBefore w:val="0"/>
        <w:kinsoku/>
        <w:wordWrap w:val="0"/>
        <w:overflowPunct/>
        <w:topLinePunct w:val="0"/>
        <w:bidi w:val="0"/>
        <w:spacing w:before="78" w:line="219" w:lineRule="auto"/>
        <w:ind w:left="488" w:right="84" w:rightChars="40"/>
        <w:outlineLvl w:val="2"/>
        <w:rPr>
          <w:rFonts w:hint="eastAsia" w:ascii="宋体" w:hAnsi="宋体" w:eastAsia="宋体" w:cs="宋体"/>
          <w:color w:val="auto"/>
          <w:spacing w:val="0"/>
          <w:sz w:val="24"/>
          <w:szCs w:val="24"/>
          <w:highlight w:val="none"/>
        </w:rPr>
      </w:pPr>
      <w:bookmarkStart w:id="25" w:name="_Toc19378"/>
      <w:bookmarkStart w:id="26" w:name="_Toc4154"/>
      <w:r>
        <w:rPr>
          <w:rFonts w:hint="eastAsia" w:ascii="宋体" w:hAnsi="宋体" w:eastAsia="宋体" w:cs="宋体"/>
          <w:b/>
          <w:bCs/>
          <w:color w:val="auto"/>
          <w:spacing w:val="0"/>
          <w:sz w:val="24"/>
          <w:szCs w:val="24"/>
          <w:highlight w:val="none"/>
        </w:rPr>
        <w:t>5</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．质量标准和材料、机械要求</w:t>
      </w:r>
      <w:bookmarkEnd w:id="25"/>
      <w:bookmarkEnd w:id="26"/>
    </w:p>
    <w:p w14:paraId="2EE63B7A">
      <w:pPr>
        <w:keepNext w:val="0"/>
        <w:keepLines w:val="0"/>
        <w:pageBreakBefore w:val="0"/>
        <w:kinsoku/>
        <w:wordWrap w:val="0"/>
        <w:overflowPunct/>
        <w:topLinePunct w:val="0"/>
        <w:bidi w:val="0"/>
        <w:spacing w:before="154" w:line="360" w:lineRule="auto"/>
        <w:ind w:left="11"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5.1  </w:t>
      </w:r>
      <w:r>
        <w:rPr>
          <w:rFonts w:hint="eastAsia" w:ascii="宋体" w:hAnsi="宋体" w:eastAsia="宋体" w:cs="宋体"/>
          <w:color w:val="auto"/>
          <w:spacing w:val="0"/>
          <w:sz w:val="24"/>
          <w:szCs w:val="24"/>
          <w:highlight w:val="none"/>
        </w:rPr>
        <w:t>施工工艺严格按照国家和广东省的有关现行施工技术规范及标准执行，工程质量标准</w:t>
      </w:r>
      <w:r>
        <w:rPr>
          <w:rFonts w:hint="eastAsia" w:ascii="宋体" w:hAnsi="宋体" w:eastAsia="宋体" w:cs="宋体"/>
          <w:color w:val="auto"/>
          <w:spacing w:val="0"/>
          <w:sz w:val="24"/>
          <w:szCs w:val="24"/>
          <w:highlight w:val="none"/>
          <w:u w:val="single"/>
          <w:lang w:val="en-US" w:eastAsia="zh-CN"/>
        </w:rPr>
        <w:t>符合现行国家有关工程施工质量验收规范和标准的要求，达到验收合格标准</w:t>
      </w:r>
      <w:r>
        <w:rPr>
          <w:rFonts w:hint="eastAsia" w:ascii="宋体" w:hAnsi="宋体" w:eastAsia="宋体" w:cs="宋体"/>
          <w:color w:val="auto"/>
          <w:spacing w:val="0"/>
          <w:sz w:val="24"/>
          <w:szCs w:val="24"/>
          <w:highlight w:val="none"/>
        </w:rPr>
        <w:t>。</w:t>
      </w:r>
    </w:p>
    <w:p w14:paraId="550F785F">
      <w:pPr>
        <w:keepNext w:val="0"/>
        <w:keepLines w:val="0"/>
        <w:pageBreakBefore w:val="0"/>
        <w:kinsoku/>
        <w:wordWrap w:val="0"/>
        <w:overflowPunct/>
        <w:topLinePunct w:val="0"/>
        <w:bidi w:val="0"/>
        <w:spacing w:before="154" w:line="360" w:lineRule="auto"/>
        <w:ind w:left="10" w:right="84" w:rightChars="40"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5.2</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中标人在施工中如果工程质量不符合设计要求和有关规定，招标人或监理单位要求停工和返工的必须立即执行，并承担由此产生的各种费用，工期不予顺延。</w:t>
      </w:r>
    </w:p>
    <w:p w14:paraId="7AA414CC">
      <w:pPr>
        <w:keepNext w:val="0"/>
        <w:keepLines w:val="0"/>
        <w:pageBreakBefore w:val="0"/>
        <w:kinsoku/>
        <w:wordWrap w:val="0"/>
        <w:overflowPunct/>
        <w:topLinePunct w:val="0"/>
        <w:bidi w:val="0"/>
        <w:spacing w:before="152" w:line="360" w:lineRule="auto"/>
        <w:ind w:left="9" w:right="84" w:rightChars="40"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5.3  </w:t>
      </w:r>
      <w:r>
        <w:rPr>
          <w:rFonts w:hint="eastAsia" w:ascii="宋体" w:hAnsi="宋体" w:eastAsia="宋体" w:cs="宋体"/>
          <w:color w:val="auto"/>
          <w:spacing w:val="0"/>
          <w:sz w:val="24"/>
          <w:szCs w:val="24"/>
          <w:highlight w:val="none"/>
        </w:rPr>
        <w:t>保修期限按《建设工程质量管理条例》（中华人民共和国国务院令第 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46FB79BE">
      <w:pPr>
        <w:keepNext w:val="0"/>
        <w:keepLines w:val="0"/>
        <w:pageBreakBefore w:val="0"/>
        <w:kinsoku/>
        <w:wordWrap w:val="0"/>
        <w:overflowPunct/>
        <w:topLinePunct w:val="0"/>
        <w:bidi w:val="0"/>
        <w:spacing w:before="152" w:line="360" w:lineRule="auto"/>
        <w:ind w:left="9" w:right="84" w:rightChars="40"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5.4</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auto"/>
          <w:spacing w:val="0"/>
          <w:sz w:val="24"/>
          <w:szCs w:val="24"/>
          <w:highlight w:val="none"/>
        </w:rPr>
        <w:t>本招标项目</w:t>
      </w:r>
      <w:r>
        <w:rPr>
          <w:rFonts w:hint="eastAsia" w:ascii="宋体" w:hAnsi="宋体" w:eastAsia="宋体" w:cs="宋体"/>
          <w:color w:val="auto"/>
          <w:spacing w:val="0"/>
          <w:sz w:val="24"/>
          <w:szCs w:val="24"/>
          <w:highlight w:val="none"/>
          <w:lang w:val="en-US" w:eastAsia="zh-CN"/>
        </w:rPr>
        <w:t>不</w:t>
      </w:r>
      <w:r>
        <w:rPr>
          <w:rFonts w:hint="eastAsia" w:ascii="宋体" w:hAnsi="宋体" w:eastAsia="宋体" w:cs="宋体"/>
          <w:color w:val="auto"/>
          <w:spacing w:val="0"/>
          <w:sz w:val="24"/>
          <w:szCs w:val="24"/>
          <w:highlight w:val="none"/>
        </w:rPr>
        <w:t>纳入绿色建设实施范围</w:t>
      </w:r>
      <w:r>
        <w:rPr>
          <w:rFonts w:hint="eastAsia" w:ascii="宋体" w:hAnsi="宋体" w:eastAsia="宋体" w:cs="宋体"/>
          <w:color w:val="auto"/>
          <w:spacing w:val="0"/>
          <w:sz w:val="24"/>
          <w:szCs w:val="24"/>
          <w:highlight w:val="none"/>
          <w:lang w:eastAsia="zh-CN"/>
        </w:rPr>
        <w:t>。</w:t>
      </w:r>
    </w:p>
    <w:p w14:paraId="096BED74">
      <w:pPr>
        <w:keepNext w:val="0"/>
        <w:keepLines w:val="0"/>
        <w:pageBreakBefore w:val="0"/>
        <w:kinsoku/>
        <w:wordWrap w:val="0"/>
        <w:overflowPunct/>
        <w:topLinePunct w:val="0"/>
        <w:bidi w:val="0"/>
        <w:spacing w:before="152" w:line="309" w:lineRule="auto"/>
        <w:ind w:left="9" w:right="84" w:rightChars="40" w:firstLine="568"/>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5.5</w:t>
      </w:r>
      <w:r>
        <w:rPr>
          <w:rFonts w:hint="eastAsia" w:ascii="宋体" w:hAnsi="宋体" w:eastAsia="宋体" w:cs="宋体"/>
          <w:color w:val="auto"/>
          <w:spacing w:val="0"/>
          <w:sz w:val="24"/>
          <w:szCs w:val="24"/>
          <w:highlight w:val="none"/>
        </w:rPr>
        <w:t xml:space="preserve">  其它：</w:t>
      </w:r>
      <w:r>
        <w:rPr>
          <w:rFonts w:hint="eastAsia" w:ascii="宋体" w:hAnsi="宋体" w:eastAsia="宋体" w:cs="宋体"/>
          <w:color w:val="auto"/>
          <w:spacing w:val="0"/>
          <w:sz w:val="24"/>
          <w:szCs w:val="24"/>
          <w:highlight w:val="none"/>
          <w:lang w:eastAsia="zh-CN"/>
        </w:rPr>
        <w:t>本招标项目</w:t>
      </w:r>
      <w:r>
        <w:rPr>
          <w:rFonts w:hint="eastAsia" w:ascii="宋体" w:hAnsi="宋体" w:eastAsia="宋体" w:cs="宋体"/>
          <w:color w:val="auto"/>
          <w:spacing w:val="0"/>
          <w:sz w:val="24"/>
          <w:szCs w:val="24"/>
          <w:highlight w:val="none"/>
          <w:lang w:val="en-US" w:eastAsia="zh-CN"/>
        </w:rPr>
        <w:t>不</w:t>
      </w:r>
      <w:r>
        <w:rPr>
          <w:rFonts w:hint="eastAsia" w:ascii="宋体" w:hAnsi="宋体" w:eastAsia="宋体" w:cs="宋体"/>
          <w:color w:val="auto"/>
          <w:spacing w:val="0"/>
          <w:sz w:val="24"/>
          <w:szCs w:val="24"/>
          <w:highlight w:val="none"/>
          <w:lang w:eastAsia="zh-CN"/>
        </w:rPr>
        <w:t>纳入装配式建造建设实施范围。</w:t>
      </w:r>
    </w:p>
    <w:p w14:paraId="744CB0C9">
      <w:pPr>
        <w:keepNext w:val="0"/>
        <w:keepLines w:val="0"/>
        <w:pageBreakBefore w:val="0"/>
        <w:kinsoku/>
        <w:wordWrap w:val="0"/>
        <w:overflowPunct/>
        <w:topLinePunct w:val="0"/>
        <w:bidi w:val="0"/>
        <w:spacing w:before="152" w:line="309" w:lineRule="auto"/>
        <w:ind w:left="9" w:right="84" w:rightChars="40"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5.6</w:t>
      </w:r>
      <w:r>
        <w:rPr>
          <w:rFonts w:hint="eastAsia" w:ascii="宋体" w:hAnsi="宋体" w:eastAsia="宋体" w:cs="宋体"/>
          <w:color w:val="auto"/>
          <w:spacing w:val="0"/>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则中标人必须使用合格材料或设备。</w:t>
      </w:r>
    </w:p>
    <w:p w14:paraId="10FFFDBC">
      <w:pPr>
        <w:keepNext w:val="0"/>
        <w:keepLines w:val="0"/>
        <w:pageBreakBefore w:val="0"/>
        <w:kinsoku/>
        <w:wordWrap w:val="0"/>
        <w:overflowPunct/>
        <w:topLinePunct w:val="0"/>
        <w:bidi w:val="0"/>
        <w:spacing w:before="152" w:line="309" w:lineRule="auto"/>
        <w:ind w:left="9" w:right="84" w:rightChars="40" w:firstLine="568"/>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5.</w:t>
      </w:r>
      <w:r>
        <w:rPr>
          <w:rFonts w:hint="eastAsia" w:ascii="宋体" w:hAnsi="宋体" w:eastAsia="宋体" w:cs="宋体"/>
          <w:b/>
          <w:bCs/>
          <w:color w:val="auto"/>
          <w:spacing w:val="0"/>
          <w:sz w:val="24"/>
          <w:szCs w:val="24"/>
          <w:highlight w:val="none"/>
          <w:lang w:eastAsia="zh-CN"/>
        </w:rPr>
        <w:t>7</w:t>
      </w:r>
      <w:r>
        <w:rPr>
          <w:rFonts w:hint="eastAsia" w:ascii="宋体" w:hAnsi="宋体" w:eastAsia="宋体" w:cs="宋体"/>
          <w:color w:val="auto"/>
          <w:spacing w:val="0"/>
          <w:sz w:val="24"/>
          <w:szCs w:val="24"/>
          <w:highlight w:val="none"/>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54A8F521">
      <w:pPr>
        <w:keepNext w:val="0"/>
        <w:keepLines w:val="0"/>
        <w:pageBreakBefore w:val="0"/>
        <w:kinsoku/>
        <w:wordWrap w:val="0"/>
        <w:overflowPunct/>
        <w:topLinePunct w:val="0"/>
        <w:bidi w:val="0"/>
        <w:spacing w:before="78" w:line="220" w:lineRule="auto"/>
        <w:ind w:left="489" w:right="84" w:rightChars="40"/>
        <w:outlineLvl w:val="2"/>
        <w:rPr>
          <w:rFonts w:hint="eastAsia" w:ascii="宋体" w:hAnsi="宋体" w:eastAsia="宋体" w:cs="宋体"/>
          <w:color w:val="auto"/>
          <w:spacing w:val="0"/>
          <w:sz w:val="24"/>
          <w:szCs w:val="24"/>
          <w:highlight w:val="none"/>
        </w:rPr>
      </w:pPr>
      <w:bookmarkStart w:id="27" w:name="_Toc7763"/>
      <w:bookmarkStart w:id="28" w:name="_Toc27303"/>
      <w:r>
        <w:rPr>
          <w:rFonts w:hint="eastAsia" w:ascii="宋体" w:hAnsi="宋体" w:eastAsia="宋体" w:cs="宋体"/>
          <w:b/>
          <w:bCs/>
          <w:color w:val="auto"/>
          <w:spacing w:val="0"/>
          <w:sz w:val="24"/>
          <w:szCs w:val="24"/>
          <w:highlight w:val="none"/>
        </w:rPr>
        <w:t>6 ．施工条件及现场踏勘</w:t>
      </w:r>
      <w:bookmarkEnd w:id="27"/>
      <w:bookmarkEnd w:id="28"/>
    </w:p>
    <w:p w14:paraId="33B1E63A">
      <w:pPr>
        <w:keepNext w:val="0"/>
        <w:keepLines w:val="0"/>
        <w:pageBreakBefore w:val="0"/>
        <w:kinsoku/>
        <w:wordWrap w:val="0"/>
        <w:overflowPunct/>
        <w:topLinePunct w:val="0"/>
        <w:bidi w:val="0"/>
        <w:spacing w:before="155" w:line="360" w:lineRule="auto"/>
        <w:ind w:left="12" w:right="84" w:rightChars="40"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6.1  </w:t>
      </w:r>
      <w:r>
        <w:rPr>
          <w:rFonts w:hint="eastAsia" w:ascii="宋体" w:hAnsi="宋体" w:eastAsia="宋体" w:cs="宋体"/>
          <w:color w:val="auto"/>
          <w:spacing w:val="0"/>
          <w:sz w:val="24"/>
          <w:szCs w:val="24"/>
          <w:highlight w:val="none"/>
        </w:rPr>
        <w:t>招标人仅在本招标项目征地红线范围内提供场地，其他一切场地费用由中标人自行负责（含临时道路）。</w:t>
      </w:r>
    </w:p>
    <w:p w14:paraId="43C889C7">
      <w:pPr>
        <w:keepNext w:val="0"/>
        <w:keepLines w:val="0"/>
        <w:pageBreakBefore w:val="0"/>
        <w:kinsoku/>
        <w:wordWrap w:val="0"/>
        <w:overflowPunct/>
        <w:topLinePunct w:val="0"/>
        <w:bidi w:val="0"/>
        <w:spacing w:before="155" w:line="360" w:lineRule="auto"/>
        <w:ind w:left="12" w:right="84" w:rightChars="40" w:firstLine="556"/>
        <w:rPr>
          <w:rFonts w:hint="eastAsia" w:ascii="宋体" w:hAnsi="宋体" w:eastAsia="宋体" w:cs="宋体"/>
          <w:color w:val="auto"/>
          <w:spacing w:val="0"/>
          <w:sz w:val="24"/>
          <w:szCs w:val="24"/>
          <w:highlight w:val="none"/>
        </w:rPr>
      </w:pPr>
      <w:bookmarkStart w:id="29" w:name="bookmark118"/>
      <w:bookmarkEnd w:id="29"/>
      <w:r>
        <w:rPr>
          <w:rFonts w:hint="eastAsia" w:ascii="宋体" w:hAnsi="宋体" w:eastAsia="宋体" w:cs="宋体"/>
          <w:b/>
          <w:bCs/>
          <w:color w:val="auto"/>
          <w:spacing w:val="0"/>
          <w:sz w:val="24"/>
          <w:szCs w:val="24"/>
          <w:highlight w:val="none"/>
        </w:rPr>
        <w:t>6.2</w:t>
      </w:r>
      <w:r>
        <w:rPr>
          <w:rFonts w:hint="eastAsia" w:ascii="宋体" w:hAnsi="宋体" w:eastAsia="宋体" w:cs="宋体"/>
          <w:color w:val="auto"/>
          <w:spacing w:val="0"/>
          <w:sz w:val="24"/>
          <w:szCs w:val="24"/>
          <w:highlight w:val="none"/>
        </w:rPr>
        <w:t xml:space="preserve">  施工用水：</w:t>
      </w:r>
      <w:r>
        <w:rPr>
          <w:rFonts w:hint="eastAsia" w:ascii="宋体" w:hAnsi="宋体" w:eastAsia="宋体" w:cs="宋体"/>
          <w:color w:val="auto"/>
          <w:spacing w:val="0"/>
          <w:sz w:val="24"/>
          <w:szCs w:val="24"/>
          <w:highlight w:val="none"/>
          <w:u w:val="single"/>
        </w:rPr>
        <w:t xml:space="preserve"> 由中标人自行解决，费用考虑在投标报价中</w:t>
      </w:r>
      <w:r>
        <w:rPr>
          <w:rFonts w:hint="eastAsia" w:ascii="宋体" w:hAnsi="宋体" w:eastAsia="宋体" w:cs="宋体"/>
          <w:color w:val="auto"/>
          <w:spacing w:val="0"/>
          <w:sz w:val="24"/>
          <w:szCs w:val="24"/>
          <w:highlight w:val="none"/>
        </w:rPr>
        <w:t>。</w:t>
      </w:r>
    </w:p>
    <w:p w14:paraId="5DA5ED0F">
      <w:pPr>
        <w:keepNext w:val="0"/>
        <w:keepLines w:val="0"/>
        <w:pageBreakBefore w:val="0"/>
        <w:kinsoku/>
        <w:wordWrap w:val="0"/>
        <w:overflowPunct/>
        <w:topLinePunct w:val="0"/>
        <w:bidi w:val="0"/>
        <w:spacing w:before="155" w:line="360" w:lineRule="auto"/>
        <w:ind w:left="12" w:right="84" w:rightChars="40"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6.3</w:t>
      </w:r>
      <w:r>
        <w:rPr>
          <w:rFonts w:hint="eastAsia" w:ascii="宋体" w:hAnsi="宋体" w:eastAsia="宋体" w:cs="宋体"/>
          <w:color w:val="auto"/>
          <w:spacing w:val="0"/>
          <w:sz w:val="24"/>
          <w:szCs w:val="24"/>
          <w:highlight w:val="none"/>
        </w:rPr>
        <w:t xml:space="preserve">  施工用电：</w:t>
      </w:r>
      <w:r>
        <w:rPr>
          <w:rFonts w:hint="eastAsia" w:ascii="宋体" w:hAnsi="宋体" w:eastAsia="宋体" w:cs="宋体"/>
          <w:color w:val="auto"/>
          <w:spacing w:val="0"/>
          <w:sz w:val="24"/>
          <w:szCs w:val="24"/>
          <w:highlight w:val="none"/>
          <w:u w:val="single"/>
        </w:rPr>
        <w:t xml:space="preserve"> 由中标人自行解决，费用考虑在投标报价中</w:t>
      </w:r>
      <w:r>
        <w:rPr>
          <w:rFonts w:hint="eastAsia" w:ascii="宋体" w:hAnsi="宋体" w:eastAsia="宋体" w:cs="宋体"/>
          <w:color w:val="auto"/>
          <w:spacing w:val="0"/>
          <w:sz w:val="24"/>
          <w:szCs w:val="24"/>
          <w:highlight w:val="none"/>
        </w:rPr>
        <w:t>。</w:t>
      </w:r>
    </w:p>
    <w:p w14:paraId="4117B1E2">
      <w:pPr>
        <w:keepNext w:val="0"/>
        <w:keepLines w:val="0"/>
        <w:pageBreakBefore w:val="0"/>
        <w:kinsoku/>
        <w:wordWrap w:val="0"/>
        <w:overflowPunct/>
        <w:topLinePunct w:val="0"/>
        <w:bidi w:val="0"/>
        <w:spacing w:before="155" w:line="360" w:lineRule="auto"/>
        <w:ind w:left="12" w:right="84" w:rightChars="40"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6.4</w:t>
      </w:r>
      <w:r>
        <w:rPr>
          <w:rFonts w:hint="eastAsia" w:ascii="宋体" w:hAnsi="宋体" w:eastAsia="宋体" w:cs="宋体"/>
          <w:color w:val="auto"/>
          <w:spacing w:val="0"/>
          <w:sz w:val="24"/>
          <w:szCs w:val="24"/>
          <w:highlight w:val="none"/>
        </w:rPr>
        <w:t xml:space="preserve">  施工用水、用电各提供一驳接点到现场边缘。要求中标人单独安装水表、电表，其水、电费按项目所在地</w:t>
      </w:r>
      <w:r>
        <w:rPr>
          <w:rFonts w:hint="eastAsia" w:ascii="宋体" w:hAnsi="宋体" w:eastAsia="宋体" w:cs="宋体"/>
          <w:color w:val="auto"/>
          <w:spacing w:val="0"/>
          <w:sz w:val="24"/>
          <w:szCs w:val="24"/>
          <w:highlight w:val="none"/>
          <w:u w:val="single"/>
          <w:lang w:val="en-US" w:eastAsia="zh-CN"/>
        </w:rPr>
        <w:t>仁化县</w:t>
      </w:r>
      <w:r>
        <w:rPr>
          <w:rFonts w:hint="eastAsia" w:ascii="宋体" w:hAnsi="宋体" w:eastAsia="宋体" w:cs="宋体"/>
          <w:color w:val="auto"/>
          <w:spacing w:val="0"/>
          <w:sz w:val="24"/>
          <w:szCs w:val="24"/>
          <w:highlight w:val="none"/>
        </w:rPr>
        <w:t>基建工程水、电计费标准计算并由中标人缴纳。</w:t>
      </w:r>
    </w:p>
    <w:p w14:paraId="7B035D82">
      <w:pPr>
        <w:keepNext w:val="0"/>
        <w:keepLines w:val="0"/>
        <w:pageBreakBefore w:val="0"/>
        <w:kinsoku/>
        <w:wordWrap w:val="0"/>
        <w:overflowPunct/>
        <w:topLinePunct w:val="0"/>
        <w:bidi w:val="0"/>
        <w:spacing w:before="154" w:line="360" w:lineRule="auto"/>
        <w:ind w:left="9" w:right="84" w:rightChars="40"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6.5  </w:t>
      </w:r>
      <w:r>
        <w:rPr>
          <w:rFonts w:hint="eastAsia" w:ascii="宋体" w:hAnsi="宋体" w:eastAsia="宋体" w:cs="宋体"/>
          <w:color w:val="auto"/>
          <w:spacing w:val="0"/>
          <w:sz w:val="24"/>
          <w:szCs w:val="24"/>
          <w:highlight w:val="none"/>
        </w:rPr>
        <w:t>招标人不组织现场踏勘，但会在招标文件及有关设计文件中明确告知招标项目的具体位置和周边环境，并在现场设置足以识别的标识或提供足以表明招标项目具体位置的文字或图片。投标人需要了解现场情况的</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可自行进行现场踏勘。</w:t>
      </w:r>
    </w:p>
    <w:p w14:paraId="7738F7AC">
      <w:pPr>
        <w:keepNext w:val="0"/>
        <w:keepLines w:val="0"/>
        <w:pageBreakBefore w:val="0"/>
        <w:kinsoku/>
        <w:wordWrap w:val="0"/>
        <w:overflowPunct/>
        <w:topLinePunct w:val="0"/>
        <w:bidi w:val="0"/>
        <w:spacing w:before="153" w:line="360" w:lineRule="auto"/>
        <w:ind w:left="9" w:right="84" w:rightChars="40"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6.6  </w:t>
      </w:r>
      <w:r>
        <w:rPr>
          <w:rFonts w:hint="eastAsia" w:ascii="宋体" w:hAnsi="宋体" w:eastAsia="宋体" w:cs="宋体"/>
          <w:color w:val="auto"/>
          <w:spacing w:val="0"/>
          <w:sz w:val="24"/>
          <w:szCs w:val="24"/>
          <w:highlight w:val="none"/>
        </w:rPr>
        <w:t>在现场踏勘过程中，投标人应确保自身安全，投标人如果发生人身伤亡、财物或其他损失，法律法规有规定的按有关规定处理，没有规定的由投标人自行负责。</w:t>
      </w:r>
    </w:p>
    <w:p w14:paraId="7E2F99A6">
      <w:pPr>
        <w:keepNext w:val="0"/>
        <w:keepLines w:val="0"/>
        <w:pageBreakBefore w:val="0"/>
        <w:kinsoku/>
        <w:wordWrap w:val="0"/>
        <w:overflowPunct/>
        <w:topLinePunct w:val="0"/>
        <w:bidi w:val="0"/>
        <w:spacing w:before="153" w:line="360" w:lineRule="auto"/>
        <w:ind w:left="568" w:right="84" w:rightChars="40"/>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6.7  </w:t>
      </w:r>
      <w:r>
        <w:rPr>
          <w:rFonts w:hint="eastAsia" w:ascii="宋体" w:hAnsi="宋体" w:eastAsia="宋体" w:cs="宋体"/>
          <w:color w:val="auto"/>
          <w:spacing w:val="0"/>
          <w:sz w:val="24"/>
          <w:szCs w:val="24"/>
          <w:highlight w:val="none"/>
        </w:rPr>
        <w:t>现场踏勘期间的交通、食宿由投标人自行安排，费用自理。</w:t>
      </w:r>
    </w:p>
    <w:p w14:paraId="1757ED06">
      <w:pPr>
        <w:keepNext w:val="0"/>
        <w:keepLines w:val="0"/>
        <w:pageBreakBefore w:val="0"/>
        <w:kinsoku/>
        <w:wordWrap w:val="0"/>
        <w:overflowPunct/>
        <w:topLinePunct w:val="0"/>
        <w:bidi w:val="0"/>
        <w:spacing w:before="78" w:line="360" w:lineRule="auto"/>
        <w:ind w:left="488" w:right="84" w:rightChars="40"/>
        <w:outlineLvl w:val="2"/>
        <w:rPr>
          <w:rFonts w:hint="eastAsia" w:ascii="宋体" w:hAnsi="宋体" w:eastAsia="宋体" w:cs="宋体"/>
          <w:color w:val="auto"/>
          <w:spacing w:val="0"/>
          <w:sz w:val="24"/>
          <w:szCs w:val="24"/>
          <w:highlight w:val="none"/>
        </w:rPr>
      </w:pPr>
      <w:bookmarkStart w:id="30" w:name="bookmark69"/>
      <w:bookmarkEnd w:id="30"/>
      <w:bookmarkStart w:id="31" w:name="bookmark81"/>
      <w:bookmarkEnd w:id="31"/>
      <w:bookmarkStart w:id="32" w:name="bookmark67"/>
      <w:bookmarkEnd w:id="32"/>
      <w:bookmarkStart w:id="33" w:name="_Toc15543"/>
      <w:bookmarkStart w:id="34" w:name="_Toc1272"/>
      <w:r>
        <w:rPr>
          <w:rFonts w:hint="eastAsia" w:ascii="宋体" w:hAnsi="宋体" w:eastAsia="宋体" w:cs="宋体"/>
          <w:b/>
          <w:bCs/>
          <w:color w:val="auto"/>
          <w:spacing w:val="0"/>
          <w:sz w:val="24"/>
          <w:szCs w:val="24"/>
          <w:highlight w:val="none"/>
        </w:rPr>
        <w:t>7 ．招标文件的提问和答疑</w:t>
      </w:r>
      <w:bookmarkEnd w:id="33"/>
      <w:bookmarkEnd w:id="34"/>
    </w:p>
    <w:p w14:paraId="58203EDA">
      <w:pPr>
        <w:keepNext w:val="0"/>
        <w:keepLines w:val="0"/>
        <w:pageBreakBefore w:val="0"/>
        <w:kinsoku/>
        <w:wordWrap w:val="0"/>
        <w:overflowPunct/>
        <w:topLinePunct w:val="0"/>
        <w:bidi w:val="0"/>
        <w:spacing w:before="153" w:line="360" w:lineRule="auto"/>
        <w:ind w:left="9" w:right="84" w:rightChars="40" w:firstLine="47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7.1  </w:t>
      </w:r>
      <w:r>
        <w:rPr>
          <w:rFonts w:hint="eastAsia" w:ascii="宋体" w:hAnsi="宋体" w:eastAsia="宋体" w:cs="宋体"/>
          <w:color w:val="auto"/>
          <w:spacing w:val="0"/>
          <w:sz w:val="24"/>
          <w:szCs w:val="24"/>
          <w:highlight w:val="none"/>
        </w:rPr>
        <w:t>投标人若对招标文件（含施工图、招标工程量清单）有疑问，应在提问截止时间（见本章第二节“重要事项时间地点一览表 ”）前使用建设工程交易系统提出问题。未在指定时间前、未采用指定方式提出的，招标人不予受理。</w:t>
      </w:r>
    </w:p>
    <w:p w14:paraId="79A8D99B">
      <w:pPr>
        <w:keepNext w:val="0"/>
        <w:keepLines w:val="0"/>
        <w:pageBreakBefore w:val="0"/>
        <w:kinsoku/>
        <w:wordWrap w:val="0"/>
        <w:overflowPunct/>
        <w:topLinePunct w:val="0"/>
        <w:bidi w:val="0"/>
        <w:spacing w:before="154" w:line="360" w:lineRule="auto"/>
        <w:ind w:left="9" w:right="84" w:rightChars="40"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7.2  </w:t>
      </w:r>
      <w:r>
        <w:rPr>
          <w:rFonts w:hint="eastAsia" w:ascii="宋体" w:hAnsi="宋体" w:eastAsia="宋体" w:cs="宋体"/>
          <w:color w:val="auto"/>
          <w:spacing w:val="0"/>
          <w:sz w:val="24"/>
          <w:szCs w:val="24"/>
          <w:highlight w:val="none"/>
        </w:rPr>
        <w:t>招标人在提问截止时间（见本章第二节“重要事项时间地点一览表 ”）后 3 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446874AE">
      <w:pPr>
        <w:keepNext w:val="0"/>
        <w:keepLines w:val="0"/>
        <w:pageBreakBefore w:val="0"/>
        <w:kinsoku/>
        <w:wordWrap w:val="0"/>
        <w:overflowPunct/>
        <w:topLinePunct w:val="0"/>
        <w:bidi w:val="0"/>
        <w:spacing w:before="152" w:line="360" w:lineRule="auto"/>
        <w:ind w:right="84" w:rightChars="40" w:firstLine="482" w:firstLineChars="20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7.3  </w:t>
      </w:r>
      <w:r>
        <w:rPr>
          <w:rFonts w:hint="eastAsia" w:ascii="宋体" w:hAnsi="宋体" w:eastAsia="宋体" w:cs="宋体"/>
          <w:color w:val="auto"/>
          <w:spacing w:val="0"/>
          <w:sz w:val="24"/>
          <w:szCs w:val="24"/>
          <w:highlight w:val="none"/>
        </w:rPr>
        <w:t>招标人对招标文件所作的答疑（或修改）公告，构成招标文件的组成部分。</w:t>
      </w:r>
    </w:p>
    <w:p w14:paraId="1850E2AC">
      <w:pPr>
        <w:keepNext w:val="0"/>
        <w:keepLines w:val="0"/>
        <w:pageBreakBefore w:val="0"/>
        <w:kinsoku/>
        <w:wordWrap w:val="0"/>
        <w:overflowPunct/>
        <w:topLinePunct w:val="0"/>
        <w:bidi w:val="0"/>
        <w:spacing w:before="79" w:line="360" w:lineRule="auto"/>
        <w:ind w:left="488" w:right="84" w:rightChars="40"/>
        <w:outlineLvl w:val="2"/>
        <w:rPr>
          <w:rFonts w:hint="eastAsia" w:ascii="宋体" w:hAnsi="宋体" w:eastAsia="宋体" w:cs="宋体"/>
          <w:color w:val="auto"/>
          <w:spacing w:val="0"/>
          <w:sz w:val="24"/>
          <w:szCs w:val="24"/>
          <w:highlight w:val="none"/>
        </w:rPr>
      </w:pPr>
      <w:bookmarkStart w:id="35" w:name="_Toc6897"/>
      <w:bookmarkStart w:id="36" w:name="_Toc32294"/>
      <w:r>
        <w:rPr>
          <w:rFonts w:hint="eastAsia" w:ascii="宋体" w:hAnsi="宋体" w:eastAsia="宋体" w:cs="宋体"/>
          <w:b/>
          <w:bCs/>
          <w:color w:val="auto"/>
          <w:spacing w:val="0"/>
          <w:sz w:val="24"/>
          <w:szCs w:val="24"/>
          <w:highlight w:val="none"/>
        </w:rPr>
        <w:t>8 ．</w:t>
      </w:r>
      <w:bookmarkEnd w:id="35"/>
      <w:r>
        <w:rPr>
          <w:rFonts w:hint="eastAsia" w:ascii="宋体" w:hAnsi="宋体" w:eastAsia="宋体" w:cs="宋体"/>
          <w:b/>
          <w:bCs/>
          <w:color w:val="auto"/>
          <w:spacing w:val="0"/>
          <w:sz w:val="24"/>
          <w:szCs w:val="24"/>
          <w:highlight w:val="none"/>
          <w:lang w:val="en-US" w:eastAsia="zh-CN"/>
        </w:rPr>
        <w:t>最高投标限价</w:t>
      </w:r>
      <w:bookmarkEnd w:id="36"/>
    </w:p>
    <w:p w14:paraId="37FBB470">
      <w:pPr>
        <w:keepNext w:val="0"/>
        <w:keepLines w:val="0"/>
        <w:pageBreakBefore w:val="0"/>
        <w:kinsoku/>
        <w:wordWrap w:val="0"/>
        <w:overflowPunct/>
        <w:topLinePunct w:val="0"/>
        <w:bidi w:val="0"/>
        <w:spacing w:before="155" w:line="360" w:lineRule="auto"/>
        <w:ind w:left="488"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8.1  </w:t>
      </w:r>
      <w:r>
        <w:rPr>
          <w:rFonts w:hint="eastAsia" w:ascii="宋体" w:hAnsi="宋体" w:eastAsia="宋体" w:cs="宋体"/>
          <w:color w:val="auto"/>
          <w:spacing w:val="0"/>
          <w:sz w:val="24"/>
          <w:szCs w:val="24"/>
          <w:highlight w:val="none"/>
        </w:rPr>
        <w:t>本招标项目按照以下依据编制</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w:t>
      </w:r>
    </w:p>
    <w:p w14:paraId="1070EE1C">
      <w:pPr>
        <w:keepNext w:val="0"/>
        <w:keepLines w:val="0"/>
        <w:pageBreakBefore w:val="0"/>
        <w:kinsoku/>
        <w:wordWrap w:val="0"/>
        <w:overflowPunct/>
        <w:topLinePunct w:val="0"/>
        <w:bidi w:val="0"/>
        <w:spacing w:before="157" w:line="360"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4A7247E5">
      <w:pPr>
        <w:keepNext w:val="0"/>
        <w:keepLines w:val="0"/>
        <w:pageBreakBefore w:val="0"/>
        <w:kinsoku/>
        <w:wordWrap w:val="0"/>
        <w:overflowPunct/>
        <w:topLinePunct w:val="0"/>
        <w:bidi w:val="0"/>
        <w:spacing w:before="153" w:line="360" w:lineRule="auto"/>
        <w:ind w:left="9" w:right="84" w:rightChars="40"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r>
        <w:rPr>
          <w:rFonts w:hint="eastAsia" w:ascii="宋体" w:hAnsi="宋体" w:eastAsia="宋体" w:cs="宋体"/>
          <w:color w:val="auto"/>
          <w:spacing w:val="2"/>
          <w:sz w:val="24"/>
          <w:szCs w:val="24"/>
          <w:highlight w:val="none"/>
        </w:rPr>
        <w:t>《市政工程工程量计算标准》(GB/T50857-2024）、《园林绿化工程工程量计算标准》(GB/T50858-2024）、2018年《广东省市政工程综合定额》、2018年《广东省园林绿化工程综合定额》及现行的建筑施工规范和省市有关文件、规定为编制依据进行编制</w:t>
      </w:r>
      <w:r>
        <w:rPr>
          <w:rFonts w:hint="eastAsia" w:ascii="宋体" w:hAnsi="宋体" w:eastAsia="宋体" w:cs="宋体"/>
          <w:color w:val="auto"/>
          <w:spacing w:val="0"/>
          <w:sz w:val="24"/>
          <w:szCs w:val="24"/>
          <w:highlight w:val="none"/>
        </w:rPr>
        <w:t>；</w:t>
      </w:r>
    </w:p>
    <w:p w14:paraId="31DF117C">
      <w:pPr>
        <w:keepNext w:val="0"/>
        <w:keepLines w:val="0"/>
        <w:pageBreakBefore w:val="0"/>
        <w:kinsoku/>
        <w:wordWrap w:val="0"/>
        <w:overflowPunct/>
        <w:topLinePunct w:val="0"/>
        <w:bidi w:val="0"/>
        <w:spacing w:before="154" w:line="360"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（3）施工图及相关资料；</w:t>
      </w:r>
    </w:p>
    <w:p w14:paraId="2964A12F">
      <w:pPr>
        <w:keepNext w:val="0"/>
        <w:keepLines w:val="0"/>
        <w:pageBreakBefore w:val="0"/>
        <w:kinsoku/>
        <w:wordWrap w:val="0"/>
        <w:overflowPunct/>
        <w:topLinePunct w:val="0"/>
        <w:bidi w:val="0"/>
        <w:spacing w:before="78" w:line="360" w:lineRule="auto"/>
        <w:ind w:left="502" w:right="84" w:rightChars="40"/>
        <w:rPr>
          <w:rFonts w:hint="eastAsia" w:ascii="宋体" w:hAnsi="宋体" w:eastAsia="宋体" w:cs="宋体"/>
          <w:color w:val="auto"/>
          <w:spacing w:val="0"/>
          <w:sz w:val="24"/>
          <w:szCs w:val="24"/>
          <w:highlight w:val="none"/>
        </w:rPr>
      </w:pPr>
      <w:bookmarkStart w:id="37" w:name="bookmark119"/>
      <w:bookmarkEnd w:id="37"/>
      <w:r>
        <w:rPr>
          <w:rFonts w:hint="eastAsia" w:ascii="宋体" w:hAnsi="宋体" w:eastAsia="宋体" w:cs="宋体"/>
          <w:color w:val="auto"/>
          <w:spacing w:val="0"/>
          <w:sz w:val="24"/>
          <w:szCs w:val="24"/>
          <w:highlight w:val="none"/>
        </w:rPr>
        <w:t>（4）招标文件及招标工程量清单；</w:t>
      </w:r>
    </w:p>
    <w:p w14:paraId="76D0A57F">
      <w:pPr>
        <w:keepNext w:val="0"/>
        <w:keepLines w:val="0"/>
        <w:pageBreakBefore w:val="0"/>
        <w:kinsoku/>
        <w:wordWrap w:val="0"/>
        <w:overflowPunct/>
        <w:topLinePunct w:val="0"/>
        <w:bidi w:val="0"/>
        <w:spacing w:before="155" w:line="360" w:lineRule="auto"/>
        <w:ind w:left="502"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（5）施工现场情况、工程特点及常规施工方案；</w:t>
      </w:r>
    </w:p>
    <w:p w14:paraId="504E4C98">
      <w:pPr>
        <w:keepNext w:val="0"/>
        <w:keepLines w:val="0"/>
        <w:pageBreakBefore w:val="0"/>
        <w:kinsoku/>
        <w:wordWrap w:val="0"/>
        <w:overflowPunct/>
        <w:topLinePunct w:val="0"/>
        <w:bidi w:val="0"/>
        <w:spacing w:before="153" w:line="360" w:lineRule="auto"/>
        <w:ind w:left="12" w:right="84" w:rightChars="40"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（6）项目所在地工程造价管理机构发布的工程造价信息，工程造价信息缺项的，参照市场价格；</w:t>
      </w:r>
    </w:p>
    <w:p w14:paraId="6B6B220A">
      <w:pPr>
        <w:keepNext w:val="0"/>
        <w:keepLines w:val="0"/>
        <w:pageBreakBefore w:val="0"/>
        <w:kinsoku/>
        <w:wordWrap w:val="0"/>
        <w:overflowPunct/>
        <w:topLinePunct w:val="0"/>
        <w:bidi w:val="0"/>
        <w:spacing w:before="157" w:line="360" w:lineRule="auto"/>
        <w:ind w:left="502"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（7）与建设项目相关的标准、规范、技术资料。</w:t>
      </w:r>
    </w:p>
    <w:p w14:paraId="5D519EB1">
      <w:pPr>
        <w:keepNext w:val="0"/>
        <w:keepLines w:val="0"/>
        <w:pageBreakBefore w:val="0"/>
        <w:kinsoku/>
        <w:wordWrap w:val="0"/>
        <w:overflowPunct/>
        <w:topLinePunct w:val="0"/>
        <w:bidi w:val="0"/>
        <w:spacing w:before="79" w:line="360" w:lineRule="auto"/>
        <w:ind w:left="11" w:right="84" w:rightChars="40" w:firstLine="479"/>
        <w:jc w:val="both"/>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8.2</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lang w:eastAsia="zh-CN"/>
        </w:rPr>
        <w:t>本招标项目的</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lang w:eastAsia="zh-CN"/>
        </w:rPr>
        <w:t>、工程量清单、</w:t>
      </w:r>
      <w:r>
        <w:rPr>
          <w:rFonts w:hint="eastAsia" w:ascii="宋体" w:hAnsi="宋体" w:eastAsia="宋体" w:cs="宋体"/>
          <w:b/>
          <w:bCs/>
          <w:color w:val="auto"/>
          <w:spacing w:val="0"/>
          <w:sz w:val="24"/>
          <w:szCs w:val="24"/>
          <w:highlight w:val="none"/>
          <w:lang w:val="en-US" w:eastAsia="zh-CN"/>
        </w:rPr>
        <w:t>施工图纸</w:t>
      </w:r>
      <w:r>
        <w:rPr>
          <w:rFonts w:hint="eastAsia" w:ascii="宋体" w:hAnsi="宋体" w:eastAsia="宋体" w:cs="宋体"/>
          <w:b/>
          <w:bCs/>
          <w:color w:val="auto"/>
          <w:spacing w:val="0"/>
          <w:sz w:val="24"/>
          <w:szCs w:val="24"/>
          <w:highlight w:val="none"/>
          <w:lang w:eastAsia="zh-CN"/>
        </w:rPr>
        <w:t>在投标截止时间15天前以补充公告的形式在广东省招标投标监管网（http://zbtb.gd.gov.cn）、全国公共资源交易平台（广东省·韶关市）（https://ygp.gdzwfw.gov.cn/ggzy-portal/#/440200/index）网站公布。</w:t>
      </w:r>
    </w:p>
    <w:p w14:paraId="458077E8">
      <w:pPr>
        <w:keepNext w:val="0"/>
        <w:keepLines w:val="0"/>
        <w:pageBreakBefore w:val="0"/>
        <w:kinsoku/>
        <w:wordWrap w:val="0"/>
        <w:overflowPunct/>
        <w:topLinePunct w:val="0"/>
        <w:bidi w:val="0"/>
        <w:spacing w:before="79" w:line="360" w:lineRule="auto"/>
        <w:ind w:left="11" w:right="84" w:rightChars="40" w:firstLine="479"/>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3</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1698FFA3">
      <w:pPr>
        <w:keepNext w:val="0"/>
        <w:keepLines w:val="0"/>
        <w:pageBreakBefore w:val="0"/>
        <w:kinsoku/>
        <w:wordWrap w:val="0"/>
        <w:overflowPunct/>
        <w:topLinePunct w:val="0"/>
        <w:bidi w:val="0"/>
        <w:spacing w:before="36" w:line="360" w:lineRule="auto"/>
        <w:ind w:left="10" w:right="84" w:rightChars="40" w:firstLine="48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4</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本招标项目以暂估价形式列入招标工程量清单中的材料、工程设备、专业工程（以下统称“暂估价项目 ”）包括：</w:t>
      </w:r>
      <w:r>
        <w:rPr>
          <w:rFonts w:hint="eastAsia" w:ascii="宋体" w:hAnsi="宋体" w:eastAsia="宋体" w:cs="宋体"/>
          <w:color w:val="auto"/>
          <w:spacing w:val="0"/>
          <w:sz w:val="24"/>
          <w:szCs w:val="24"/>
          <w:highlight w:val="none"/>
          <w:u w:val="single"/>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27DBB8AB">
      <w:pPr>
        <w:keepNext w:val="0"/>
        <w:keepLines w:val="0"/>
        <w:pageBreakBefore w:val="0"/>
        <w:kinsoku/>
        <w:wordWrap w:val="0"/>
        <w:overflowPunct/>
        <w:topLinePunct w:val="0"/>
        <w:bidi w:val="0"/>
        <w:spacing w:before="154" w:line="360" w:lineRule="auto"/>
        <w:ind w:left="12"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5</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当暂估价项目的内容、标准、要求在项目实施过程中得以深化、明确、固定后，按以下原则发包：</w:t>
      </w:r>
    </w:p>
    <w:p w14:paraId="2E6E5889">
      <w:pPr>
        <w:keepNext w:val="0"/>
        <w:keepLines w:val="0"/>
        <w:pageBreakBefore w:val="0"/>
        <w:kinsoku/>
        <w:wordWrap w:val="0"/>
        <w:overflowPunct/>
        <w:topLinePunct w:val="0"/>
        <w:bidi w:val="0"/>
        <w:spacing w:before="153" w:line="360" w:lineRule="auto"/>
        <w:ind w:left="-3" w:leftChars="0" w:right="84" w:rightChars="4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（1）暂估价项目按工程、货物（指材料或工程设备，下同）的类别分类汇总的金额，达到必须招标规模标准的，由</w:t>
      </w:r>
      <w:r>
        <w:rPr>
          <w:rFonts w:hint="eastAsia" w:ascii="宋体" w:hAnsi="宋体" w:eastAsia="宋体" w:cs="宋体"/>
          <w:b/>
          <w:bCs/>
          <w:color w:val="auto"/>
          <w:spacing w:val="0"/>
          <w:sz w:val="24"/>
          <w:szCs w:val="24"/>
          <w:highlight w:val="none"/>
          <w:u w:val="single"/>
        </w:rPr>
        <w:t xml:space="preserve"> </w:t>
      </w:r>
      <w:r>
        <w:rPr>
          <w:rFonts w:hint="eastAsia" w:ascii="宋体" w:hAnsi="宋体" w:eastAsia="宋体" w:cs="宋体"/>
          <w:bCs/>
          <w:color w:val="auto"/>
          <w:spacing w:val="0"/>
          <w:sz w:val="24"/>
          <w:szCs w:val="24"/>
          <w:highlight w:val="none"/>
          <w:u w:val="single"/>
        </w:rPr>
        <w:t xml:space="preserve">中标人招标，招标人参与管理 </w:t>
      </w:r>
      <w:r>
        <w:rPr>
          <w:rFonts w:hint="eastAsia" w:ascii="宋体" w:hAnsi="宋体" w:eastAsia="宋体" w:cs="宋体"/>
          <w:bCs/>
          <w:color w:val="auto"/>
          <w:spacing w:val="0"/>
          <w:sz w:val="24"/>
          <w:szCs w:val="24"/>
          <w:highlight w:val="none"/>
        </w:rPr>
        <w:t>，</w:t>
      </w:r>
      <w:r>
        <w:rPr>
          <w:rFonts w:hint="eastAsia" w:ascii="宋体" w:hAnsi="宋体" w:eastAsia="宋体" w:cs="宋体"/>
          <w:color w:val="auto"/>
          <w:spacing w:val="0"/>
          <w:sz w:val="24"/>
          <w:szCs w:val="24"/>
          <w:highlight w:val="none"/>
        </w:rPr>
        <w:t>确定专业工程承包人（或材料、工程 设备供应商）和合同价格。</w:t>
      </w:r>
    </w:p>
    <w:p w14:paraId="748F67E9">
      <w:pPr>
        <w:keepNext w:val="0"/>
        <w:keepLines w:val="0"/>
        <w:pageBreakBefore w:val="0"/>
        <w:kinsoku/>
        <w:wordWrap w:val="0"/>
        <w:overflowPunct/>
        <w:topLinePunct w:val="0"/>
        <w:bidi w:val="0"/>
        <w:spacing w:before="30" w:line="299" w:lineRule="auto"/>
        <w:ind w:left="11" w:right="84" w:rightChars="40"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（2）暂估价项目按工程、货物的类别分类汇总的金额，未达到必须招标规模标准但适用政府采购规定的，按照政府采购规定确定专业工程承包人（或材料、工程设备供应商）和合同价格。</w:t>
      </w:r>
    </w:p>
    <w:p w14:paraId="6736DF1E">
      <w:pPr>
        <w:keepNext w:val="0"/>
        <w:keepLines w:val="0"/>
        <w:pageBreakBefore w:val="0"/>
        <w:kinsoku/>
        <w:wordWrap w:val="0"/>
        <w:overflowPunct/>
        <w:topLinePunct w:val="0"/>
        <w:bidi w:val="0"/>
        <w:spacing w:before="154" w:line="309" w:lineRule="auto"/>
        <w:ind w:left="11" w:right="84" w:rightChars="40"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6EC26BD9">
      <w:pPr>
        <w:keepNext w:val="0"/>
        <w:keepLines w:val="0"/>
        <w:pageBreakBefore w:val="0"/>
        <w:kinsoku/>
        <w:wordWrap w:val="0"/>
        <w:overflowPunct/>
        <w:topLinePunct w:val="0"/>
        <w:bidi w:val="0"/>
        <w:spacing w:before="154" w:line="299" w:lineRule="auto"/>
        <w:ind w:left="11" w:right="84" w:rightChars="40"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（4）暂估价项目按工程、货物的类别分类汇总的金额，未达到必须招标规模标准也不适用政府采购规定，中标人既不具备相应资格条件又不具备分包权的，由招标人另行发包。</w:t>
      </w:r>
    </w:p>
    <w:p w14:paraId="51638999">
      <w:pPr>
        <w:keepNext w:val="0"/>
        <w:keepLines w:val="0"/>
        <w:pageBreakBefore w:val="0"/>
        <w:kinsoku/>
        <w:wordWrap w:val="0"/>
        <w:overflowPunct/>
        <w:topLinePunct w:val="0"/>
        <w:bidi w:val="0"/>
        <w:spacing w:before="155" w:line="279" w:lineRule="auto"/>
        <w:ind w:left="9" w:right="84" w:rightChars="40"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（5）暂估价项目由其他承包人承包的，纳入中标人的管理和协调范围，由其他承包人向中标人承担质量、安全、文明施工、工期责任，中标人向招标人承担责任。</w:t>
      </w:r>
    </w:p>
    <w:p w14:paraId="06A8222B">
      <w:pPr>
        <w:keepNext w:val="0"/>
        <w:keepLines w:val="0"/>
        <w:pageBreakBefore w:val="0"/>
        <w:kinsoku/>
        <w:wordWrap w:val="0"/>
        <w:overflowPunct/>
        <w:topLinePunct w:val="0"/>
        <w:bidi w:val="0"/>
        <w:spacing w:before="155" w:line="333" w:lineRule="auto"/>
        <w:ind w:left="10" w:right="84" w:rightChars="40" w:firstLine="478"/>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 xml:space="preserve">本招标项目以暂列金额形式列入招标工程量清单中的所需货物和服务的采购（以下统称“暂列金额项目 ”）若有发生，按照本节第 </w:t>
      </w:r>
      <w:r>
        <w:rPr>
          <w:rFonts w:hint="eastAsia" w:ascii="宋体" w:hAnsi="宋体" w:eastAsia="宋体" w:cs="宋体"/>
          <w:b/>
          <w:bCs/>
          <w:color w:val="auto"/>
          <w:spacing w:val="0"/>
          <w:sz w:val="24"/>
          <w:szCs w:val="24"/>
          <w:highlight w:val="none"/>
        </w:rPr>
        <w:t xml:space="preserve">8.5 </w:t>
      </w:r>
      <w:r>
        <w:rPr>
          <w:rFonts w:hint="eastAsia" w:ascii="宋体" w:hAnsi="宋体" w:eastAsia="宋体" w:cs="宋体"/>
          <w:color w:val="auto"/>
          <w:spacing w:val="0"/>
          <w:sz w:val="24"/>
          <w:szCs w:val="24"/>
          <w:highlight w:val="none"/>
        </w:rPr>
        <w:t>条的规定确定货物（或服务）供应商和合同价格。暂列金额项目由其他承包人承包的，纳入中标人的管理和协调范围</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由其他承包人向中标人承担质量、安全、文明施工、工期责任，中标人向招标人承担责任。</w:t>
      </w:r>
    </w:p>
    <w:p w14:paraId="44041CF4">
      <w:pPr>
        <w:keepNext w:val="0"/>
        <w:keepLines w:val="0"/>
        <w:pageBreakBefore w:val="0"/>
        <w:kinsoku/>
        <w:wordWrap w:val="0"/>
        <w:overflowPunct/>
        <w:topLinePunct w:val="0"/>
        <w:bidi w:val="0"/>
        <w:spacing w:before="79" w:line="219" w:lineRule="auto"/>
        <w:ind w:left="487" w:right="84" w:rightChars="40"/>
        <w:outlineLvl w:val="2"/>
        <w:rPr>
          <w:rFonts w:hint="eastAsia" w:ascii="宋体" w:hAnsi="宋体" w:eastAsia="宋体" w:cs="宋体"/>
          <w:color w:val="auto"/>
          <w:spacing w:val="0"/>
          <w:sz w:val="24"/>
          <w:szCs w:val="24"/>
          <w:highlight w:val="none"/>
        </w:rPr>
      </w:pPr>
      <w:bookmarkStart w:id="38" w:name="_Toc28971"/>
      <w:bookmarkStart w:id="39" w:name="_Toc22978"/>
      <w:r>
        <w:rPr>
          <w:rFonts w:hint="eastAsia" w:ascii="宋体" w:hAnsi="宋体" w:eastAsia="宋体" w:cs="宋体"/>
          <w:b/>
          <w:bCs/>
          <w:color w:val="auto"/>
          <w:spacing w:val="0"/>
          <w:sz w:val="24"/>
          <w:szCs w:val="24"/>
          <w:highlight w:val="none"/>
        </w:rPr>
        <w:t>9 ．投标报价</w:t>
      </w:r>
      <w:bookmarkEnd w:id="38"/>
      <w:bookmarkEnd w:id="39"/>
    </w:p>
    <w:p w14:paraId="0ED2EF22">
      <w:pPr>
        <w:keepNext w:val="0"/>
        <w:keepLines w:val="0"/>
        <w:pageBreakBefore w:val="0"/>
        <w:kinsoku/>
        <w:wordWrap w:val="0"/>
        <w:overflowPunct/>
        <w:topLinePunct w:val="0"/>
        <w:bidi w:val="0"/>
        <w:spacing w:before="157" w:line="219" w:lineRule="auto"/>
        <w:ind w:left="487"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9.1  </w:t>
      </w:r>
      <w:r>
        <w:rPr>
          <w:rFonts w:hint="eastAsia" w:ascii="宋体" w:hAnsi="宋体" w:eastAsia="宋体" w:cs="宋体"/>
          <w:color w:val="auto"/>
          <w:spacing w:val="0"/>
          <w:sz w:val="24"/>
          <w:szCs w:val="24"/>
          <w:highlight w:val="none"/>
        </w:rPr>
        <w:t>投标人应按照以下依据编制投标报价：</w:t>
      </w:r>
    </w:p>
    <w:p w14:paraId="5DFFCF42">
      <w:pPr>
        <w:keepNext w:val="0"/>
        <w:keepLines w:val="0"/>
        <w:pageBreakBefore w:val="0"/>
        <w:kinsoku/>
        <w:wordWrap w:val="0"/>
        <w:overflowPunct/>
        <w:topLinePunct w:val="0"/>
        <w:bidi w:val="0"/>
        <w:spacing w:before="155" w:line="219"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1C5DC104">
      <w:pPr>
        <w:keepNext w:val="0"/>
        <w:keepLines w:val="0"/>
        <w:pageBreakBefore w:val="0"/>
        <w:kinsoku/>
        <w:wordWrap w:val="0"/>
        <w:overflowPunct/>
        <w:topLinePunct w:val="0"/>
        <w:bidi w:val="0"/>
        <w:spacing w:before="153" w:line="309" w:lineRule="auto"/>
        <w:ind w:left="9" w:right="84" w:rightChars="40"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r>
        <w:rPr>
          <w:rFonts w:hint="eastAsia" w:ascii="宋体" w:hAnsi="宋体" w:eastAsia="宋体" w:cs="宋体"/>
          <w:color w:val="auto"/>
          <w:spacing w:val="2"/>
          <w:sz w:val="24"/>
          <w:szCs w:val="24"/>
          <w:highlight w:val="none"/>
        </w:rPr>
        <w:t>《市政工程工程量计算标准》(GB/T50857-2024）、《园林绿化工程工程量计算标准》(GB/T50858-2024）、2018年《广东省市政工程综合定额》、2018年《广东省园林绿化工程综合定额》及现行的建筑施工规范和省市有关文件、规定为编制依据进行编制</w:t>
      </w:r>
      <w:r>
        <w:rPr>
          <w:rFonts w:hint="eastAsia" w:ascii="宋体" w:hAnsi="宋体" w:eastAsia="宋体" w:cs="宋体"/>
          <w:color w:val="auto"/>
          <w:spacing w:val="0"/>
          <w:sz w:val="24"/>
          <w:szCs w:val="24"/>
          <w:highlight w:val="none"/>
        </w:rPr>
        <w:t>；</w:t>
      </w:r>
    </w:p>
    <w:p w14:paraId="56A82739">
      <w:pPr>
        <w:keepNext w:val="0"/>
        <w:keepLines w:val="0"/>
        <w:pageBreakBefore w:val="0"/>
        <w:kinsoku/>
        <w:wordWrap w:val="0"/>
        <w:overflowPunct/>
        <w:topLinePunct w:val="0"/>
        <w:bidi w:val="0"/>
        <w:spacing w:before="78" w:line="220" w:lineRule="auto"/>
        <w:ind w:left="501" w:right="84" w:rightChars="40"/>
        <w:rPr>
          <w:rFonts w:hint="eastAsia" w:ascii="宋体" w:hAnsi="宋体" w:eastAsia="宋体" w:cs="宋体"/>
          <w:color w:val="auto"/>
          <w:spacing w:val="0"/>
          <w:sz w:val="24"/>
          <w:szCs w:val="24"/>
          <w:highlight w:val="none"/>
        </w:rPr>
      </w:pPr>
      <w:bookmarkStart w:id="40" w:name="bookmark120"/>
      <w:bookmarkEnd w:id="40"/>
      <w:r>
        <w:rPr>
          <w:rFonts w:hint="eastAsia" w:ascii="宋体" w:hAnsi="宋体" w:eastAsia="宋体" w:cs="宋体"/>
          <w:color w:val="auto"/>
          <w:spacing w:val="0"/>
          <w:sz w:val="24"/>
          <w:szCs w:val="24"/>
          <w:highlight w:val="none"/>
        </w:rPr>
        <w:t>（3）企业定额；</w:t>
      </w:r>
    </w:p>
    <w:p w14:paraId="21D7AB3A">
      <w:pPr>
        <w:keepNext w:val="0"/>
        <w:keepLines w:val="0"/>
        <w:pageBreakBefore w:val="0"/>
        <w:kinsoku/>
        <w:wordWrap w:val="0"/>
        <w:overflowPunct/>
        <w:topLinePunct w:val="0"/>
        <w:bidi w:val="0"/>
        <w:spacing w:before="155" w:line="219"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（4）招标文件及其答疑（或修改）公告、招标工程量清单；</w:t>
      </w:r>
    </w:p>
    <w:p w14:paraId="6C148BBB">
      <w:pPr>
        <w:keepNext w:val="0"/>
        <w:keepLines w:val="0"/>
        <w:pageBreakBefore w:val="0"/>
        <w:kinsoku/>
        <w:wordWrap w:val="0"/>
        <w:overflowPunct/>
        <w:topLinePunct w:val="0"/>
        <w:bidi w:val="0"/>
        <w:spacing w:before="154" w:line="221"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（5）施工图及相关资料；</w:t>
      </w:r>
    </w:p>
    <w:p w14:paraId="05C84BB3">
      <w:pPr>
        <w:keepNext w:val="0"/>
        <w:keepLines w:val="0"/>
        <w:pageBreakBefore w:val="0"/>
        <w:kinsoku/>
        <w:wordWrap w:val="0"/>
        <w:overflowPunct/>
        <w:topLinePunct w:val="0"/>
        <w:bidi w:val="0"/>
        <w:spacing w:before="152" w:line="219"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（6）施工现场情况、工程特点及投标时拟定的施工组织设计或施工方案；</w:t>
      </w:r>
    </w:p>
    <w:p w14:paraId="42F852A9">
      <w:pPr>
        <w:keepNext w:val="0"/>
        <w:keepLines w:val="0"/>
        <w:pageBreakBefore w:val="0"/>
        <w:kinsoku/>
        <w:wordWrap w:val="0"/>
        <w:overflowPunct/>
        <w:topLinePunct w:val="0"/>
        <w:bidi w:val="0"/>
        <w:spacing w:before="156" w:line="219"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（7）市场价格信息或项目所在地工程造价管理机构发布的工程造价信息；</w:t>
      </w:r>
    </w:p>
    <w:p w14:paraId="42E67E93">
      <w:pPr>
        <w:keepNext w:val="0"/>
        <w:keepLines w:val="0"/>
        <w:pageBreakBefore w:val="0"/>
        <w:kinsoku/>
        <w:wordWrap w:val="0"/>
        <w:overflowPunct/>
        <w:topLinePunct w:val="0"/>
        <w:bidi w:val="0"/>
        <w:spacing w:before="155" w:line="220"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（8）与建设项目相关的标准、规范、技术资料。</w:t>
      </w:r>
    </w:p>
    <w:p w14:paraId="655BD8EA">
      <w:pPr>
        <w:keepNext w:val="0"/>
        <w:keepLines w:val="0"/>
        <w:pageBreakBefore w:val="0"/>
        <w:kinsoku/>
        <w:wordWrap w:val="0"/>
        <w:overflowPunct/>
        <w:topLinePunct w:val="0"/>
        <w:bidi w:val="0"/>
        <w:spacing w:before="153" w:line="309" w:lineRule="auto"/>
        <w:ind w:left="8" w:right="84" w:rightChars="40"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9.2  </w:t>
      </w:r>
      <w:r>
        <w:rPr>
          <w:rFonts w:hint="eastAsia" w:ascii="宋体" w:hAnsi="宋体" w:eastAsia="宋体" w:cs="宋体"/>
          <w:color w:val="auto"/>
          <w:spacing w:val="0"/>
          <w:sz w:val="24"/>
          <w:szCs w:val="24"/>
          <w:highlight w:val="none"/>
        </w:rPr>
        <w:t>投标人应根据招标工程量清单、工程量清单计价</w:t>
      </w:r>
      <w:r>
        <w:rPr>
          <w:rFonts w:hint="eastAsia" w:ascii="宋体" w:hAnsi="宋体" w:eastAsia="宋体" w:cs="宋体"/>
          <w:color w:val="auto"/>
          <w:spacing w:val="0"/>
          <w:sz w:val="24"/>
          <w:szCs w:val="24"/>
          <w:highlight w:val="none"/>
          <w:lang w:val="en-US" w:eastAsia="zh-CN"/>
        </w:rPr>
        <w:t>标准</w:t>
      </w:r>
      <w:r>
        <w:rPr>
          <w:rFonts w:hint="eastAsia" w:ascii="宋体" w:hAnsi="宋体" w:eastAsia="宋体" w:cs="宋体"/>
          <w:color w:val="auto"/>
          <w:spacing w:val="0"/>
          <w:sz w:val="24"/>
          <w:szCs w:val="24"/>
          <w:highlight w:val="none"/>
        </w:rPr>
        <w:t>中的工作内容、设计文件和有关要求、施工现场实际情况、投标人拟定的施工组织设计、本单位的企业定额和市场价格进行编制，自行报价，并承担一定范围内的风险费用。所谓“一定范围内的风险 ”是指合同约定的风险。</w:t>
      </w:r>
    </w:p>
    <w:p w14:paraId="7D8B28AF">
      <w:pPr>
        <w:keepNext w:val="0"/>
        <w:keepLines w:val="0"/>
        <w:pageBreakBefore w:val="0"/>
        <w:kinsoku/>
        <w:wordWrap w:val="0"/>
        <w:overflowPunct/>
        <w:topLinePunct w:val="0"/>
        <w:bidi w:val="0"/>
        <w:spacing w:before="152" w:line="309" w:lineRule="auto"/>
        <w:ind w:left="9" w:right="84" w:rightChars="40" w:firstLine="55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9.3  </w:t>
      </w:r>
      <w:r>
        <w:rPr>
          <w:rFonts w:hint="eastAsia" w:ascii="宋体" w:hAnsi="宋体" w:eastAsia="宋体" w:cs="宋体"/>
          <w:color w:val="auto"/>
          <w:spacing w:val="0"/>
          <w:sz w:val="24"/>
          <w:szCs w:val="24"/>
          <w:highlight w:val="none"/>
        </w:rPr>
        <w:t>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14:paraId="7BD0F3F4">
      <w:pPr>
        <w:keepNext w:val="0"/>
        <w:keepLines w:val="0"/>
        <w:pageBreakBefore w:val="0"/>
        <w:kinsoku/>
        <w:wordWrap w:val="0"/>
        <w:overflowPunct/>
        <w:topLinePunct w:val="0"/>
        <w:bidi w:val="0"/>
        <w:spacing w:before="155" w:line="279" w:lineRule="auto"/>
        <w:ind w:left="10" w:right="84" w:rightChars="40"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9.4  </w:t>
      </w:r>
      <w:r>
        <w:rPr>
          <w:rFonts w:hint="eastAsia" w:ascii="宋体" w:hAnsi="宋体" w:eastAsia="宋体" w:cs="宋体"/>
          <w:color w:val="auto"/>
          <w:spacing w:val="0"/>
          <w:sz w:val="24"/>
          <w:szCs w:val="24"/>
          <w:highlight w:val="none"/>
        </w:rPr>
        <w:t>招标人向投标人提供的有关现场的数据和资料，是招标人现有的能被投标人利用的资料，招标人对投标人做出的任何推论、理解和结论均不负责任。</w:t>
      </w:r>
    </w:p>
    <w:p w14:paraId="18DC3EDD">
      <w:pPr>
        <w:keepNext w:val="0"/>
        <w:keepLines w:val="0"/>
        <w:pageBreakBefore w:val="0"/>
        <w:kinsoku/>
        <w:wordWrap w:val="0"/>
        <w:overflowPunct/>
        <w:topLinePunct w:val="0"/>
        <w:bidi w:val="0"/>
        <w:spacing w:before="154" w:line="299" w:lineRule="auto"/>
        <w:ind w:left="12" w:right="84" w:rightChars="40" w:firstLine="55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9.5  </w:t>
      </w:r>
      <w:r>
        <w:rPr>
          <w:rFonts w:hint="eastAsia" w:ascii="宋体" w:hAnsi="宋体" w:eastAsia="宋体" w:cs="宋体"/>
          <w:color w:val="auto"/>
          <w:spacing w:val="0"/>
          <w:sz w:val="24"/>
          <w:szCs w:val="24"/>
          <w:highlight w:val="none"/>
        </w:rPr>
        <w:t>投标人必须按照招标工程量清单及表格填报价格。项目编码、项目名称、项目特征、计量单位、工程量必须与招标工程量清单一致。所有报价均以人民币“元 ”为单位，并保留小数点后两位。</w:t>
      </w:r>
    </w:p>
    <w:p w14:paraId="2DEC74A0">
      <w:pPr>
        <w:keepNext w:val="0"/>
        <w:keepLines w:val="0"/>
        <w:pageBreakBefore w:val="0"/>
        <w:kinsoku/>
        <w:wordWrap w:val="0"/>
        <w:overflowPunct/>
        <w:topLinePunct w:val="0"/>
        <w:bidi w:val="0"/>
        <w:spacing w:before="158" w:line="314" w:lineRule="auto"/>
        <w:ind w:left="9" w:right="84" w:rightChars="40" w:firstLine="55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9.6  </w:t>
      </w:r>
      <w:r>
        <w:rPr>
          <w:rFonts w:hint="eastAsia" w:ascii="宋体" w:hAnsi="宋体" w:eastAsia="宋体" w:cs="宋体"/>
          <w:color w:val="auto"/>
          <w:spacing w:val="0"/>
          <w:sz w:val="24"/>
          <w:szCs w:val="24"/>
          <w:highlight w:val="none"/>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40CE886C">
      <w:pPr>
        <w:keepNext w:val="0"/>
        <w:keepLines w:val="0"/>
        <w:pageBreakBefore w:val="0"/>
        <w:kinsoku/>
        <w:wordWrap w:val="0"/>
        <w:overflowPunct/>
        <w:topLinePunct w:val="0"/>
        <w:bidi w:val="0"/>
        <w:spacing w:before="152" w:line="309" w:lineRule="auto"/>
        <w:ind w:left="7" w:right="84" w:rightChars="40" w:firstLine="48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 xml:space="preserve">9.7  </w:t>
      </w:r>
      <w:r>
        <w:rPr>
          <w:rFonts w:hint="eastAsia" w:ascii="宋体" w:hAnsi="宋体" w:eastAsia="宋体" w:cs="宋体"/>
          <w:color w:val="auto"/>
          <w:spacing w:val="0"/>
          <w:sz w:val="24"/>
          <w:szCs w:val="24"/>
          <w:highlight w:val="none"/>
        </w:rPr>
        <w:t>投标人的投标总价不得高于</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，也不得低于工程成本。投标人对投标总价的所有优惠（降价、让利等），均应当反映在具体清单项目或其综合单价的报价上。</w:t>
      </w:r>
      <w:r>
        <w:rPr>
          <w:rFonts w:hint="eastAsia" w:ascii="宋体" w:hAnsi="宋体" w:eastAsia="宋体" w:cs="宋体"/>
          <w:b/>
          <w:bCs/>
          <w:color w:val="auto"/>
          <w:spacing w:val="0"/>
          <w:sz w:val="24"/>
          <w:szCs w:val="24"/>
          <w:highlight w:val="none"/>
        </w:rPr>
        <w:t>如果投标人的投标总价下浮率高于</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15%时，投标人必须在投标文件中专项作出详细合理的书面说明并提供以往类似工程详细成本分析报告供评标委员会审查。</w:t>
      </w:r>
    </w:p>
    <w:p w14:paraId="2EE97EFC">
      <w:pPr>
        <w:keepNext w:val="0"/>
        <w:keepLines w:val="0"/>
        <w:pageBreakBefore w:val="0"/>
        <w:kinsoku/>
        <w:wordWrap w:val="0"/>
        <w:overflowPunct/>
        <w:topLinePunct w:val="0"/>
        <w:bidi w:val="0"/>
        <w:ind w:right="84" w:rightChars="40" w:firstLine="482" w:firstLineChars="200"/>
        <w:outlineLvl w:val="9"/>
        <w:rPr>
          <w:rFonts w:hint="eastAsia" w:ascii="宋体" w:hAnsi="宋体" w:eastAsia="宋体" w:cs="宋体"/>
          <w:color w:val="auto"/>
          <w:spacing w:val="0"/>
          <w:highlight w:val="none"/>
          <w:lang w:eastAsia="zh-CN"/>
        </w:rPr>
      </w:pPr>
      <w:r>
        <w:rPr>
          <w:rFonts w:hint="eastAsia" w:ascii="宋体" w:hAnsi="宋体" w:eastAsia="宋体" w:cs="宋体"/>
          <w:b/>
          <w:bCs/>
          <w:color w:val="auto"/>
          <w:spacing w:val="0"/>
          <w:sz w:val="24"/>
          <w:szCs w:val="24"/>
          <w:highlight w:val="none"/>
          <w:lang w:eastAsia="zh-CN"/>
        </w:rPr>
        <w:t>投标总价下浮率=（1-投标总价</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eastAsia="zh-CN"/>
        </w:rPr>
        <w:t>100%</w:t>
      </w:r>
    </w:p>
    <w:p w14:paraId="0A848A62">
      <w:pPr>
        <w:keepNext w:val="0"/>
        <w:keepLines w:val="0"/>
        <w:pageBreakBefore w:val="0"/>
        <w:kinsoku/>
        <w:wordWrap w:val="0"/>
        <w:overflowPunct/>
        <w:topLinePunct w:val="0"/>
        <w:bidi w:val="0"/>
        <w:spacing w:before="146" w:line="325" w:lineRule="auto"/>
        <w:ind w:left="29" w:right="84" w:rightChars="40" w:firstLine="458"/>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9.8  </w:t>
      </w:r>
      <w:r>
        <w:rPr>
          <w:rFonts w:hint="eastAsia" w:ascii="宋体" w:hAnsi="宋体" w:eastAsia="宋体" w:cs="宋体"/>
          <w:color w:val="auto"/>
          <w:spacing w:val="0"/>
          <w:sz w:val="24"/>
          <w:szCs w:val="24"/>
          <w:highlight w:val="none"/>
        </w:rPr>
        <w:t>投标人的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报价必须达到或超过</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中提供的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w:t>
      </w:r>
    </w:p>
    <w:p w14:paraId="76AD78D0">
      <w:pPr>
        <w:keepNext w:val="0"/>
        <w:keepLines w:val="0"/>
        <w:pageBreakBefore w:val="0"/>
        <w:kinsoku/>
        <w:wordWrap w:val="0"/>
        <w:overflowPunct/>
        <w:topLinePunct w:val="0"/>
        <w:bidi w:val="0"/>
        <w:spacing w:before="78" w:line="309" w:lineRule="auto"/>
        <w:ind w:right="84" w:rightChars="40"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9.9  </w:t>
      </w:r>
      <w:r>
        <w:rPr>
          <w:rFonts w:hint="eastAsia" w:ascii="宋体" w:hAnsi="宋体" w:eastAsia="宋体" w:cs="宋体"/>
          <w:color w:val="auto"/>
          <w:spacing w:val="0"/>
          <w:sz w:val="24"/>
          <w:szCs w:val="24"/>
          <w:highlight w:val="none"/>
        </w:rPr>
        <w:t>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14:paraId="31555D04">
      <w:pPr>
        <w:keepNext w:val="0"/>
        <w:keepLines w:val="0"/>
        <w:pageBreakBefore w:val="0"/>
        <w:kinsoku/>
        <w:wordWrap w:val="0"/>
        <w:overflowPunct/>
        <w:topLinePunct w:val="0"/>
        <w:bidi w:val="0"/>
        <w:spacing w:before="78" w:line="309" w:lineRule="auto"/>
        <w:ind w:right="84" w:rightChars="40" w:firstLine="482" w:firstLineChars="200"/>
        <w:rPr>
          <w:rFonts w:hint="eastAsia" w:ascii="宋体" w:hAnsi="宋体" w:eastAsia="宋体" w:cs="宋体"/>
          <w:snapToGrid w:val="0"/>
          <w:color w:val="auto"/>
          <w:spacing w:val="0"/>
          <w:sz w:val="24"/>
          <w:szCs w:val="24"/>
          <w:highlight w:val="none"/>
          <w:lang w:val="en-US" w:eastAsia="en-US" w:bidi="ar-SA"/>
        </w:rPr>
      </w:pPr>
      <w:r>
        <w:rPr>
          <w:rFonts w:hint="eastAsia" w:ascii="宋体" w:hAnsi="宋体" w:eastAsia="宋体" w:cs="宋体"/>
          <w:b/>
          <w:bCs/>
          <w:color w:val="auto"/>
          <w:spacing w:val="0"/>
          <w:sz w:val="24"/>
          <w:szCs w:val="24"/>
          <w:highlight w:val="none"/>
        </w:rPr>
        <w:t xml:space="preserve">9.10 </w:t>
      </w:r>
      <w:r>
        <w:rPr>
          <w:rFonts w:hint="eastAsia" w:ascii="宋体" w:hAnsi="宋体" w:eastAsia="宋体" w:cs="宋体"/>
          <w:snapToGrid w:val="0"/>
          <w:color w:val="auto"/>
          <w:spacing w:val="0"/>
          <w:sz w:val="24"/>
          <w:szCs w:val="24"/>
          <w:highlight w:val="none"/>
          <w:lang w:val="en-US" w:eastAsia="en-US" w:bidi="ar-SA"/>
        </w:rPr>
        <w:t>预算包干费：根据《市政工程工程量计算标准》（GB/T 50857-2024）、《房屋建筑与装饰工程工程量计算标准》（GB/T 50854-2024）、《通用安装工程工程量计算标准》（GB/T 50856-2024）、《园林绿化工程</w:t>
      </w:r>
      <w:r>
        <w:rPr>
          <w:rFonts w:hint="eastAsia" w:ascii="宋体" w:hAnsi="宋体" w:eastAsia="宋体" w:cs="宋体"/>
          <w:color w:val="auto"/>
          <w:spacing w:val="0"/>
          <w:sz w:val="24"/>
          <w:szCs w:val="24"/>
          <w:highlight w:val="none"/>
          <w:lang w:val="en-US" w:eastAsia="en-US"/>
        </w:rPr>
        <w:t>工程量</w:t>
      </w:r>
      <w:r>
        <w:rPr>
          <w:rFonts w:hint="eastAsia" w:ascii="宋体" w:hAnsi="宋体" w:eastAsia="宋体" w:cs="宋体"/>
          <w:snapToGrid w:val="0"/>
          <w:color w:val="auto"/>
          <w:spacing w:val="0"/>
          <w:sz w:val="24"/>
          <w:szCs w:val="24"/>
          <w:highlight w:val="none"/>
          <w:lang w:val="en-US" w:eastAsia="en-US" w:bidi="ar-SA"/>
        </w:rPr>
        <w:t>计算标准》（GB/T 50858-2024），以各专业分部分项的人工费与施工机具费之和为基础计算预算包干费。本工程的预算包干内容包括：按《</w:t>
      </w:r>
      <w:r>
        <w:rPr>
          <w:rFonts w:hint="eastAsia" w:ascii="宋体" w:hAnsi="宋体" w:eastAsia="宋体" w:cs="宋体"/>
          <w:snapToGrid w:val="0"/>
          <w:color w:val="auto"/>
          <w:spacing w:val="0"/>
          <w:sz w:val="24"/>
          <w:szCs w:val="24"/>
          <w:highlight w:val="none"/>
          <w:lang w:val="en-US" w:eastAsia="zh-CN" w:bidi="ar-SA"/>
        </w:rPr>
        <w:t>《广东省建设工程计价依据(2018)》</w:t>
      </w:r>
      <w:r>
        <w:rPr>
          <w:rFonts w:hint="eastAsia" w:ascii="宋体" w:hAnsi="宋体" w:eastAsia="宋体" w:cs="宋体"/>
          <w:snapToGrid w:val="0"/>
          <w:color w:val="auto"/>
          <w:spacing w:val="0"/>
          <w:sz w:val="24"/>
          <w:szCs w:val="24"/>
          <w:highlight w:val="none"/>
          <w:lang w:val="en-US" w:eastAsia="en-US" w:bidi="ar-SA"/>
        </w:rPr>
        <w:t>》相关规定。若发生工程签证变更，应按合同约定计取预算包干费。</w:t>
      </w:r>
    </w:p>
    <w:p w14:paraId="02BC6D0D">
      <w:pPr>
        <w:keepNext w:val="0"/>
        <w:keepLines w:val="0"/>
        <w:pageBreakBefore w:val="0"/>
        <w:kinsoku/>
        <w:wordWrap w:val="0"/>
        <w:overflowPunct/>
        <w:topLinePunct w:val="0"/>
        <w:bidi w:val="0"/>
        <w:spacing w:before="78" w:line="220" w:lineRule="auto"/>
        <w:ind w:left="496" w:right="84" w:rightChars="40"/>
        <w:outlineLvl w:val="2"/>
        <w:rPr>
          <w:rFonts w:hint="eastAsia" w:ascii="宋体" w:hAnsi="宋体" w:eastAsia="宋体" w:cs="宋体"/>
          <w:color w:val="auto"/>
          <w:spacing w:val="0"/>
          <w:sz w:val="24"/>
          <w:szCs w:val="24"/>
          <w:highlight w:val="none"/>
        </w:rPr>
      </w:pPr>
      <w:bookmarkStart w:id="41" w:name="_Toc16322"/>
      <w:bookmarkStart w:id="42" w:name="_Toc6052"/>
      <w:r>
        <w:rPr>
          <w:rFonts w:hint="eastAsia" w:ascii="宋体" w:hAnsi="宋体" w:eastAsia="宋体" w:cs="宋体"/>
          <w:b/>
          <w:bCs/>
          <w:color w:val="auto"/>
          <w:spacing w:val="0"/>
          <w:sz w:val="24"/>
          <w:szCs w:val="24"/>
          <w:highlight w:val="none"/>
        </w:rPr>
        <w:t>10 ．投标文件的编制要求</w:t>
      </w:r>
      <w:bookmarkEnd w:id="41"/>
      <w:bookmarkEnd w:id="42"/>
    </w:p>
    <w:p w14:paraId="1ADA1598">
      <w:pPr>
        <w:keepNext w:val="0"/>
        <w:keepLines w:val="0"/>
        <w:pageBreakBefore w:val="0"/>
        <w:kinsoku/>
        <w:wordWrap w:val="0"/>
        <w:overflowPunct/>
        <w:topLinePunct w:val="0"/>
        <w:bidi w:val="0"/>
        <w:spacing w:before="152" w:line="360" w:lineRule="auto"/>
        <w:ind w:left="496" w:right="84" w:rightChars="40"/>
        <w:outlineLvl w:val="9"/>
        <w:rPr>
          <w:rFonts w:hint="eastAsia" w:ascii="宋体" w:hAnsi="宋体" w:eastAsia="宋体" w:cs="宋体"/>
          <w:color w:val="auto"/>
          <w:spacing w:val="0"/>
          <w:sz w:val="24"/>
          <w:szCs w:val="24"/>
          <w:highlight w:val="none"/>
        </w:rPr>
      </w:pPr>
      <w:bookmarkStart w:id="43" w:name="_Toc20590"/>
      <w:bookmarkStart w:id="44" w:name="_Toc22937"/>
      <w:r>
        <w:rPr>
          <w:rFonts w:hint="eastAsia" w:ascii="宋体" w:hAnsi="宋体" w:eastAsia="宋体" w:cs="宋体"/>
          <w:b/>
          <w:bCs/>
          <w:color w:val="auto"/>
          <w:spacing w:val="0"/>
          <w:sz w:val="24"/>
          <w:szCs w:val="24"/>
          <w:highlight w:val="none"/>
        </w:rPr>
        <w:t xml:space="preserve">10.1  </w:t>
      </w:r>
      <w:r>
        <w:rPr>
          <w:rFonts w:hint="eastAsia" w:ascii="宋体" w:hAnsi="宋体" w:eastAsia="宋体" w:cs="宋体"/>
          <w:color w:val="auto"/>
          <w:spacing w:val="0"/>
          <w:sz w:val="24"/>
          <w:szCs w:val="24"/>
          <w:highlight w:val="none"/>
        </w:rPr>
        <w:t>一般要求</w:t>
      </w:r>
      <w:bookmarkEnd w:id="43"/>
      <w:bookmarkEnd w:id="44"/>
    </w:p>
    <w:p w14:paraId="3BA09E09">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投标文件应按第六章投标文件格式规定的内容，投标人提交的投标文件应当使用招标文件所提供的投标文件全部格式。</w:t>
      </w:r>
    </w:p>
    <w:p w14:paraId="64F68F54">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10.1.1  </w:t>
      </w:r>
      <w:r>
        <w:rPr>
          <w:rFonts w:hint="eastAsia" w:ascii="宋体" w:hAnsi="宋体" w:eastAsia="宋体" w:cs="宋体"/>
          <w:color w:val="auto"/>
          <w:spacing w:val="0"/>
          <w:sz w:val="24"/>
          <w:szCs w:val="24"/>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51122B59">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10.1.2  </w:t>
      </w:r>
      <w:r>
        <w:rPr>
          <w:rFonts w:hint="eastAsia" w:ascii="宋体" w:hAnsi="宋体" w:eastAsia="宋体" w:cs="宋体"/>
          <w:color w:val="auto"/>
          <w:spacing w:val="0"/>
          <w:sz w:val="24"/>
          <w:szCs w:val="24"/>
          <w:highlight w:val="none"/>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 ·韶关市）交易指引。</w:t>
      </w:r>
    </w:p>
    <w:p w14:paraId="1C1308EF">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10.1.3  </w:t>
      </w:r>
      <w:r>
        <w:rPr>
          <w:rFonts w:hint="eastAsia" w:ascii="宋体" w:hAnsi="宋体" w:eastAsia="宋体" w:cs="宋体"/>
          <w:color w:val="auto"/>
          <w:spacing w:val="0"/>
          <w:sz w:val="24"/>
          <w:szCs w:val="24"/>
          <w:highlight w:val="none"/>
        </w:rPr>
        <w:t>投标文件需按以下要求签字、盖章：电子投标文件：</w:t>
      </w:r>
    </w:p>
    <w:p w14:paraId="75FDA074">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2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"10.1.3.1"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10.1.3.1</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投标文件封面、组成内容中凡注明“签字 ”处由要求的人员签字或电子签章；凡注明“签字或盖章 ”处由要求的人员签字或盖其私章（电子印章）；凡注明 “签字并盖执业印章 ”处由要求的人员签字并盖其执业印章。</w:t>
      </w:r>
    </w:p>
    <w:p w14:paraId="6358B792">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2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"10.1.3.2"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10.1.3.2</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投标文件封套、封面、组成内容中凡要求录入投标人名称且注明“盖单位章 ”处盖单位法人公章（电子印章）。</w:t>
      </w:r>
    </w:p>
    <w:p w14:paraId="3F70DCC9">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2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"10.1.3.3"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10.1.3.3</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投标文件的签字均为签字人本人亲笔署名或签章（电子印章），其余部分的复印件无须另行签字、盖章。</w:t>
      </w:r>
    </w:p>
    <w:p w14:paraId="2DA037BE">
      <w:pPr>
        <w:keepNext w:val="0"/>
        <w:keepLines w:val="0"/>
        <w:pageBreakBefore w:val="0"/>
        <w:widowControl/>
        <w:kinsoku/>
        <w:wordWrap w:val="0"/>
        <w:overflowPunct/>
        <w:topLinePunct w:val="0"/>
        <w:autoSpaceDE w:val="0"/>
        <w:autoSpaceDN w:val="0"/>
        <w:bidi w:val="0"/>
        <w:adjustRightInd/>
        <w:snapToGrid/>
        <w:spacing w:line="360" w:lineRule="auto"/>
        <w:ind w:left="0" w:leftChars="0" w:right="84" w:rightChars="40" w:firstLine="482" w:firstLineChars="200"/>
        <w:textAlignment w:val="baseline"/>
        <w:outlineLvl w:val="9"/>
        <w:rPr>
          <w:rFonts w:hint="eastAsia" w:ascii="宋体" w:hAnsi="宋体" w:eastAsia="宋体" w:cs="宋体"/>
          <w:b w:val="0"/>
          <w:bCs w:val="0"/>
          <w:color w:val="auto"/>
          <w:spacing w:val="0"/>
          <w:sz w:val="24"/>
          <w:szCs w:val="24"/>
          <w:highlight w:val="none"/>
        </w:rPr>
      </w:pPr>
      <w:bookmarkStart w:id="45" w:name="_Toc20223"/>
      <w:bookmarkStart w:id="46" w:name="_Toc21271"/>
      <w:r>
        <w:rPr>
          <w:rFonts w:hint="eastAsia" w:ascii="宋体" w:hAnsi="宋体" w:eastAsia="宋体" w:cs="宋体"/>
          <w:b/>
          <w:bCs/>
          <w:color w:val="auto"/>
          <w:spacing w:val="0"/>
          <w:sz w:val="24"/>
          <w:szCs w:val="24"/>
          <w:highlight w:val="none"/>
        </w:rPr>
        <w:t xml:space="preserve">10.1.3.4 </w:t>
      </w:r>
      <w:r>
        <w:rPr>
          <w:rFonts w:hint="eastAsia" w:ascii="宋体" w:hAnsi="宋体" w:eastAsia="宋体" w:cs="宋体"/>
          <w:color w:val="auto"/>
          <w:spacing w:val="0"/>
          <w:sz w:val="24"/>
          <w:szCs w:val="24"/>
          <w:highlight w:val="none"/>
        </w:rPr>
        <w:t>联合体投标的，除《联合体协议书》外，由联合体牵头人按以上要求签亲笔署名或签章（电子印章）即可。</w:t>
      </w:r>
    </w:p>
    <w:p w14:paraId="0C858C64">
      <w:pPr>
        <w:keepNext w:val="0"/>
        <w:keepLines w:val="0"/>
        <w:pageBreakBefore w:val="0"/>
        <w:kinsoku/>
        <w:wordWrap w:val="0"/>
        <w:overflowPunct/>
        <w:topLinePunct w:val="0"/>
        <w:bidi w:val="0"/>
        <w:spacing w:before="155" w:line="219" w:lineRule="auto"/>
        <w:ind w:left="500" w:right="84" w:rightChars="40"/>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  </w:t>
      </w:r>
      <w:r>
        <w:rPr>
          <w:rFonts w:hint="eastAsia" w:ascii="宋体" w:hAnsi="宋体" w:eastAsia="宋体" w:cs="宋体"/>
          <w:color w:val="auto"/>
          <w:spacing w:val="0"/>
          <w:sz w:val="24"/>
          <w:szCs w:val="24"/>
          <w:highlight w:val="none"/>
        </w:rPr>
        <w:t>商务标书的编制要求</w:t>
      </w:r>
      <w:bookmarkEnd w:id="45"/>
      <w:bookmarkEnd w:id="46"/>
    </w:p>
    <w:p w14:paraId="0C2AF9BC">
      <w:pPr>
        <w:keepNext w:val="0"/>
        <w:keepLines w:val="0"/>
        <w:pageBreakBefore w:val="0"/>
        <w:kinsoku/>
        <w:wordWrap w:val="0"/>
        <w:overflowPunct/>
        <w:topLinePunct w:val="0"/>
        <w:bidi w:val="0"/>
        <w:spacing w:before="157" w:line="219" w:lineRule="auto"/>
        <w:ind w:left="581"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10.2.1 </w:t>
      </w:r>
      <w:r>
        <w:rPr>
          <w:rFonts w:hint="eastAsia" w:ascii="宋体" w:hAnsi="宋体" w:eastAsia="宋体" w:cs="宋体"/>
          <w:color w:val="auto"/>
          <w:spacing w:val="0"/>
          <w:sz w:val="24"/>
          <w:szCs w:val="24"/>
          <w:highlight w:val="none"/>
        </w:rPr>
        <w:t>商务标书包括但不限于以下内容：</w:t>
      </w:r>
    </w:p>
    <w:p w14:paraId="352E57AE">
      <w:pPr>
        <w:keepNext w:val="0"/>
        <w:keepLines w:val="0"/>
        <w:pageBreakBefore w:val="0"/>
        <w:kinsoku/>
        <w:wordWrap w:val="0"/>
        <w:overflowPunct/>
        <w:topLinePunct w:val="0"/>
        <w:bidi w:val="0"/>
        <w:spacing w:before="154" w:line="220"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76EADC31">
      <w:pPr>
        <w:keepNext w:val="0"/>
        <w:keepLines w:val="0"/>
        <w:pageBreakBefore w:val="0"/>
        <w:kinsoku/>
        <w:wordWrap w:val="0"/>
        <w:overflowPunct/>
        <w:topLinePunct w:val="0"/>
        <w:bidi w:val="0"/>
        <w:spacing w:before="153" w:line="222"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目录；</w:t>
      </w:r>
    </w:p>
    <w:p w14:paraId="774FBD39">
      <w:pPr>
        <w:keepNext w:val="0"/>
        <w:keepLines w:val="0"/>
        <w:pageBreakBefore w:val="0"/>
        <w:kinsoku/>
        <w:wordWrap w:val="0"/>
        <w:overflowPunct/>
        <w:topLinePunct w:val="0"/>
        <w:bidi w:val="0"/>
        <w:spacing w:before="153" w:line="220"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（3）《投标函》（格式二）；</w:t>
      </w:r>
    </w:p>
    <w:p w14:paraId="720161C8">
      <w:pPr>
        <w:keepNext w:val="0"/>
        <w:keepLines w:val="0"/>
        <w:pageBreakBefore w:val="0"/>
        <w:kinsoku/>
        <w:wordWrap w:val="0"/>
        <w:overflowPunct/>
        <w:topLinePunct w:val="0"/>
        <w:bidi w:val="0"/>
        <w:spacing w:before="153" w:line="220"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（4）《各项承诺一览表》（格式三）；</w:t>
      </w:r>
    </w:p>
    <w:p w14:paraId="7094AFC2">
      <w:pPr>
        <w:keepNext w:val="0"/>
        <w:keepLines w:val="0"/>
        <w:pageBreakBefore w:val="0"/>
        <w:kinsoku/>
        <w:wordWrap w:val="0"/>
        <w:overflowPunct/>
        <w:topLinePunct w:val="0"/>
        <w:bidi w:val="0"/>
        <w:spacing w:before="154" w:line="219"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（5）《授权委托书》（格式四）；</w:t>
      </w:r>
    </w:p>
    <w:p w14:paraId="3AF70EF9">
      <w:pPr>
        <w:keepNext w:val="0"/>
        <w:keepLines w:val="0"/>
        <w:pageBreakBefore w:val="0"/>
        <w:kinsoku/>
        <w:wordWrap w:val="0"/>
        <w:overflowPunct/>
        <w:topLinePunct w:val="0"/>
        <w:bidi w:val="0"/>
        <w:spacing w:before="156" w:line="220"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（6）《法定代表人身份证明》（格式五）；</w:t>
      </w:r>
    </w:p>
    <w:p w14:paraId="2DB8A529">
      <w:pPr>
        <w:keepNext w:val="0"/>
        <w:keepLines w:val="0"/>
        <w:pageBreakBefore w:val="0"/>
        <w:kinsoku/>
        <w:wordWrap w:val="0"/>
        <w:overflowPunct/>
        <w:topLinePunct w:val="0"/>
        <w:bidi w:val="0"/>
        <w:spacing w:before="154" w:line="219"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（7）《联合体协议书》（格式六）及所附资料；</w:t>
      </w:r>
    </w:p>
    <w:p w14:paraId="6673BC70">
      <w:pPr>
        <w:keepNext w:val="0"/>
        <w:keepLines w:val="0"/>
        <w:pageBreakBefore w:val="0"/>
        <w:kinsoku/>
        <w:wordWrap w:val="0"/>
        <w:overflowPunct/>
        <w:topLinePunct w:val="0"/>
        <w:bidi w:val="0"/>
        <w:spacing w:before="153" w:line="309" w:lineRule="auto"/>
        <w:ind w:left="13" w:right="84" w:rightChars="40"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auto"/>
          <w:spacing w:val="0"/>
          <w:sz w:val="24"/>
          <w:szCs w:val="24"/>
          <w:highlight w:val="none"/>
        </w:rPr>
        <w:t>《韶关市公共资源交易一体化平台保证金缴纳信息》页面截图</w:t>
      </w:r>
      <w:r>
        <w:rPr>
          <w:rFonts w:hint="eastAsia" w:ascii="宋体" w:hAnsi="宋体" w:eastAsia="宋体" w:cs="宋体"/>
          <w:color w:val="auto"/>
          <w:spacing w:val="0"/>
          <w:sz w:val="24"/>
          <w:szCs w:val="24"/>
          <w:highlight w:val="none"/>
        </w:rPr>
        <w:t>）；</w:t>
      </w:r>
    </w:p>
    <w:p w14:paraId="36031B27">
      <w:pPr>
        <w:keepNext w:val="0"/>
        <w:keepLines w:val="0"/>
        <w:pageBreakBefore w:val="0"/>
        <w:kinsoku/>
        <w:wordWrap w:val="0"/>
        <w:overflowPunct/>
        <w:topLinePunct w:val="0"/>
        <w:bidi w:val="0"/>
        <w:spacing w:before="156" w:line="219"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（9）《投标人基本情况表》（格式七）及所附资料；</w:t>
      </w:r>
    </w:p>
    <w:p w14:paraId="2CE7262F">
      <w:pPr>
        <w:keepNext w:val="0"/>
        <w:keepLines w:val="0"/>
        <w:pageBreakBefore w:val="0"/>
        <w:kinsoku/>
        <w:wordWrap w:val="0"/>
        <w:overflowPunct/>
        <w:topLinePunct w:val="0"/>
        <w:bidi w:val="0"/>
        <w:spacing w:before="155" w:line="219"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（10）《项目经理简历表》（格式八）及所附资料；</w:t>
      </w:r>
    </w:p>
    <w:p w14:paraId="4BF4D313">
      <w:pPr>
        <w:keepNext w:val="0"/>
        <w:keepLines w:val="0"/>
        <w:pageBreakBefore w:val="0"/>
        <w:kinsoku/>
        <w:wordWrap w:val="0"/>
        <w:overflowPunct/>
        <w:topLinePunct w:val="0"/>
        <w:bidi w:val="0"/>
        <w:spacing w:before="154" w:line="220"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（11）《项目经理任职声明》（格式九）；</w:t>
      </w:r>
    </w:p>
    <w:p w14:paraId="6D95CC60">
      <w:pPr>
        <w:keepNext w:val="0"/>
        <w:keepLines w:val="0"/>
        <w:pageBreakBefore w:val="0"/>
        <w:kinsoku/>
        <w:wordWrap w:val="0"/>
        <w:overflowPunct/>
        <w:topLinePunct w:val="0"/>
        <w:bidi w:val="0"/>
        <w:spacing w:before="156" w:line="219"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（12）《项目技术负责人简历表》（格式十）及所附资料；</w:t>
      </w:r>
    </w:p>
    <w:p w14:paraId="0132BAD9">
      <w:pPr>
        <w:keepNext w:val="0"/>
        <w:keepLines w:val="0"/>
        <w:pageBreakBefore w:val="0"/>
        <w:kinsoku/>
        <w:wordWrap w:val="0"/>
        <w:overflowPunct/>
        <w:topLinePunct w:val="0"/>
        <w:bidi w:val="0"/>
        <w:spacing w:before="154" w:line="219"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（13）《项</w:t>
      </w:r>
      <w:bookmarkStart w:id="47" w:name="OLE_LINK7"/>
      <w:r>
        <w:rPr>
          <w:rFonts w:hint="eastAsia" w:ascii="宋体" w:hAnsi="宋体" w:eastAsia="宋体" w:cs="宋体"/>
          <w:color w:val="auto"/>
          <w:spacing w:val="0"/>
          <w:sz w:val="24"/>
          <w:szCs w:val="24"/>
          <w:highlight w:val="none"/>
        </w:rPr>
        <w:t>目管理机构组成表》（格式十一）及</w:t>
      </w:r>
      <w:bookmarkEnd w:id="47"/>
      <w:r>
        <w:rPr>
          <w:rFonts w:hint="eastAsia" w:ascii="宋体" w:hAnsi="宋体" w:eastAsia="宋体" w:cs="宋体"/>
          <w:color w:val="auto"/>
          <w:spacing w:val="0"/>
          <w:sz w:val="24"/>
          <w:szCs w:val="24"/>
          <w:highlight w:val="none"/>
        </w:rPr>
        <w:t>所附资料；</w:t>
      </w:r>
    </w:p>
    <w:p w14:paraId="6E0A04ED">
      <w:pPr>
        <w:keepNext w:val="0"/>
        <w:keepLines w:val="0"/>
        <w:pageBreakBefore w:val="0"/>
        <w:kinsoku/>
        <w:wordWrap w:val="0"/>
        <w:overflowPunct/>
        <w:topLinePunct w:val="0"/>
        <w:bidi w:val="0"/>
        <w:spacing w:before="155" w:line="360" w:lineRule="auto"/>
        <w:ind w:left="5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（14）本节第 </w:t>
      </w:r>
      <w:r>
        <w:rPr>
          <w:rFonts w:hint="eastAsia" w:ascii="宋体" w:hAnsi="宋体" w:eastAsia="宋体" w:cs="宋体"/>
          <w:b/>
          <w:bCs/>
          <w:color w:val="auto"/>
          <w:spacing w:val="0"/>
          <w:sz w:val="24"/>
          <w:szCs w:val="24"/>
          <w:highlight w:val="none"/>
        </w:rPr>
        <w:t xml:space="preserve">15.5.1 </w:t>
      </w:r>
      <w:r>
        <w:rPr>
          <w:rFonts w:hint="eastAsia" w:ascii="宋体" w:hAnsi="宋体" w:eastAsia="宋体" w:cs="宋体"/>
          <w:color w:val="auto"/>
          <w:spacing w:val="0"/>
          <w:sz w:val="24"/>
          <w:szCs w:val="24"/>
          <w:highlight w:val="none"/>
        </w:rPr>
        <w:t>目“评标方法 ”要求提供的评审资料；</w:t>
      </w:r>
    </w:p>
    <w:p w14:paraId="03DF9A5F">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（15）投标人认为有必要补充的其他资料。（例如投标人已经工商变更，但其企业资质证书、安全生产许可证或其员工执业资格注册证书上的企业名称未能在投标期间完成变更的书面说明和佐证材料等）</w:t>
      </w:r>
    </w:p>
    <w:p w14:paraId="29D2CA8C">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10.2.2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10.2.1  </w:t>
      </w:r>
      <w:r>
        <w:rPr>
          <w:rFonts w:hint="eastAsia" w:ascii="宋体" w:hAnsi="宋体" w:eastAsia="宋体" w:cs="宋体"/>
          <w:color w:val="auto"/>
          <w:spacing w:val="0"/>
          <w:sz w:val="24"/>
          <w:szCs w:val="24"/>
          <w:highlight w:val="none"/>
        </w:rPr>
        <w:t>目中所列出的商务标书组成内容中，第（1）至第（13）项所有投标人均应提供，</w:t>
      </w:r>
      <w:r>
        <w:rPr>
          <w:rFonts w:hint="eastAsia" w:ascii="宋体" w:hAnsi="宋体" w:eastAsia="宋体" w:cs="宋体"/>
          <w:b/>
          <w:bCs/>
          <w:color w:val="auto"/>
          <w:spacing w:val="0"/>
          <w:sz w:val="24"/>
          <w:szCs w:val="24"/>
          <w:highlight w:val="none"/>
        </w:rPr>
        <w:t>但非联合体投标的，无需提供第（7）项内容。</w:t>
      </w:r>
    </w:p>
    <w:p w14:paraId="2F3F2186">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10.2.3 </w:t>
      </w:r>
      <w:r>
        <w:rPr>
          <w:rFonts w:hint="eastAsia" w:ascii="宋体" w:hAnsi="宋体" w:eastAsia="宋体" w:cs="宋体"/>
          <w:color w:val="auto"/>
          <w:spacing w:val="0"/>
          <w:sz w:val="24"/>
          <w:szCs w:val="24"/>
          <w:highlight w:val="none"/>
        </w:rPr>
        <w:t>商务标书的组成内容按本节第 10.2.1 目规定的顺序整理、编排后，逐页（页码起始从封面开始）连续标记页码。</w:t>
      </w:r>
    </w:p>
    <w:p w14:paraId="2D4DCA8F">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0" w:firstLineChars="0"/>
        <w:textAlignment w:val="baseline"/>
        <w:outlineLvl w:val="9"/>
        <w:rPr>
          <w:rFonts w:hint="eastAsia" w:ascii="宋体" w:hAnsi="宋体" w:eastAsia="宋体" w:cs="宋体"/>
          <w:color w:val="auto"/>
          <w:spacing w:val="0"/>
          <w:sz w:val="24"/>
          <w:szCs w:val="24"/>
          <w:highlight w:val="none"/>
        </w:rPr>
      </w:pPr>
      <w:bookmarkStart w:id="48" w:name="_Toc29370"/>
      <w:bookmarkStart w:id="49" w:name="_Toc10602"/>
      <w:r>
        <w:rPr>
          <w:rFonts w:hint="eastAsia" w:ascii="宋体" w:hAnsi="宋体" w:eastAsia="宋体" w:cs="宋体"/>
          <w:b/>
          <w:bCs/>
          <w:color w:val="auto"/>
          <w:spacing w:val="0"/>
          <w:sz w:val="24"/>
          <w:szCs w:val="24"/>
          <w:highlight w:val="none"/>
        </w:rPr>
        <w:t xml:space="preserve">10.3  </w:t>
      </w:r>
      <w:r>
        <w:rPr>
          <w:rFonts w:hint="eastAsia" w:ascii="宋体" w:hAnsi="宋体" w:eastAsia="宋体" w:cs="宋体"/>
          <w:color w:val="auto"/>
          <w:spacing w:val="0"/>
          <w:sz w:val="24"/>
          <w:szCs w:val="24"/>
          <w:highlight w:val="none"/>
        </w:rPr>
        <w:t>经济标书的编制要求</w:t>
      </w:r>
      <w:bookmarkEnd w:id="48"/>
      <w:bookmarkEnd w:id="49"/>
    </w:p>
    <w:p w14:paraId="1F78619A">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10.3.1  </w:t>
      </w:r>
      <w:r>
        <w:rPr>
          <w:rFonts w:hint="eastAsia" w:ascii="宋体" w:hAnsi="宋体" w:eastAsia="宋体" w:cs="宋体"/>
          <w:color w:val="auto"/>
          <w:spacing w:val="0"/>
          <w:sz w:val="24"/>
          <w:szCs w:val="24"/>
          <w:highlight w:val="none"/>
        </w:rPr>
        <w:t>经济标书包括以下内容：</w:t>
      </w:r>
    </w:p>
    <w:p w14:paraId="57663477">
      <w:pPr>
        <w:keepNext w:val="0"/>
        <w:keepLines w:val="0"/>
        <w:pageBreakBefore w:val="0"/>
        <w:kinsoku/>
        <w:wordWrap w:val="0"/>
        <w:overflowPunct/>
        <w:topLinePunct w:val="0"/>
        <w:bidi w:val="0"/>
        <w:spacing w:before="156" w:line="220"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18A4AD47">
      <w:pPr>
        <w:keepNext w:val="0"/>
        <w:keepLines w:val="0"/>
        <w:pageBreakBefore w:val="0"/>
        <w:kinsoku/>
        <w:wordWrap w:val="0"/>
        <w:overflowPunct/>
        <w:topLinePunct w:val="0"/>
        <w:bidi w:val="0"/>
        <w:spacing w:before="153" w:line="222"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目录；</w:t>
      </w:r>
    </w:p>
    <w:p w14:paraId="74083071">
      <w:pPr>
        <w:keepNext w:val="0"/>
        <w:keepLines w:val="0"/>
        <w:pageBreakBefore w:val="0"/>
        <w:kinsoku/>
        <w:wordWrap w:val="0"/>
        <w:overflowPunct/>
        <w:topLinePunct w:val="0"/>
        <w:bidi w:val="0"/>
        <w:spacing w:before="150" w:line="219"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（3）《投标总价》；</w:t>
      </w:r>
    </w:p>
    <w:p w14:paraId="105877BB">
      <w:pPr>
        <w:keepNext w:val="0"/>
        <w:keepLines w:val="0"/>
        <w:pageBreakBefore w:val="0"/>
        <w:widowControl/>
        <w:kinsoku/>
        <w:wordWrap w:val="0"/>
        <w:overflowPunct/>
        <w:topLinePunct w:val="0"/>
        <w:autoSpaceDE w:val="0"/>
        <w:autoSpaceDN w:val="0"/>
        <w:bidi w:val="0"/>
        <w:adjustRightInd w:val="0"/>
        <w:snapToGrid w:val="0"/>
        <w:spacing w:before="155" w:line="360" w:lineRule="auto"/>
        <w:ind w:left="5" w:right="84" w:rightChars="4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说明：《投标总价》的格式按照《</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》（GB/T50500-2024）执行，并应满足以下要求：</w:t>
      </w:r>
    </w:p>
    <w:p w14:paraId="2569EC2C">
      <w:pPr>
        <w:keepNext w:val="0"/>
        <w:keepLines w:val="0"/>
        <w:pageBreakBefore w:val="0"/>
        <w:widowControl/>
        <w:kinsoku/>
        <w:wordWrap w:val="0"/>
        <w:overflowPunct/>
        <w:topLinePunct w:val="0"/>
        <w:autoSpaceDE w:val="0"/>
        <w:autoSpaceDN w:val="0"/>
        <w:bidi w:val="0"/>
        <w:adjustRightInd w:val="0"/>
        <w:snapToGrid w:val="0"/>
        <w:spacing w:before="150" w:line="360" w:lineRule="auto"/>
        <w:ind w:left="8" w:right="84" w:rightChars="40" w:firstLine="482"/>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．《投标总价扉页》后应附编制人的造价工程师注册证书彩色扫描件（须扫描至变更注册栏，</w:t>
      </w:r>
      <w:r>
        <w:rPr>
          <w:rFonts w:hint="eastAsia" w:ascii="宋体" w:hAnsi="宋体" w:eastAsia="宋体" w:cs="宋体"/>
          <w:b/>
          <w:bCs/>
          <w:color w:val="auto"/>
          <w:spacing w:val="0"/>
          <w:sz w:val="24"/>
          <w:szCs w:val="24"/>
          <w:highlight w:val="none"/>
        </w:rPr>
        <w:t>一级造价师或二级造价师均可提供电子证书</w:t>
      </w:r>
      <w:r>
        <w:rPr>
          <w:rFonts w:hint="eastAsia" w:ascii="宋体" w:hAnsi="宋体" w:eastAsia="宋体" w:cs="宋体"/>
          <w:color w:val="auto"/>
          <w:spacing w:val="0"/>
          <w:sz w:val="24"/>
          <w:szCs w:val="24"/>
          <w:highlight w:val="none"/>
        </w:rPr>
        <w:t>）；投标人委托造价咨询单位编制《投标总价》的，在该扉页“投标人”栏目加盖造价咨询人公章，并在该扉页后附造价咨询人的营业执照副本彩色扫描件。</w:t>
      </w:r>
    </w:p>
    <w:p w14:paraId="068BAFD3">
      <w:pPr>
        <w:keepNext w:val="0"/>
        <w:keepLines w:val="0"/>
        <w:pageBreakBefore w:val="0"/>
        <w:widowControl/>
        <w:kinsoku/>
        <w:wordWrap w:val="0"/>
        <w:overflowPunct/>
        <w:topLinePunct w:val="0"/>
        <w:autoSpaceDE w:val="0"/>
        <w:autoSpaceDN w:val="0"/>
        <w:bidi w:val="0"/>
        <w:adjustRightInd w:val="0"/>
        <w:snapToGrid w:val="0"/>
        <w:spacing w:before="119" w:line="360" w:lineRule="auto"/>
        <w:ind w:left="10" w:right="84" w:rightChars="40" w:firstLine="474"/>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投标人认为有必要补充的其他资料（例如关于投标总价下浮率超过 15%的书面说明和佐证材料）。</w:t>
      </w:r>
    </w:p>
    <w:p w14:paraId="05D38EAE">
      <w:pPr>
        <w:keepNext w:val="0"/>
        <w:keepLines w:val="0"/>
        <w:pageBreakBefore w:val="0"/>
        <w:kinsoku/>
        <w:wordWrap w:val="0"/>
        <w:overflowPunct/>
        <w:topLinePunct w:val="0"/>
        <w:bidi w:val="0"/>
        <w:spacing w:before="99" w:line="360" w:lineRule="auto"/>
        <w:ind w:left="10" w:right="84" w:rightChars="40"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10.3.2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10.3.1  </w:t>
      </w:r>
      <w:r>
        <w:rPr>
          <w:rFonts w:hint="eastAsia" w:ascii="宋体" w:hAnsi="宋体" w:eastAsia="宋体" w:cs="宋体"/>
          <w:color w:val="auto"/>
          <w:spacing w:val="0"/>
          <w:sz w:val="24"/>
          <w:szCs w:val="24"/>
          <w:highlight w:val="none"/>
        </w:rPr>
        <w:t>目中所列出的经济标书组成内容中，第（1）至第（3）项所有投标人均应提供。</w:t>
      </w:r>
    </w:p>
    <w:p w14:paraId="1592DD8B">
      <w:pPr>
        <w:keepNext w:val="0"/>
        <w:keepLines w:val="0"/>
        <w:pageBreakBefore w:val="0"/>
        <w:kinsoku/>
        <w:wordWrap w:val="0"/>
        <w:overflowPunct/>
        <w:topLinePunct w:val="0"/>
        <w:bidi w:val="0"/>
        <w:spacing w:before="155" w:line="360" w:lineRule="auto"/>
        <w:ind w:left="8" w:right="84" w:rightChars="40"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10.3.3 </w:t>
      </w:r>
      <w:r>
        <w:rPr>
          <w:rFonts w:hint="eastAsia" w:ascii="宋体" w:hAnsi="宋体" w:eastAsia="宋体" w:cs="宋体"/>
          <w:color w:val="auto"/>
          <w:spacing w:val="0"/>
          <w:sz w:val="24"/>
          <w:szCs w:val="24"/>
          <w:highlight w:val="none"/>
        </w:rPr>
        <w:t>经济标书的组成内容按本节第 10.3.1 目规定的顺序整理、编排后，逐页（页码起始从封面开始）连续标记页码。</w:t>
      </w:r>
    </w:p>
    <w:p w14:paraId="3A6D334B">
      <w:pPr>
        <w:keepNext w:val="0"/>
        <w:keepLines w:val="0"/>
        <w:pageBreakBefore w:val="0"/>
        <w:kinsoku/>
        <w:wordWrap w:val="0"/>
        <w:overflowPunct/>
        <w:topLinePunct w:val="0"/>
        <w:bidi w:val="0"/>
        <w:spacing w:before="82" w:line="360" w:lineRule="auto"/>
        <w:ind w:left="496" w:right="84" w:rightChars="40"/>
        <w:outlineLvl w:val="9"/>
        <w:rPr>
          <w:rFonts w:hint="eastAsia" w:ascii="宋体" w:hAnsi="宋体" w:eastAsia="宋体" w:cs="宋体"/>
          <w:color w:val="auto"/>
          <w:spacing w:val="0"/>
          <w:sz w:val="25"/>
          <w:szCs w:val="25"/>
          <w:highlight w:val="none"/>
        </w:rPr>
      </w:pPr>
      <w:r>
        <w:rPr>
          <w:rFonts w:hint="eastAsia" w:ascii="宋体" w:hAnsi="宋体" w:eastAsia="宋体" w:cs="宋体"/>
          <w:b/>
          <w:bCs/>
          <w:color w:val="auto"/>
          <w:spacing w:val="0"/>
          <w:sz w:val="24"/>
          <w:szCs w:val="24"/>
          <w:highlight w:val="none"/>
        </w:rPr>
        <w:t xml:space="preserve">10.4  </w:t>
      </w:r>
      <w:r>
        <w:rPr>
          <w:rFonts w:hint="eastAsia" w:ascii="宋体" w:hAnsi="宋体" w:eastAsia="宋体" w:cs="宋体"/>
          <w:color w:val="auto"/>
          <w:spacing w:val="0"/>
          <w:sz w:val="24"/>
          <w:szCs w:val="24"/>
          <w:highlight w:val="none"/>
        </w:rPr>
        <w:t>施工组织设计的编制要求</w:t>
      </w:r>
    </w:p>
    <w:p w14:paraId="7828F48B">
      <w:pPr>
        <w:keepNext w:val="0"/>
        <w:keepLines w:val="0"/>
        <w:pageBreakBefore w:val="0"/>
        <w:kinsoku/>
        <w:wordWrap w:val="0"/>
        <w:overflowPunct/>
        <w:topLinePunct w:val="0"/>
        <w:bidi w:val="0"/>
        <w:spacing w:before="151" w:line="360" w:lineRule="auto"/>
        <w:ind w:left="49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10.4.1 </w:t>
      </w:r>
      <w:r>
        <w:rPr>
          <w:rFonts w:hint="eastAsia" w:ascii="宋体" w:hAnsi="宋体" w:eastAsia="宋体" w:cs="宋体"/>
          <w:color w:val="auto"/>
          <w:spacing w:val="0"/>
          <w:sz w:val="24"/>
          <w:szCs w:val="24"/>
          <w:highlight w:val="none"/>
        </w:rPr>
        <w:t>施工组织设计的编制依据包括且不限于：</w:t>
      </w:r>
    </w:p>
    <w:p w14:paraId="69CA5D7C">
      <w:pPr>
        <w:keepNext w:val="0"/>
        <w:keepLines w:val="0"/>
        <w:pageBreakBefore w:val="0"/>
        <w:kinsoku/>
        <w:wordWrap w:val="0"/>
        <w:overflowPunct/>
        <w:topLinePunct w:val="0"/>
        <w:bidi w:val="0"/>
        <w:spacing w:before="156" w:line="219"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（1）招标文件及其答疑（或修改）公告；</w:t>
      </w:r>
    </w:p>
    <w:p w14:paraId="3D9B573B">
      <w:pPr>
        <w:keepNext w:val="0"/>
        <w:keepLines w:val="0"/>
        <w:pageBreakBefore w:val="0"/>
        <w:kinsoku/>
        <w:wordWrap w:val="0"/>
        <w:overflowPunct/>
        <w:topLinePunct w:val="0"/>
        <w:bidi w:val="0"/>
        <w:spacing w:before="155" w:line="221"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（2）施工图及相关资料；</w:t>
      </w:r>
    </w:p>
    <w:p w14:paraId="56E6D366">
      <w:pPr>
        <w:keepNext w:val="0"/>
        <w:keepLines w:val="0"/>
        <w:pageBreakBefore w:val="0"/>
        <w:kinsoku/>
        <w:wordWrap w:val="0"/>
        <w:overflowPunct/>
        <w:topLinePunct w:val="0"/>
        <w:bidi w:val="0"/>
        <w:spacing w:before="152" w:line="220"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（3）施工现场情况、工程特点；</w:t>
      </w:r>
    </w:p>
    <w:p w14:paraId="3FE9ED6F">
      <w:pPr>
        <w:keepNext w:val="0"/>
        <w:keepLines w:val="0"/>
        <w:pageBreakBefore w:val="0"/>
        <w:kinsoku/>
        <w:wordWrap w:val="0"/>
        <w:overflowPunct/>
        <w:topLinePunct w:val="0"/>
        <w:bidi w:val="0"/>
        <w:spacing w:before="78" w:line="220"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（4）相关法律、法规、规定；</w:t>
      </w:r>
    </w:p>
    <w:p w14:paraId="059FD045">
      <w:pPr>
        <w:keepNext w:val="0"/>
        <w:keepLines w:val="0"/>
        <w:pageBreakBefore w:val="0"/>
        <w:kinsoku/>
        <w:wordWrap w:val="0"/>
        <w:overflowPunct/>
        <w:topLinePunct w:val="0"/>
        <w:bidi w:val="0"/>
        <w:spacing w:before="153" w:line="299" w:lineRule="auto"/>
        <w:ind w:left="10"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50B2B5BD">
      <w:pPr>
        <w:keepNext w:val="0"/>
        <w:keepLines w:val="0"/>
        <w:pageBreakBefore w:val="0"/>
        <w:kinsoku/>
        <w:wordWrap w:val="0"/>
        <w:overflowPunct/>
        <w:topLinePunct w:val="0"/>
        <w:bidi w:val="0"/>
        <w:spacing w:before="155" w:line="220"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（6）企业内部标准、工法。</w:t>
      </w:r>
    </w:p>
    <w:p w14:paraId="6608343E">
      <w:pPr>
        <w:keepNext w:val="0"/>
        <w:keepLines w:val="0"/>
        <w:pageBreakBefore w:val="0"/>
        <w:kinsoku/>
        <w:wordWrap w:val="0"/>
        <w:overflowPunct/>
        <w:topLinePunct w:val="0"/>
        <w:bidi w:val="0"/>
        <w:spacing w:before="153" w:line="220" w:lineRule="auto"/>
        <w:ind w:left="49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10.4.2 </w:t>
      </w:r>
      <w:r>
        <w:rPr>
          <w:rFonts w:hint="eastAsia" w:ascii="宋体" w:hAnsi="宋体" w:eastAsia="宋体" w:cs="宋体"/>
          <w:color w:val="auto"/>
          <w:spacing w:val="0"/>
          <w:sz w:val="24"/>
          <w:szCs w:val="24"/>
          <w:highlight w:val="none"/>
        </w:rPr>
        <w:t>施工组织设计包括但不限于以下内容：</w:t>
      </w:r>
    </w:p>
    <w:p w14:paraId="11AC19C5">
      <w:pPr>
        <w:keepNext w:val="0"/>
        <w:keepLines w:val="0"/>
        <w:pageBreakBefore w:val="0"/>
        <w:kinsoku/>
        <w:wordWrap w:val="0"/>
        <w:overflowPunct/>
        <w:topLinePunct w:val="0"/>
        <w:bidi w:val="0"/>
        <w:spacing w:before="153" w:line="220"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0D89566C">
      <w:pPr>
        <w:keepNext w:val="0"/>
        <w:keepLines w:val="0"/>
        <w:pageBreakBefore w:val="0"/>
        <w:kinsoku/>
        <w:wordWrap w:val="0"/>
        <w:overflowPunct/>
        <w:topLinePunct w:val="0"/>
        <w:bidi w:val="0"/>
        <w:spacing w:before="156" w:line="222"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（2）目录；</w:t>
      </w:r>
    </w:p>
    <w:p w14:paraId="42EF60D6">
      <w:pPr>
        <w:keepNext w:val="0"/>
        <w:keepLines w:val="0"/>
        <w:pageBreakBefore w:val="0"/>
        <w:kinsoku/>
        <w:wordWrap w:val="0"/>
        <w:overflowPunct/>
        <w:topLinePunct w:val="0"/>
        <w:bidi w:val="0"/>
        <w:spacing w:before="150" w:line="220"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（3）总体概述（包括施工程序总体设想及施工段划分等内容）；</w:t>
      </w:r>
    </w:p>
    <w:p w14:paraId="2188CD8A">
      <w:pPr>
        <w:keepNext w:val="0"/>
        <w:keepLines w:val="0"/>
        <w:pageBreakBefore w:val="0"/>
        <w:kinsoku/>
        <w:wordWrap w:val="0"/>
        <w:overflowPunct/>
        <w:topLinePunct w:val="0"/>
        <w:bidi w:val="0"/>
        <w:spacing w:before="154" w:line="299" w:lineRule="auto"/>
        <w:ind w:left="9" w:right="84" w:rightChars="40"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（4）施工总进度计划及保证措施（包括进度管理目标；以横道图或标明关键线路的网络进度计划；保障进度计划需要的人、材、机需求计划及保证措施；违约责任承诺等内容）；</w:t>
      </w:r>
    </w:p>
    <w:p w14:paraId="1FC69F82">
      <w:pPr>
        <w:keepNext w:val="0"/>
        <w:keepLines w:val="0"/>
        <w:pageBreakBefore w:val="0"/>
        <w:kinsoku/>
        <w:wordWrap w:val="0"/>
        <w:overflowPunct/>
        <w:topLinePunct w:val="0"/>
        <w:bidi w:val="0"/>
        <w:spacing w:before="153" w:line="220"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（5）质量保证措施（包括质量管理目标；相应保证措施；违约责任承诺等内容</w:t>
      </w:r>
      <w:r>
        <w:rPr>
          <w:rFonts w:hint="eastAsia" w:ascii="宋体" w:hAnsi="宋体" w:eastAsia="宋体" w:cs="宋体"/>
          <w:color w:val="auto"/>
          <w:spacing w:val="0"/>
          <w:w w:val="97"/>
          <w:sz w:val="24"/>
          <w:szCs w:val="24"/>
          <w:highlight w:val="none"/>
        </w:rPr>
        <w:t>）；</w:t>
      </w:r>
    </w:p>
    <w:p w14:paraId="69700B99">
      <w:pPr>
        <w:keepNext w:val="0"/>
        <w:keepLines w:val="0"/>
        <w:pageBreakBefore w:val="0"/>
        <w:kinsoku/>
        <w:wordWrap w:val="0"/>
        <w:overflowPunct/>
        <w:topLinePunct w:val="0"/>
        <w:bidi w:val="0"/>
        <w:spacing w:before="156" w:line="279" w:lineRule="auto"/>
        <w:ind w:left="11" w:right="84" w:rightChars="40"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（6）施工技术措施（包括关键施工技术、工艺及工程项目实施的重点、难点分析和解决方案；新技术应用与承诺等内容）；</w:t>
      </w:r>
    </w:p>
    <w:p w14:paraId="4D11B874">
      <w:pPr>
        <w:keepNext w:val="0"/>
        <w:keepLines w:val="0"/>
        <w:pageBreakBefore w:val="0"/>
        <w:kinsoku/>
        <w:wordWrap w:val="0"/>
        <w:overflowPunct/>
        <w:topLinePunct w:val="0"/>
        <w:bidi w:val="0"/>
        <w:spacing w:before="118" w:line="297" w:lineRule="auto"/>
        <w:ind w:left="11" w:right="84" w:rightChars="40"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（7）绿色施工、安全防护、文明施工措施计划(应对建设单位组织的勘察设计等单位在施工招标文件中列出的危大工程清单(详见格式十三)进行投标文件回应，如有)；</w:t>
      </w:r>
    </w:p>
    <w:p w14:paraId="00EDD96D">
      <w:pPr>
        <w:keepNext w:val="0"/>
        <w:keepLines w:val="0"/>
        <w:pageBreakBefore w:val="0"/>
        <w:kinsoku/>
        <w:wordWrap w:val="0"/>
        <w:overflowPunct/>
        <w:topLinePunct w:val="0"/>
        <w:bidi w:val="0"/>
        <w:spacing w:before="118" w:line="297" w:lineRule="auto"/>
        <w:ind w:left="11" w:right="84" w:rightChars="40"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（8）施工现场总平面布置（</w:t>
      </w:r>
      <w:bookmarkStart w:id="50" w:name="OLE_LINK8"/>
      <w:r>
        <w:rPr>
          <w:rFonts w:hint="eastAsia" w:ascii="宋体" w:hAnsi="宋体" w:eastAsia="宋体" w:cs="宋体"/>
          <w:color w:val="auto"/>
          <w:spacing w:val="0"/>
          <w:sz w:val="24"/>
          <w:szCs w:val="24"/>
          <w:highlight w:val="none"/>
        </w:rPr>
        <w:t>投标人应递交一份施工现场总平面布置图，绘出现场临时设施布置图表并附文字说明，说明临时设施、加工车间、现场办公、设备及仓储、供电、供水、卫生、生活、道路、消防等设施的情况和布置</w:t>
      </w:r>
      <w:bookmarkEnd w:id="50"/>
      <w:r>
        <w:rPr>
          <w:rFonts w:hint="eastAsia" w:ascii="宋体" w:hAnsi="宋体" w:eastAsia="宋体" w:cs="宋体"/>
          <w:color w:val="auto"/>
          <w:spacing w:val="0"/>
          <w:sz w:val="24"/>
          <w:szCs w:val="24"/>
          <w:highlight w:val="none"/>
        </w:rPr>
        <w:t>）；</w:t>
      </w:r>
    </w:p>
    <w:p w14:paraId="523DCF6A">
      <w:pPr>
        <w:keepNext w:val="0"/>
        <w:keepLines w:val="0"/>
        <w:pageBreakBefore w:val="0"/>
        <w:kinsoku/>
        <w:wordWrap w:val="0"/>
        <w:overflowPunct/>
        <w:topLinePunct w:val="0"/>
        <w:bidi w:val="0"/>
        <w:spacing w:before="155" w:line="219"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（9）项目管理机构。</w:t>
      </w:r>
    </w:p>
    <w:p w14:paraId="16991E29">
      <w:pPr>
        <w:keepNext w:val="0"/>
        <w:keepLines w:val="0"/>
        <w:pageBreakBefore w:val="0"/>
        <w:kinsoku/>
        <w:wordWrap w:val="0"/>
        <w:overflowPunct/>
        <w:topLinePunct w:val="0"/>
        <w:bidi w:val="0"/>
        <w:spacing w:before="154" w:line="360" w:lineRule="auto"/>
        <w:ind w:right="84" w:rightChars="4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（10）投标人认为有必要补充的其他内容（例如对总包管理的认识以及对专业分包工程的管理、协调、配合、服务方案）。</w:t>
      </w:r>
    </w:p>
    <w:p w14:paraId="5EA512C0">
      <w:pPr>
        <w:keepNext w:val="0"/>
        <w:keepLines w:val="0"/>
        <w:pageBreakBefore w:val="0"/>
        <w:kinsoku/>
        <w:wordWrap w:val="0"/>
        <w:overflowPunct/>
        <w:topLinePunct w:val="0"/>
        <w:bidi w:val="0"/>
        <w:spacing w:before="152" w:line="360" w:lineRule="auto"/>
        <w:ind w:right="84" w:rightChars="40"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10.4.3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10.4.2  </w:t>
      </w:r>
      <w:r>
        <w:rPr>
          <w:rFonts w:hint="eastAsia" w:ascii="宋体" w:hAnsi="宋体" w:eastAsia="宋体" w:cs="宋体"/>
          <w:color w:val="auto"/>
          <w:spacing w:val="0"/>
          <w:sz w:val="24"/>
          <w:szCs w:val="24"/>
          <w:highlight w:val="none"/>
        </w:rPr>
        <w:t>目中所列出的施工组织设计组成内容中，第（1）至第（9）项所有投标人均应提供。</w:t>
      </w:r>
    </w:p>
    <w:p w14:paraId="6B854B9F">
      <w:pPr>
        <w:keepNext w:val="0"/>
        <w:keepLines w:val="0"/>
        <w:pageBreakBefore w:val="0"/>
        <w:kinsoku/>
        <w:wordWrap w:val="0"/>
        <w:overflowPunct/>
        <w:topLinePunct w:val="0"/>
        <w:bidi w:val="0"/>
        <w:spacing w:before="157" w:line="360" w:lineRule="auto"/>
        <w:ind w:right="84" w:rightChars="40"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10.4.4 </w:t>
      </w:r>
      <w:r>
        <w:rPr>
          <w:rFonts w:hint="eastAsia" w:ascii="宋体" w:hAnsi="宋体" w:eastAsia="宋体" w:cs="宋体"/>
          <w:color w:val="auto"/>
          <w:spacing w:val="0"/>
          <w:sz w:val="24"/>
          <w:szCs w:val="24"/>
          <w:highlight w:val="none"/>
        </w:rPr>
        <w:t>施工组织设计的组成内容按本节第 10.4.2 目规定的顺序整理、编排后，逐页（页码起始从封面开始）连续标记页码。</w:t>
      </w:r>
    </w:p>
    <w:p w14:paraId="7DA830C4">
      <w:pPr>
        <w:keepNext w:val="0"/>
        <w:keepLines w:val="0"/>
        <w:pageBreakBefore w:val="0"/>
        <w:kinsoku/>
        <w:wordWrap w:val="0"/>
        <w:overflowPunct/>
        <w:topLinePunct w:val="0"/>
        <w:bidi w:val="0"/>
        <w:spacing w:line="360" w:lineRule="auto"/>
        <w:ind w:right="84" w:rightChars="40"/>
        <w:outlineLvl w:val="9"/>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lang w:eastAsia="zh-CN"/>
        </w:rPr>
        <w:t xml:space="preserve">    </w:t>
      </w:r>
      <w:r>
        <w:rPr>
          <w:rFonts w:hint="eastAsia" w:ascii="宋体" w:hAnsi="宋体" w:eastAsia="宋体" w:cs="宋体"/>
          <w:b/>
          <w:bCs/>
          <w:color w:val="auto"/>
          <w:spacing w:val="0"/>
          <w:sz w:val="24"/>
          <w:szCs w:val="24"/>
          <w:highlight w:val="none"/>
        </w:rPr>
        <w:t>10.4.5</w:t>
      </w:r>
      <w:bookmarkStart w:id="51" w:name="OLE_LINK9"/>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施工组织设计的正文不得超过</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150</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页</w:t>
      </w:r>
      <w:r>
        <w:rPr>
          <w:rFonts w:hint="eastAsia" w:ascii="宋体" w:hAnsi="宋体" w:eastAsia="宋体" w:cs="宋体"/>
          <w:color w:val="auto"/>
          <w:spacing w:val="0"/>
          <w:sz w:val="24"/>
          <w:szCs w:val="24"/>
          <w:highlight w:val="none"/>
          <w:lang w:eastAsia="zh-CN"/>
        </w:rPr>
        <w:t>。</w:t>
      </w:r>
      <w:bookmarkEnd w:id="51"/>
      <w:bookmarkStart w:id="52" w:name="bookmark121"/>
      <w:bookmarkEnd w:id="52"/>
    </w:p>
    <w:p w14:paraId="4B5482FE">
      <w:pPr>
        <w:keepNext w:val="0"/>
        <w:keepLines w:val="0"/>
        <w:pageBreakBefore w:val="0"/>
        <w:widowControl w:val="0"/>
        <w:kinsoku/>
        <w:wordWrap w:val="0"/>
        <w:autoSpaceDE/>
        <w:autoSpaceDN/>
        <w:bidi w:val="0"/>
        <w:adjustRightInd/>
        <w:snapToGrid/>
        <w:spacing w:line="400" w:lineRule="exact"/>
        <w:ind w:right="84" w:rightChars="40" w:firstLine="482" w:firstLineChars="200"/>
        <w:jc w:val="both"/>
        <w:rPr>
          <w:rFonts w:hint="eastAsia" w:ascii="宋体" w:hAnsi="宋体" w:eastAsia="宋体" w:cs="宋体"/>
          <w:b/>
          <w:bCs/>
          <w:color w:val="auto"/>
          <w:sz w:val="24"/>
          <w:szCs w:val="24"/>
          <w:highlight w:val="none"/>
          <w:lang w:eastAsia="zh-CN"/>
        </w:rPr>
      </w:pPr>
      <w:bookmarkStart w:id="53" w:name="_Toc21936"/>
      <w:r>
        <w:rPr>
          <w:rFonts w:hint="eastAsia" w:ascii="宋体" w:hAnsi="宋体" w:eastAsia="宋体" w:cs="宋体"/>
          <w:b/>
          <w:bCs/>
          <w:color w:val="auto"/>
          <w:sz w:val="24"/>
          <w:szCs w:val="24"/>
          <w:highlight w:val="none"/>
          <w:lang w:eastAsia="zh-CN"/>
        </w:rPr>
        <w:t>10.5定标文件的编制要求：</w:t>
      </w:r>
    </w:p>
    <w:p w14:paraId="4CF15BB9">
      <w:pPr>
        <w:keepNext w:val="0"/>
        <w:keepLines w:val="0"/>
        <w:pageBreakBefore w:val="0"/>
        <w:kinsoku/>
        <w:wordWrap w:val="0"/>
        <w:bidi w:val="0"/>
        <w:spacing w:before="152" w:line="279" w:lineRule="auto"/>
        <w:ind w:right="84" w:rightChars="4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10.5.1 定标文件包括以下内容：</w:t>
      </w:r>
    </w:p>
    <w:p w14:paraId="5904E37A">
      <w:pPr>
        <w:keepNext w:val="0"/>
        <w:keepLines w:val="0"/>
        <w:pageBreakBefore w:val="0"/>
        <w:kinsoku/>
        <w:wordWrap w:val="0"/>
        <w:bidi w:val="0"/>
        <w:spacing w:before="152" w:line="279" w:lineRule="auto"/>
        <w:ind w:right="84" w:rightChars="40" w:firstLine="480" w:firstLineChars="200"/>
        <w:rPr>
          <w:rFonts w:hint="eastAsia" w:ascii="宋体" w:hAnsi="宋体" w:eastAsia="宋体" w:cs="宋体"/>
          <w:color w:val="auto"/>
          <w:highlight w:val="none"/>
          <w:lang w:eastAsia="zh-CN"/>
        </w:rPr>
      </w:pPr>
      <w:r>
        <w:rPr>
          <w:rFonts w:hint="eastAsia" w:ascii="宋体" w:hAnsi="宋体" w:eastAsia="宋体" w:cs="宋体"/>
          <w:color w:val="auto"/>
          <w:sz w:val="24"/>
          <w:szCs w:val="24"/>
          <w:highlight w:val="none"/>
          <w:lang w:eastAsia="zh-CN"/>
        </w:rPr>
        <w:t>（1）封面（格式一）</w:t>
      </w:r>
    </w:p>
    <w:p w14:paraId="3E8FB86A">
      <w:pPr>
        <w:keepNext w:val="0"/>
        <w:keepLines w:val="0"/>
        <w:pageBreakBefore w:val="0"/>
        <w:kinsoku/>
        <w:wordWrap w:val="0"/>
        <w:bidi w:val="0"/>
        <w:spacing w:before="152" w:line="279" w:lineRule="auto"/>
        <w:ind w:right="84" w:rightChars="4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）定标因素评审资料（格式十</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lang w:eastAsia="zh-CN"/>
        </w:rPr>
        <w:t>）</w:t>
      </w:r>
    </w:p>
    <w:p w14:paraId="2298A603">
      <w:pPr>
        <w:keepNext w:val="0"/>
        <w:keepLines w:val="0"/>
        <w:pageBreakBefore w:val="0"/>
        <w:kinsoku/>
        <w:wordWrap w:val="0"/>
        <w:overflowPunct/>
        <w:topLinePunct w:val="0"/>
        <w:bidi w:val="0"/>
        <w:spacing w:before="78" w:line="360" w:lineRule="auto"/>
        <w:ind w:left="0" w:leftChars="0" w:right="84" w:rightChars="40" w:firstLine="480" w:firstLineChars="200"/>
        <w:outlineLvl w:val="9"/>
        <w:rPr>
          <w:rFonts w:hint="eastAsia" w:ascii="宋体" w:hAnsi="宋体" w:eastAsia="宋体" w:cs="宋体"/>
          <w:b/>
          <w:bCs/>
          <w:color w:val="auto"/>
          <w:spacing w:val="0"/>
          <w:sz w:val="24"/>
          <w:szCs w:val="24"/>
          <w:highlight w:val="none"/>
        </w:rPr>
      </w:pPr>
      <w:r>
        <w:rPr>
          <w:rFonts w:hint="eastAsia" w:ascii="宋体" w:hAnsi="宋体" w:eastAsia="宋体" w:cs="宋体"/>
          <w:color w:val="auto"/>
          <w:sz w:val="24"/>
          <w:szCs w:val="24"/>
          <w:highlight w:val="none"/>
          <w:lang w:eastAsia="zh-CN"/>
        </w:rPr>
        <w:t>10.5.2 本节第10.5.1目中所列出的组成内容中，第（1）项所有投标人均应提供。</w:t>
      </w:r>
    </w:p>
    <w:p w14:paraId="334D0149">
      <w:pPr>
        <w:keepNext w:val="0"/>
        <w:keepLines w:val="0"/>
        <w:pageBreakBefore w:val="0"/>
        <w:kinsoku/>
        <w:wordWrap w:val="0"/>
        <w:overflowPunct/>
        <w:topLinePunct w:val="0"/>
        <w:bidi w:val="0"/>
        <w:spacing w:before="78" w:line="360" w:lineRule="auto"/>
        <w:ind w:left="496" w:right="84" w:rightChars="40"/>
        <w:outlineLvl w:val="2"/>
        <w:rPr>
          <w:rFonts w:hint="eastAsia" w:ascii="宋体" w:hAnsi="宋体" w:eastAsia="宋体" w:cs="宋体"/>
          <w:color w:val="auto"/>
          <w:spacing w:val="0"/>
          <w:sz w:val="24"/>
          <w:szCs w:val="24"/>
          <w:highlight w:val="none"/>
        </w:rPr>
      </w:pPr>
      <w:bookmarkStart w:id="54" w:name="_Toc5134"/>
      <w:r>
        <w:rPr>
          <w:rFonts w:hint="eastAsia" w:ascii="宋体" w:hAnsi="宋体" w:eastAsia="宋体" w:cs="宋体"/>
          <w:b/>
          <w:bCs/>
          <w:color w:val="auto"/>
          <w:spacing w:val="0"/>
          <w:sz w:val="24"/>
          <w:szCs w:val="24"/>
          <w:highlight w:val="none"/>
        </w:rPr>
        <w:t xml:space="preserve">11. </w:t>
      </w:r>
      <w:r>
        <w:rPr>
          <w:rFonts w:hint="eastAsia" w:ascii="宋体" w:hAnsi="宋体" w:eastAsia="宋体" w:cs="宋体"/>
          <w:color w:val="auto"/>
          <w:spacing w:val="0"/>
          <w:sz w:val="24"/>
          <w:szCs w:val="24"/>
          <w:highlight w:val="none"/>
        </w:rPr>
        <w:t>电子投标</w:t>
      </w:r>
      <w:bookmarkEnd w:id="53"/>
      <w:bookmarkEnd w:id="54"/>
    </w:p>
    <w:p w14:paraId="2928C8B1">
      <w:pPr>
        <w:keepNext w:val="0"/>
        <w:keepLines w:val="0"/>
        <w:pageBreakBefore w:val="0"/>
        <w:kinsoku/>
        <w:wordWrap w:val="0"/>
        <w:overflowPunct/>
        <w:topLinePunct w:val="0"/>
        <w:bidi w:val="0"/>
        <w:spacing w:before="112" w:line="360" w:lineRule="auto"/>
        <w:ind w:left="10" w:right="84" w:rightChars="40"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11.1  </w:t>
      </w:r>
      <w:r>
        <w:rPr>
          <w:rFonts w:hint="eastAsia" w:ascii="宋体" w:hAnsi="宋体" w:eastAsia="宋体" w:cs="宋体"/>
          <w:color w:val="auto"/>
          <w:spacing w:val="0"/>
          <w:sz w:val="24"/>
          <w:szCs w:val="24"/>
          <w:highlight w:val="none"/>
        </w:rPr>
        <w:t>在建设工程交易系统上传加盖了电子印章的投标文件、录入相关信息及标书页码信息，</w:t>
      </w:r>
      <w:r>
        <w:rPr>
          <w:rFonts w:hint="eastAsia" w:ascii="宋体" w:hAnsi="宋体" w:eastAsia="宋体" w:cs="宋体"/>
          <w:b/>
          <w:bCs/>
          <w:color w:val="auto"/>
          <w:spacing w:val="0"/>
          <w:sz w:val="24"/>
          <w:szCs w:val="24"/>
          <w:highlight w:val="none"/>
        </w:rPr>
        <w:t>（页码起始从封面开始）</w:t>
      </w:r>
      <w:r>
        <w:rPr>
          <w:rFonts w:hint="eastAsia" w:ascii="宋体" w:hAnsi="宋体" w:eastAsia="宋体" w:cs="宋体"/>
          <w:color w:val="auto"/>
          <w:spacing w:val="0"/>
          <w:sz w:val="24"/>
          <w:szCs w:val="24"/>
          <w:highlight w:val="none"/>
        </w:rPr>
        <w:t>并提交投标标书。提交标书为已加密投标文件。 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71973AD4">
      <w:pPr>
        <w:keepNext w:val="0"/>
        <w:keepLines w:val="0"/>
        <w:pageBreakBefore w:val="0"/>
        <w:widowControl/>
        <w:kinsoku/>
        <w:wordWrap w:val="0"/>
        <w:overflowPunct/>
        <w:topLinePunct/>
        <w:autoSpaceDE/>
        <w:autoSpaceDN/>
        <w:bidi w:val="0"/>
        <w:adjustRightInd w:val="0"/>
        <w:snapToGrid w:val="0"/>
        <w:spacing w:before="112" w:line="360" w:lineRule="auto"/>
        <w:ind w:left="11" w:right="84" w:rightChars="40"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11.2  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05B82554">
      <w:pPr>
        <w:keepNext w:val="0"/>
        <w:keepLines w:val="0"/>
        <w:pageBreakBefore w:val="0"/>
        <w:widowControl/>
        <w:numPr>
          <w:ilvl w:val="0"/>
          <w:numId w:val="0"/>
        </w:numPr>
        <w:kinsoku/>
        <w:wordWrap w:val="0"/>
        <w:overflowPunct/>
        <w:topLinePunct w:val="0"/>
        <w:autoSpaceDE w:val="0"/>
        <w:autoSpaceDN w:val="0"/>
        <w:bidi w:val="0"/>
        <w:adjustRightInd w:val="0"/>
        <w:snapToGrid w:val="0"/>
        <w:spacing w:before="78" w:line="286" w:lineRule="auto"/>
        <w:ind w:right="84" w:rightChars="40" w:firstLine="482" w:firstLineChars="200"/>
        <w:textAlignment w:val="baseline"/>
        <w:outlineLvl w:val="2"/>
        <w:rPr>
          <w:rFonts w:hint="eastAsia" w:ascii="宋体" w:hAnsi="宋体" w:eastAsia="宋体" w:cs="宋体"/>
          <w:b/>
          <w:bCs/>
          <w:color w:val="auto"/>
          <w:spacing w:val="0"/>
          <w:sz w:val="24"/>
          <w:szCs w:val="24"/>
          <w:highlight w:val="none"/>
        </w:rPr>
      </w:pPr>
      <w:bookmarkStart w:id="55" w:name="_Toc17408"/>
      <w:r>
        <w:rPr>
          <w:rFonts w:hint="eastAsia" w:ascii="宋体" w:hAnsi="宋体" w:eastAsia="宋体" w:cs="宋体"/>
          <w:b/>
          <w:bCs/>
          <w:color w:val="auto"/>
          <w:spacing w:val="0"/>
          <w:sz w:val="24"/>
          <w:szCs w:val="24"/>
          <w:highlight w:val="none"/>
          <w:lang w:val="en-US" w:eastAsia="zh-CN"/>
        </w:rPr>
        <w:t>12.</w:t>
      </w:r>
      <w:r>
        <w:rPr>
          <w:rFonts w:hint="eastAsia" w:ascii="宋体" w:hAnsi="宋体" w:eastAsia="宋体" w:cs="宋体"/>
          <w:b/>
          <w:bCs/>
          <w:color w:val="auto"/>
          <w:spacing w:val="0"/>
          <w:w w:val="101"/>
          <w:sz w:val="24"/>
          <w:szCs w:val="24"/>
          <w:highlight w:val="none"/>
        </w:rPr>
        <w:t xml:space="preserve"> </w:t>
      </w:r>
      <w:bookmarkStart w:id="56" w:name="_Toc29834"/>
      <w:r>
        <w:rPr>
          <w:rFonts w:hint="eastAsia" w:ascii="宋体" w:hAnsi="宋体" w:eastAsia="宋体" w:cs="宋体"/>
          <w:b/>
          <w:bCs/>
          <w:color w:val="auto"/>
          <w:spacing w:val="0"/>
          <w:sz w:val="24"/>
          <w:szCs w:val="24"/>
          <w:highlight w:val="none"/>
        </w:rPr>
        <w:t>电子投标及投标解密失败及突发情况的补救方案</w:t>
      </w:r>
      <w:bookmarkEnd w:id="55"/>
      <w:bookmarkEnd w:id="56"/>
    </w:p>
    <w:p w14:paraId="656A950F">
      <w:pPr>
        <w:keepNext w:val="0"/>
        <w:keepLines w:val="0"/>
        <w:pageBreakBefore w:val="0"/>
        <w:widowControl/>
        <w:kinsoku/>
        <w:wordWrap w:val="0"/>
        <w:overflowPunct/>
        <w:topLinePunct w:val="0"/>
        <w:autoSpaceDE w:val="0"/>
        <w:autoSpaceDN w:val="0"/>
        <w:bidi w:val="0"/>
        <w:adjustRightInd w:val="0"/>
        <w:snapToGrid w:val="0"/>
        <w:spacing w:before="78" w:line="286" w:lineRule="auto"/>
        <w:ind w:right="84" w:rightChars="40"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12.1 </w:t>
      </w:r>
      <w:r>
        <w:rPr>
          <w:rFonts w:hint="eastAsia" w:ascii="宋体" w:hAnsi="宋体" w:eastAsia="宋体" w:cs="宋体"/>
          <w:color w:val="auto"/>
          <w:spacing w:val="0"/>
          <w:sz w:val="24"/>
          <w:szCs w:val="24"/>
          <w:highlight w:val="none"/>
        </w:rPr>
        <w:t>按照交易平台关于全流程电子化项目的相关指南进行操作。详见：全国公共资源交易平台（广东省 ·韶关市）（https://ygp.gdzwfw.gov.cn/ggzy-portal/#/44 0200/index）服务指南栏目发布的最新版操作指引。</w:t>
      </w:r>
    </w:p>
    <w:p w14:paraId="3E34A594">
      <w:pPr>
        <w:keepNext w:val="0"/>
        <w:keepLines w:val="0"/>
        <w:pageBreakBefore w:val="0"/>
        <w:widowControl/>
        <w:kinsoku/>
        <w:wordWrap w:val="0"/>
        <w:overflowPunct/>
        <w:topLinePunct w:val="0"/>
        <w:autoSpaceDE w:val="0"/>
        <w:autoSpaceDN w:val="0"/>
        <w:bidi w:val="0"/>
        <w:adjustRightInd w:val="0"/>
        <w:snapToGrid w:val="0"/>
        <w:spacing w:before="113" w:line="286" w:lineRule="auto"/>
        <w:ind w:left="496" w:right="84" w:rightChars="4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  </w:t>
      </w:r>
      <w:r>
        <w:rPr>
          <w:rFonts w:hint="eastAsia" w:ascii="宋体" w:hAnsi="宋体" w:eastAsia="宋体" w:cs="宋体"/>
          <w:color w:val="auto"/>
          <w:spacing w:val="0"/>
          <w:sz w:val="24"/>
          <w:szCs w:val="24"/>
          <w:highlight w:val="none"/>
        </w:rPr>
        <w:t>补救方案：</w:t>
      </w:r>
    </w:p>
    <w:p w14:paraId="7A5C0062">
      <w:pPr>
        <w:keepNext w:val="0"/>
        <w:keepLines w:val="0"/>
        <w:pageBreakBefore w:val="0"/>
        <w:kinsoku/>
        <w:wordWrap w:val="0"/>
        <w:overflowPunct/>
        <w:topLinePunct w:val="0"/>
        <w:bidi w:val="0"/>
        <w:spacing w:before="115" w:line="220" w:lineRule="auto"/>
        <w:ind w:left="49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12.2.1  </w:t>
      </w:r>
      <w:r>
        <w:rPr>
          <w:rFonts w:hint="eastAsia" w:ascii="宋体" w:hAnsi="宋体" w:eastAsia="宋体" w:cs="宋体"/>
          <w:color w:val="auto"/>
          <w:spacing w:val="0"/>
          <w:sz w:val="24"/>
          <w:szCs w:val="24"/>
          <w:highlight w:val="none"/>
        </w:rPr>
        <w:t>投标文件解密失败的补救方案：</w:t>
      </w:r>
    </w:p>
    <w:p w14:paraId="2D1DE68F">
      <w:pPr>
        <w:keepNext w:val="0"/>
        <w:keepLines w:val="0"/>
        <w:pageBreakBefore w:val="0"/>
        <w:kinsoku/>
        <w:wordWrap w:val="0"/>
        <w:overflowPunct/>
        <w:topLinePunct w:val="0"/>
        <w:bidi w:val="0"/>
        <w:spacing w:before="115" w:line="298" w:lineRule="auto"/>
        <w:ind w:right="84" w:rightChars="4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 30 分钟内）内</w:t>
      </w:r>
      <w:bookmarkStart w:id="57" w:name="bookmark122"/>
      <w:bookmarkEnd w:id="57"/>
      <w:r>
        <w:rPr>
          <w:rFonts w:hint="eastAsia" w:ascii="宋体" w:hAnsi="宋体" w:eastAsia="宋体" w:cs="宋体"/>
          <w:color w:val="auto"/>
          <w:spacing w:val="0"/>
          <w:sz w:val="24"/>
          <w:szCs w:val="24"/>
          <w:highlight w:val="none"/>
        </w:rPr>
        <w:t>重新提交投标文件继续开标程序。</w:t>
      </w:r>
    </w:p>
    <w:p w14:paraId="0F175F6A">
      <w:pPr>
        <w:keepNext w:val="0"/>
        <w:keepLines w:val="0"/>
        <w:pageBreakBefore w:val="0"/>
        <w:kinsoku/>
        <w:wordWrap w:val="0"/>
        <w:overflowPunct/>
        <w:topLinePunct w:val="0"/>
        <w:bidi w:val="0"/>
        <w:spacing w:before="114" w:line="220" w:lineRule="auto"/>
        <w:ind w:left="49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12.2.2  </w:t>
      </w:r>
      <w:r>
        <w:rPr>
          <w:rFonts w:hint="eastAsia" w:ascii="宋体" w:hAnsi="宋体" w:eastAsia="宋体" w:cs="宋体"/>
          <w:color w:val="auto"/>
          <w:spacing w:val="0"/>
          <w:sz w:val="24"/>
          <w:szCs w:val="24"/>
          <w:highlight w:val="none"/>
        </w:rPr>
        <w:t>评标时突发情况的补救方案</w:t>
      </w:r>
    </w:p>
    <w:p w14:paraId="5863CD1F">
      <w:pPr>
        <w:keepNext w:val="0"/>
        <w:keepLines w:val="0"/>
        <w:pageBreakBefore w:val="0"/>
        <w:kinsoku/>
        <w:wordWrap w:val="0"/>
        <w:overflowPunct/>
        <w:topLinePunct w:val="0"/>
        <w:bidi w:val="0"/>
        <w:spacing w:before="114" w:line="303" w:lineRule="auto"/>
        <w:ind w:right="84" w:rightChars="4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在评标过程中，因主场或副场网络故障、电子设备或者评标系统故障，以及其他原因导致无法继续进行评标时，在 4 小时以内解除故障的可继续评标，超过 4 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58ACD5FB">
      <w:pPr>
        <w:keepNext w:val="0"/>
        <w:keepLines w:val="0"/>
        <w:pageBreakBefore w:val="0"/>
        <w:kinsoku/>
        <w:wordWrap w:val="0"/>
        <w:overflowPunct/>
        <w:topLinePunct w:val="0"/>
        <w:bidi w:val="0"/>
        <w:spacing w:before="69" w:line="324" w:lineRule="auto"/>
        <w:ind w:left="11" w:right="84" w:rightChars="40" w:firstLine="484"/>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12.2.3  </w:t>
      </w:r>
      <w:r>
        <w:rPr>
          <w:rFonts w:hint="eastAsia" w:ascii="宋体" w:hAnsi="宋体" w:eastAsia="宋体" w:cs="宋体"/>
          <w:color w:val="auto"/>
          <w:spacing w:val="0"/>
          <w:sz w:val="24"/>
          <w:szCs w:val="24"/>
          <w:highlight w:val="none"/>
        </w:rPr>
        <w:t>除发生上述情况外，开标评标均以投标人（联合体投标的，由联合体牵头人）通过交易平台网上递交的电子投标文件为准。</w:t>
      </w:r>
    </w:p>
    <w:p w14:paraId="5DCEDB99">
      <w:pPr>
        <w:keepNext w:val="0"/>
        <w:keepLines w:val="0"/>
        <w:pageBreakBefore w:val="0"/>
        <w:kinsoku/>
        <w:wordWrap w:val="0"/>
        <w:overflowPunct/>
        <w:topLinePunct w:val="0"/>
        <w:bidi w:val="0"/>
        <w:spacing w:before="78" w:line="220" w:lineRule="auto"/>
        <w:ind w:left="496" w:right="84" w:rightChars="40"/>
        <w:outlineLvl w:val="2"/>
        <w:rPr>
          <w:rFonts w:hint="eastAsia" w:ascii="宋体" w:hAnsi="宋体" w:eastAsia="宋体" w:cs="宋体"/>
          <w:color w:val="auto"/>
          <w:spacing w:val="0"/>
          <w:sz w:val="24"/>
          <w:szCs w:val="24"/>
          <w:highlight w:val="none"/>
        </w:rPr>
      </w:pPr>
      <w:bookmarkStart w:id="58" w:name="_Toc9865"/>
      <w:bookmarkStart w:id="59" w:name="_Toc27195"/>
      <w:r>
        <w:rPr>
          <w:rFonts w:hint="eastAsia" w:ascii="宋体" w:hAnsi="宋体" w:eastAsia="宋体" w:cs="宋体"/>
          <w:b/>
          <w:bCs/>
          <w:color w:val="auto"/>
          <w:spacing w:val="0"/>
          <w:sz w:val="24"/>
          <w:szCs w:val="24"/>
          <w:highlight w:val="none"/>
        </w:rPr>
        <w:t>13 ．投标文件的提交</w:t>
      </w:r>
      <w:bookmarkEnd w:id="58"/>
      <w:bookmarkEnd w:id="59"/>
    </w:p>
    <w:p w14:paraId="7068EE2E">
      <w:pPr>
        <w:keepNext w:val="0"/>
        <w:keepLines w:val="0"/>
        <w:pageBreakBefore w:val="0"/>
        <w:kinsoku/>
        <w:wordWrap w:val="0"/>
        <w:overflowPunct/>
        <w:topLinePunct w:val="0"/>
        <w:bidi w:val="0"/>
        <w:spacing w:before="123" w:line="278" w:lineRule="auto"/>
        <w:ind w:left="13" w:right="84" w:rightChars="40" w:firstLine="482"/>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13.1  </w:t>
      </w:r>
      <w:r>
        <w:rPr>
          <w:rFonts w:hint="eastAsia" w:ascii="宋体" w:hAnsi="宋体" w:eastAsia="宋体" w:cs="宋体"/>
          <w:color w:val="auto"/>
          <w:spacing w:val="0"/>
          <w:sz w:val="24"/>
          <w:szCs w:val="24"/>
          <w:highlight w:val="none"/>
        </w:rPr>
        <w:t>在投标文件提交截止时间前，投标人通过全国公共资源交易平台（广东省 ·韶关市）提交已加密投标文件。逾期提交的电子投标文件，全国公共资源交易平台（广东省 ·韶关市）将予以拒收。</w:t>
      </w:r>
    </w:p>
    <w:p w14:paraId="09924D0F">
      <w:pPr>
        <w:keepNext w:val="0"/>
        <w:keepLines w:val="0"/>
        <w:pageBreakBefore w:val="0"/>
        <w:kinsoku/>
        <w:wordWrap w:val="0"/>
        <w:overflowPunct/>
        <w:topLinePunct w:val="0"/>
        <w:bidi w:val="0"/>
        <w:spacing w:before="115" w:line="219" w:lineRule="auto"/>
        <w:ind w:left="49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13.2  </w:t>
      </w:r>
      <w:r>
        <w:rPr>
          <w:rFonts w:hint="eastAsia" w:ascii="宋体" w:hAnsi="宋体" w:eastAsia="宋体" w:cs="宋体"/>
          <w:color w:val="auto"/>
          <w:spacing w:val="0"/>
          <w:sz w:val="24"/>
          <w:szCs w:val="24"/>
          <w:highlight w:val="none"/>
        </w:rPr>
        <w:t>提交时间和地点：见本章第二节“重要事项时间地点一览表 ”</w:t>
      </w:r>
    </w:p>
    <w:p w14:paraId="683F40A3">
      <w:pPr>
        <w:keepNext w:val="0"/>
        <w:keepLines w:val="0"/>
        <w:pageBreakBefore w:val="0"/>
        <w:kinsoku/>
        <w:wordWrap w:val="0"/>
        <w:overflowPunct/>
        <w:topLinePunct w:val="0"/>
        <w:bidi w:val="0"/>
        <w:spacing w:before="113" w:line="279" w:lineRule="auto"/>
        <w:ind w:left="9" w:right="84" w:rightChars="40" w:firstLine="48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13.3  </w:t>
      </w:r>
      <w:r>
        <w:rPr>
          <w:rFonts w:hint="eastAsia" w:ascii="宋体" w:hAnsi="宋体" w:eastAsia="宋体" w:cs="宋体"/>
          <w:color w:val="auto"/>
          <w:spacing w:val="0"/>
          <w:sz w:val="24"/>
          <w:szCs w:val="24"/>
          <w:highlight w:val="none"/>
        </w:rPr>
        <w:t>递交时间和地点：投标人如有招标文件要求提交的用于评审的证书、证件、证明原件（附一式两份清单），由投标人法定代表人或其委托代理人在指定的时间和地点递交（见“重要事项时间地点一览表 ”）。</w:t>
      </w:r>
    </w:p>
    <w:p w14:paraId="1E722792">
      <w:pPr>
        <w:keepNext w:val="0"/>
        <w:keepLines w:val="0"/>
        <w:pageBreakBefore w:val="0"/>
        <w:kinsoku/>
        <w:wordWrap w:val="0"/>
        <w:overflowPunct/>
        <w:topLinePunct w:val="0"/>
        <w:bidi w:val="0"/>
        <w:spacing w:before="112" w:line="219" w:lineRule="auto"/>
        <w:ind w:right="84" w:rightChars="40" w:firstLine="482"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13.4  </w:t>
      </w:r>
      <w:r>
        <w:rPr>
          <w:rFonts w:hint="eastAsia" w:ascii="宋体" w:hAnsi="宋体" w:eastAsia="宋体" w:cs="宋体"/>
          <w:color w:val="auto"/>
          <w:spacing w:val="0"/>
          <w:sz w:val="24"/>
          <w:szCs w:val="24"/>
          <w:highlight w:val="none"/>
        </w:rPr>
        <w:t>代理机构对因不可抗力事件造成的投标文件的损坏、丢失的，不承担责任。</w:t>
      </w:r>
    </w:p>
    <w:p w14:paraId="458845F2">
      <w:pPr>
        <w:keepNext w:val="0"/>
        <w:keepLines w:val="0"/>
        <w:pageBreakBefore w:val="0"/>
        <w:kinsoku/>
        <w:wordWrap w:val="0"/>
        <w:overflowPunct/>
        <w:topLinePunct w:val="0"/>
        <w:bidi w:val="0"/>
        <w:spacing w:before="116" w:line="220" w:lineRule="auto"/>
        <w:ind w:left="49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13.5  </w:t>
      </w:r>
      <w:r>
        <w:rPr>
          <w:rFonts w:hint="eastAsia" w:ascii="宋体" w:hAnsi="宋体" w:eastAsia="宋体" w:cs="宋体"/>
          <w:color w:val="auto"/>
          <w:spacing w:val="0"/>
          <w:sz w:val="24"/>
          <w:szCs w:val="24"/>
          <w:highlight w:val="none"/>
        </w:rPr>
        <w:t>出现下述情形之一，属于未成功提交投标文件，按无效投标处理：</w:t>
      </w:r>
    </w:p>
    <w:p w14:paraId="26FD4E45">
      <w:pPr>
        <w:keepNext w:val="0"/>
        <w:keepLines w:val="0"/>
        <w:pageBreakBefore w:val="0"/>
        <w:kinsoku/>
        <w:wordWrap w:val="0"/>
        <w:overflowPunct/>
        <w:topLinePunct w:val="0"/>
        <w:bidi w:val="0"/>
        <w:spacing w:before="115" w:line="219" w:lineRule="auto"/>
        <w:ind w:left="74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（1）至提交投标文件截止时，投标文件未完整上传及提交标书；</w:t>
      </w:r>
    </w:p>
    <w:p w14:paraId="0801F50A">
      <w:pPr>
        <w:keepNext w:val="0"/>
        <w:keepLines w:val="0"/>
        <w:pageBreakBefore w:val="0"/>
        <w:kinsoku/>
        <w:wordWrap w:val="0"/>
        <w:overflowPunct/>
        <w:topLinePunct w:val="0"/>
        <w:bidi w:val="0"/>
        <w:spacing w:before="114" w:line="220" w:lineRule="auto"/>
        <w:ind w:left="74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（2）解密失败且在规定时间内未重新提交投标文件的；</w:t>
      </w:r>
    </w:p>
    <w:p w14:paraId="04D5C6EB">
      <w:pPr>
        <w:keepNext w:val="0"/>
        <w:keepLines w:val="0"/>
        <w:pageBreakBefore w:val="0"/>
        <w:kinsoku/>
        <w:wordWrap w:val="0"/>
        <w:overflowPunct/>
        <w:topLinePunct w:val="0"/>
        <w:bidi w:val="0"/>
        <w:spacing w:before="115" w:line="220" w:lineRule="auto"/>
        <w:ind w:left="74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（3）投标文件损坏或格式不正确的；</w:t>
      </w:r>
    </w:p>
    <w:p w14:paraId="43D9083E">
      <w:pPr>
        <w:keepNext w:val="0"/>
        <w:keepLines w:val="0"/>
        <w:pageBreakBefore w:val="0"/>
        <w:kinsoku/>
        <w:wordWrap w:val="0"/>
        <w:overflowPunct/>
        <w:topLinePunct w:val="0"/>
        <w:bidi w:val="0"/>
        <w:spacing w:before="115" w:line="219" w:lineRule="auto"/>
        <w:ind w:left="49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13.6  </w:t>
      </w:r>
      <w:r>
        <w:rPr>
          <w:rFonts w:hint="eastAsia" w:ascii="宋体" w:hAnsi="宋体" w:eastAsia="宋体" w:cs="宋体"/>
          <w:color w:val="auto"/>
          <w:spacing w:val="0"/>
          <w:sz w:val="24"/>
          <w:szCs w:val="24"/>
          <w:highlight w:val="none"/>
        </w:rPr>
        <w:t>联合体投标的，由联合体牵头人按以上要求递交相关资料。</w:t>
      </w:r>
    </w:p>
    <w:p w14:paraId="7FCFB836">
      <w:pPr>
        <w:keepNext w:val="0"/>
        <w:keepLines w:val="0"/>
        <w:pageBreakBefore w:val="0"/>
        <w:widowControl/>
        <w:kinsoku/>
        <w:wordWrap w:val="0"/>
        <w:overflowPunct/>
        <w:topLinePunct w:val="0"/>
        <w:autoSpaceDE w:val="0"/>
        <w:autoSpaceDN w:val="0"/>
        <w:bidi w:val="0"/>
        <w:adjustRightInd w:val="0"/>
        <w:snapToGrid w:val="0"/>
        <w:spacing w:before="113" w:line="286" w:lineRule="auto"/>
        <w:ind w:left="11" w:right="84" w:rightChars="40"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13.7  </w:t>
      </w:r>
      <w:r>
        <w:rPr>
          <w:rFonts w:hint="eastAsia" w:ascii="宋体" w:hAnsi="宋体" w:eastAsia="宋体" w:cs="宋体"/>
          <w:color w:val="auto"/>
          <w:spacing w:val="0"/>
          <w:sz w:val="24"/>
          <w:szCs w:val="24"/>
          <w:highlight w:val="none"/>
        </w:rPr>
        <w:t>招标人或其授权的招标代理机构核对、接收投标人递交的投标相关资料后，应向投标人出具标明签收人和签收时间的凭证，并妥善保管。</w:t>
      </w:r>
    </w:p>
    <w:p w14:paraId="465B9D6E">
      <w:pPr>
        <w:keepNext w:val="0"/>
        <w:keepLines w:val="0"/>
        <w:pageBreakBefore w:val="0"/>
        <w:kinsoku/>
        <w:wordWrap w:val="0"/>
        <w:overflowPunct/>
        <w:topLinePunct w:val="0"/>
        <w:bidi w:val="0"/>
        <w:spacing w:before="113" w:line="279" w:lineRule="auto"/>
        <w:ind w:left="9" w:right="84" w:rightChars="40" w:firstLine="48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13.8 </w:t>
      </w:r>
      <w:r>
        <w:rPr>
          <w:rFonts w:hint="eastAsia" w:ascii="宋体" w:hAnsi="宋体" w:eastAsia="宋体" w:cs="宋体"/>
          <w:color w:val="auto"/>
          <w:spacing w:val="0"/>
          <w:sz w:val="24"/>
          <w:szCs w:val="24"/>
          <w:highlight w:val="none"/>
        </w:rPr>
        <w:t xml:space="preserve"> 本次招标投标有效期为</w:t>
      </w:r>
      <w:r>
        <w:rPr>
          <w:rFonts w:hint="eastAsia" w:ascii="宋体" w:hAnsi="宋体" w:eastAsia="宋体" w:cs="宋体"/>
          <w:color w:val="auto"/>
          <w:spacing w:val="0"/>
          <w:sz w:val="24"/>
          <w:szCs w:val="24"/>
          <w:highlight w:val="none"/>
          <w:u w:val="single"/>
          <w:lang w:eastAsia="zh-CN"/>
        </w:rPr>
        <w:t>90</w:t>
      </w:r>
      <w:r>
        <w:rPr>
          <w:rFonts w:hint="eastAsia" w:ascii="宋体" w:hAnsi="宋体" w:eastAsia="宋体" w:cs="宋体"/>
          <w:color w:val="auto"/>
          <w:spacing w:val="0"/>
          <w:sz w:val="24"/>
          <w:szCs w:val="24"/>
          <w:highlight w:val="none"/>
        </w:rPr>
        <w:t>个日历天，投标有效期从提交投标文件的截止之日起计算。在此期间，投标人不得撤销或修改其投标文件，否则其投标保证不予退还。</w:t>
      </w:r>
    </w:p>
    <w:p w14:paraId="2CB00EB8">
      <w:pPr>
        <w:keepNext w:val="0"/>
        <w:keepLines w:val="0"/>
        <w:pageBreakBefore w:val="0"/>
        <w:kinsoku/>
        <w:wordWrap w:val="0"/>
        <w:overflowPunct/>
        <w:topLinePunct w:val="0"/>
        <w:bidi w:val="0"/>
        <w:spacing w:before="145" w:line="221" w:lineRule="auto"/>
        <w:ind w:left="496" w:right="84" w:rightChars="40"/>
        <w:outlineLvl w:val="2"/>
        <w:rPr>
          <w:rFonts w:hint="eastAsia" w:ascii="宋体" w:hAnsi="宋体" w:eastAsia="宋体" w:cs="宋体"/>
          <w:color w:val="auto"/>
          <w:spacing w:val="0"/>
          <w:sz w:val="24"/>
          <w:szCs w:val="24"/>
          <w:highlight w:val="none"/>
        </w:rPr>
      </w:pPr>
      <w:bookmarkStart w:id="60" w:name="_Toc22047"/>
      <w:bookmarkStart w:id="61" w:name="_Toc16892"/>
      <w:r>
        <w:rPr>
          <w:rFonts w:hint="eastAsia" w:ascii="宋体" w:hAnsi="宋体" w:eastAsia="宋体" w:cs="宋体"/>
          <w:b/>
          <w:bCs/>
          <w:color w:val="auto"/>
          <w:spacing w:val="0"/>
          <w:sz w:val="24"/>
          <w:szCs w:val="24"/>
          <w:highlight w:val="none"/>
        </w:rPr>
        <w:t>14 ．开标</w:t>
      </w:r>
      <w:bookmarkEnd w:id="60"/>
      <w:bookmarkEnd w:id="61"/>
    </w:p>
    <w:p w14:paraId="034EB3D3">
      <w:pPr>
        <w:keepNext w:val="0"/>
        <w:keepLines w:val="0"/>
        <w:pageBreakBefore w:val="0"/>
        <w:kinsoku/>
        <w:wordWrap w:val="0"/>
        <w:overflowPunct/>
        <w:topLinePunct w:val="0"/>
        <w:bidi w:val="0"/>
        <w:spacing w:before="155" w:line="329" w:lineRule="auto"/>
        <w:ind w:left="10" w:right="84" w:rightChars="40" w:firstLine="485"/>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  </w:t>
      </w:r>
      <w:r>
        <w:rPr>
          <w:rFonts w:hint="eastAsia" w:ascii="宋体" w:hAnsi="宋体" w:eastAsia="宋体" w:cs="宋体"/>
          <w:color w:val="auto"/>
          <w:spacing w:val="0"/>
          <w:sz w:val="24"/>
          <w:szCs w:val="24"/>
          <w:highlight w:val="none"/>
        </w:rPr>
        <w:t>招标人邀请所有正确获取招标文件、电子投标、缴纳投标保证的投标人参加开标，投标人可自主决定是否参加。投标人可登陆交易平台观看开标实况、提出异议或进行澄清、确认等操作（具体按招标文件和系统操作手册为准）。投标人不参加开</w:t>
      </w:r>
      <w:bookmarkStart w:id="62" w:name="bookmark123"/>
      <w:bookmarkEnd w:id="62"/>
      <w:r>
        <w:rPr>
          <w:rFonts w:hint="eastAsia" w:ascii="宋体" w:hAnsi="宋体" w:eastAsia="宋体" w:cs="宋体"/>
          <w:color w:val="auto"/>
          <w:spacing w:val="0"/>
          <w:sz w:val="24"/>
          <w:szCs w:val="24"/>
          <w:highlight w:val="none"/>
        </w:rPr>
        <w:t>标的，视其默认开标结果，以及放弃在开标期间见证、监督、投诉、申辩的权利。</w:t>
      </w:r>
    </w:p>
    <w:p w14:paraId="05862D79">
      <w:pPr>
        <w:keepNext w:val="0"/>
        <w:keepLines w:val="0"/>
        <w:pageBreakBefore w:val="0"/>
        <w:kinsoku/>
        <w:wordWrap w:val="0"/>
        <w:overflowPunct/>
        <w:topLinePunct w:val="0"/>
        <w:bidi w:val="0"/>
        <w:spacing w:before="156" w:line="219" w:lineRule="auto"/>
        <w:ind w:left="49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14.1.1  </w:t>
      </w:r>
      <w:r>
        <w:rPr>
          <w:rFonts w:hint="eastAsia" w:ascii="宋体" w:hAnsi="宋体" w:eastAsia="宋体" w:cs="宋体"/>
          <w:color w:val="auto"/>
          <w:spacing w:val="0"/>
          <w:sz w:val="24"/>
          <w:szCs w:val="24"/>
          <w:highlight w:val="none"/>
        </w:rPr>
        <w:t>开标时间和地点：见本章第二节“重要事项时间地点一览表 ”。</w:t>
      </w:r>
    </w:p>
    <w:p w14:paraId="08F091B7">
      <w:pPr>
        <w:keepNext w:val="0"/>
        <w:keepLines w:val="0"/>
        <w:pageBreakBefore w:val="0"/>
        <w:widowControl/>
        <w:kinsoku/>
        <w:wordWrap w:val="0"/>
        <w:overflowPunct/>
        <w:topLinePunct w:val="0"/>
        <w:autoSpaceDE w:val="0"/>
        <w:autoSpaceDN w:val="0"/>
        <w:bidi w:val="0"/>
        <w:adjustRightInd w:val="0"/>
        <w:snapToGrid w:val="0"/>
        <w:spacing w:before="153" w:line="320" w:lineRule="auto"/>
        <w:ind w:left="11" w:right="84" w:rightChars="40"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14.1.2 </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开标前 24 小时，若建设工程交易系统显示缴纳投标保证（包括投标保证金、投标保证担保、投标保证保险）的投标人数量不足 3 个时，招标人将取消原定于次日召开的开标活动。投标人可在投标保证缴纳截止时间（见本章第二节“重要事项时间 地点一览表 ”）至电子投标截止时间（见本章第二节“重要事项时间地点一览表 ”） 期间登录全国公共资源交易平台（广东省 ·韶关市）（https://ygp.gdzwfw.gov.cn/ggzy-portal/#/440200/index）查询是否发布了取消开标活动的相关信息。</w:t>
      </w:r>
    </w:p>
    <w:p w14:paraId="55E539B0">
      <w:pPr>
        <w:keepNext w:val="0"/>
        <w:keepLines w:val="0"/>
        <w:pageBreakBefore w:val="0"/>
        <w:kinsoku/>
        <w:wordWrap w:val="0"/>
        <w:overflowPunct/>
        <w:topLinePunct w:val="0"/>
        <w:bidi w:val="0"/>
        <w:spacing w:before="159" w:line="319" w:lineRule="auto"/>
        <w:ind w:left="10" w:right="84" w:rightChars="40" w:firstLine="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14.1.3</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本项目实行全流程电子化招标投标，投标人在交易平台按要求上传加盖电子印章并经加密的电子投标文件，并在交易平台录入准确的页码信息即可完成在线投标</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7A2CFB6D">
      <w:pPr>
        <w:keepNext w:val="0"/>
        <w:keepLines w:val="0"/>
        <w:pageBreakBefore w:val="0"/>
        <w:kinsoku/>
        <w:wordWrap w:val="0"/>
        <w:overflowPunct/>
        <w:topLinePunct w:val="0"/>
        <w:bidi w:val="0"/>
        <w:spacing w:before="152" w:line="221" w:lineRule="auto"/>
        <w:ind w:left="49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14.2  </w:t>
      </w:r>
      <w:r>
        <w:rPr>
          <w:rFonts w:hint="eastAsia" w:ascii="宋体" w:hAnsi="宋体" w:eastAsia="宋体" w:cs="宋体"/>
          <w:color w:val="auto"/>
          <w:spacing w:val="0"/>
          <w:sz w:val="24"/>
          <w:szCs w:val="24"/>
          <w:highlight w:val="none"/>
        </w:rPr>
        <w:t>开标程序</w:t>
      </w:r>
    </w:p>
    <w:p w14:paraId="48C37DE6">
      <w:pPr>
        <w:keepNext w:val="0"/>
        <w:keepLines w:val="0"/>
        <w:pageBreakBefore w:val="0"/>
        <w:kinsoku/>
        <w:wordWrap w:val="0"/>
        <w:overflowPunct/>
        <w:topLinePunct w:val="0"/>
        <w:bidi w:val="0"/>
        <w:spacing w:before="42" w:line="219" w:lineRule="auto"/>
        <w:ind w:left="501" w:right="84" w:rightChars="40"/>
        <w:outlineLvl w:val="9"/>
        <w:rPr>
          <w:rFonts w:hint="eastAsia" w:ascii="宋体" w:hAnsi="宋体" w:eastAsia="宋体" w:cs="宋体"/>
          <w:color w:val="auto"/>
          <w:spacing w:val="0"/>
          <w:sz w:val="24"/>
          <w:szCs w:val="24"/>
          <w:highlight w:val="none"/>
        </w:rPr>
      </w:pPr>
      <w:bookmarkStart w:id="63" w:name="_Toc10291"/>
      <w:bookmarkStart w:id="64" w:name="_Toc10685"/>
      <w:bookmarkStart w:id="65" w:name="_Toc15587"/>
      <w:bookmarkStart w:id="66" w:name="_Toc8314"/>
      <w:r>
        <w:rPr>
          <w:rFonts w:hint="eastAsia" w:ascii="宋体" w:hAnsi="宋体" w:eastAsia="宋体" w:cs="宋体"/>
          <w:color w:val="auto"/>
          <w:spacing w:val="0"/>
          <w:sz w:val="24"/>
          <w:szCs w:val="24"/>
          <w:highlight w:val="none"/>
        </w:rPr>
        <w:t>（1）主持人（招标人代表或招标人授权的招标代理机构人员）宣读开标纪律。</w:t>
      </w:r>
      <w:bookmarkEnd w:id="63"/>
      <w:bookmarkEnd w:id="64"/>
      <w:bookmarkEnd w:id="65"/>
      <w:bookmarkEnd w:id="66"/>
    </w:p>
    <w:p w14:paraId="776645C0">
      <w:pPr>
        <w:keepNext w:val="0"/>
        <w:keepLines w:val="0"/>
        <w:pageBreakBefore w:val="0"/>
        <w:kinsoku/>
        <w:wordWrap w:val="0"/>
        <w:overflowPunct/>
        <w:topLinePunct w:val="0"/>
        <w:bidi w:val="0"/>
        <w:spacing w:before="181" w:line="219" w:lineRule="auto"/>
        <w:ind w:left="501" w:right="84" w:rightChars="40"/>
        <w:outlineLvl w:val="9"/>
        <w:rPr>
          <w:rFonts w:hint="eastAsia" w:ascii="宋体" w:hAnsi="宋体" w:eastAsia="宋体" w:cs="宋体"/>
          <w:color w:val="auto"/>
          <w:spacing w:val="0"/>
          <w:sz w:val="24"/>
          <w:szCs w:val="24"/>
          <w:highlight w:val="none"/>
        </w:rPr>
      </w:pPr>
      <w:bookmarkStart w:id="67" w:name="_Toc30853"/>
      <w:bookmarkStart w:id="68" w:name="_Toc2011"/>
      <w:bookmarkStart w:id="69" w:name="_Toc16292"/>
      <w:bookmarkStart w:id="70" w:name="_Toc20238"/>
      <w:r>
        <w:rPr>
          <w:rFonts w:hint="eastAsia" w:ascii="宋体" w:hAnsi="宋体" w:eastAsia="宋体" w:cs="宋体"/>
          <w:color w:val="auto"/>
          <w:spacing w:val="0"/>
          <w:sz w:val="24"/>
          <w:szCs w:val="24"/>
          <w:highlight w:val="none"/>
        </w:rPr>
        <w:t>（2）主持人宣布唱标人、记录人、见证人、监督人等有关人员姓名。</w:t>
      </w:r>
      <w:bookmarkEnd w:id="67"/>
      <w:bookmarkEnd w:id="68"/>
      <w:bookmarkEnd w:id="69"/>
      <w:bookmarkEnd w:id="70"/>
    </w:p>
    <w:p w14:paraId="505384A6">
      <w:pPr>
        <w:keepNext w:val="0"/>
        <w:keepLines w:val="0"/>
        <w:pageBreakBefore w:val="0"/>
        <w:kinsoku/>
        <w:wordWrap w:val="0"/>
        <w:overflowPunct/>
        <w:topLinePunct w:val="0"/>
        <w:bidi w:val="0"/>
        <w:spacing w:before="183" w:line="219" w:lineRule="auto"/>
        <w:ind w:left="501" w:right="84" w:rightChars="40"/>
        <w:outlineLvl w:val="9"/>
        <w:rPr>
          <w:rFonts w:hint="eastAsia" w:ascii="宋体" w:hAnsi="宋体" w:eastAsia="宋体" w:cs="宋体"/>
          <w:color w:val="auto"/>
          <w:spacing w:val="0"/>
          <w:sz w:val="24"/>
          <w:szCs w:val="24"/>
          <w:highlight w:val="none"/>
        </w:rPr>
      </w:pPr>
      <w:bookmarkStart w:id="71" w:name="_Toc31716"/>
      <w:bookmarkStart w:id="72" w:name="_Toc26494"/>
      <w:bookmarkStart w:id="73" w:name="_Toc17462"/>
      <w:bookmarkStart w:id="74" w:name="_Toc1974"/>
      <w:r>
        <w:rPr>
          <w:rFonts w:hint="eastAsia" w:ascii="宋体" w:hAnsi="宋体" w:eastAsia="宋体" w:cs="宋体"/>
          <w:color w:val="auto"/>
          <w:spacing w:val="0"/>
          <w:sz w:val="24"/>
          <w:szCs w:val="24"/>
          <w:highlight w:val="none"/>
        </w:rPr>
        <w:t>（3）唱标人公布在投标截止时间前进行投标文件的投标人数量和名称</w:t>
      </w:r>
      <w:bookmarkEnd w:id="71"/>
      <w:bookmarkEnd w:id="72"/>
      <w:bookmarkEnd w:id="73"/>
      <w:bookmarkEnd w:id="74"/>
    </w:p>
    <w:p w14:paraId="0C0A9C7B">
      <w:pPr>
        <w:keepNext w:val="0"/>
        <w:keepLines w:val="0"/>
        <w:pageBreakBefore w:val="0"/>
        <w:kinsoku/>
        <w:wordWrap w:val="0"/>
        <w:overflowPunct/>
        <w:topLinePunct w:val="0"/>
        <w:bidi w:val="0"/>
        <w:spacing w:before="181" w:line="360" w:lineRule="auto"/>
        <w:ind w:left="501" w:right="84" w:rightChars="40"/>
        <w:outlineLvl w:val="9"/>
        <w:rPr>
          <w:rFonts w:hint="eastAsia" w:ascii="宋体" w:hAnsi="宋体" w:eastAsia="宋体" w:cs="宋体"/>
          <w:color w:val="auto"/>
          <w:spacing w:val="0"/>
          <w:sz w:val="24"/>
          <w:szCs w:val="24"/>
          <w:highlight w:val="none"/>
        </w:rPr>
      </w:pPr>
      <w:bookmarkStart w:id="75" w:name="_Toc8179"/>
      <w:bookmarkStart w:id="76" w:name="_Toc15860"/>
      <w:bookmarkStart w:id="77" w:name="_Toc20559"/>
      <w:bookmarkStart w:id="78" w:name="_Toc27967"/>
      <w:r>
        <w:rPr>
          <w:rFonts w:hint="eastAsia" w:ascii="宋体" w:hAnsi="宋体" w:eastAsia="宋体" w:cs="宋体"/>
          <w:color w:val="auto"/>
          <w:spacing w:val="0"/>
          <w:sz w:val="24"/>
          <w:szCs w:val="24"/>
          <w:highlight w:val="none"/>
        </w:rPr>
        <w:t>（4）招标代理机构会同交易场所工作人员对投标人的电子投标信息进行解密，</w:t>
      </w:r>
      <w:bookmarkEnd w:id="75"/>
      <w:bookmarkEnd w:id="76"/>
      <w:bookmarkEnd w:id="77"/>
      <w:bookmarkEnd w:id="78"/>
      <w:r>
        <w:rPr>
          <w:rFonts w:hint="eastAsia" w:ascii="宋体" w:hAnsi="宋体" w:eastAsia="宋体" w:cs="宋体"/>
          <w:color w:val="auto"/>
          <w:spacing w:val="0"/>
          <w:sz w:val="24"/>
          <w:szCs w:val="24"/>
          <w:highlight w:val="none"/>
        </w:rPr>
        <w:t>建设工程交易系统自动生成《投标保证缴纳情况表》和《开标一览表》。</w:t>
      </w:r>
    </w:p>
    <w:p w14:paraId="7C434C90">
      <w:pPr>
        <w:keepNext w:val="0"/>
        <w:keepLines w:val="0"/>
        <w:pageBreakBefore w:val="0"/>
        <w:kinsoku/>
        <w:wordWrap w:val="0"/>
        <w:overflowPunct/>
        <w:topLinePunct w:val="0"/>
        <w:bidi w:val="0"/>
        <w:spacing w:before="182" w:line="360" w:lineRule="auto"/>
        <w:ind w:right="84" w:rightChars="40" w:firstLine="482" w:firstLineChars="200"/>
        <w:outlineLvl w:val="9"/>
        <w:rPr>
          <w:rFonts w:hint="eastAsia" w:ascii="宋体" w:hAnsi="宋体" w:eastAsia="宋体" w:cs="宋体"/>
          <w:b/>
          <w:bCs/>
          <w:color w:val="auto"/>
          <w:spacing w:val="0"/>
          <w:sz w:val="24"/>
          <w:szCs w:val="24"/>
          <w:highlight w:val="none"/>
        </w:rPr>
      </w:pPr>
      <w:bookmarkStart w:id="79" w:name="_Toc28266"/>
      <w:bookmarkStart w:id="80" w:name="_Toc2199"/>
      <w:bookmarkStart w:id="81" w:name="_Toc28812"/>
      <w:bookmarkStart w:id="82" w:name="_Toc26216"/>
      <w:r>
        <w:rPr>
          <w:rFonts w:hint="eastAsia" w:ascii="宋体" w:hAnsi="宋体" w:eastAsia="宋体" w:cs="宋体"/>
          <w:b/>
          <w:bCs/>
          <w:color w:val="auto"/>
          <w:spacing w:val="0"/>
          <w:sz w:val="24"/>
          <w:szCs w:val="24"/>
          <w:highlight w:val="none"/>
        </w:rPr>
        <w:t>温馨提示：因本项目实行全流程电子化招标投标，投标人无须进行现场签到，可</w:t>
      </w:r>
      <w:bookmarkEnd w:id="79"/>
      <w:bookmarkEnd w:id="80"/>
      <w:bookmarkEnd w:id="81"/>
      <w:r>
        <w:rPr>
          <w:rFonts w:hint="eastAsia" w:ascii="宋体" w:hAnsi="宋体" w:eastAsia="宋体" w:cs="宋体"/>
          <w:b/>
          <w:bCs/>
          <w:color w:val="auto"/>
          <w:spacing w:val="0"/>
          <w:sz w:val="24"/>
          <w:szCs w:val="24"/>
          <w:highlight w:val="none"/>
        </w:rPr>
        <w:t>登录交易平台观看开标实况、提出异议或进行澄清、确认等操作，对开标事项的异议未在开标期间提出的，招标</w:t>
      </w:r>
      <w:r>
        <w:rPr>
          <w:rFonts w:hint="eastAsia" w:ascii="宋体" w:hAnsi="宋体" w:eastAsia="宋体" w:cs="宋体"/>
          <w:b/>
          <w:bCs/>
          <w:color w:val="auto"/>
          <w:spacing w:val="0"/>
          <w:sz w:val="24"/>
          <w:szCs w:val="24"/>
          <w:highlight w:val="none"/>
          <w:lang w:eastAsia="zh-CN"/>
        </w:rPr>
        <w:t>人不</w:t>
      </w:r>
      <w:r>
        <w:rPr>
          <w:rFonts w:hint="eastAsia" w:ascii="宋体" w:hAnsi="宋体" w:eastAsia="宋体" w:cs="宋体"/>
          <w:b/>
          <w:bCs/>
          <w:color w:val="auto"/>
          <w:spacing w:val="0"/>
          <w:sz w:val="24"/>
          <w:szCs w:val="24"/>
          <w:highlight w:val="none"/>
        </w:rPr>
        <w:t>予受理。具体按招标文件和系统操作手册为准。</w:t>
      </w:r>
      <w:bookmarkEnd w:id="82"/>
    </w:p>
    <w:p w14:paraId="14AEDDEF">
      <w:pPr>
        <w:keepNext w:val="0"/>
        <w:keepLines w:val="0"/>
        <w:pageBreakBefore w:val="0"/>
        <w:kinsoku/>
        <w:wordWrap w:val="0"/>
        <w:overflowPunct/>
        <w:topLinePunct w:val="0"/>
        <w:bidi w:val="0"/>
        <w:spacing w:before="182" w:line="360" w:lineRule="auto"/>
        <w:ind w:left="0" w:leftChars="0" w:right="84" w:rightChars="40" w:firstLine="0" w:firstLineChars="0"/>
        <w:outlineLvl w:val="9"/>
        <w:rPr>
          <w:rFonts w:hint="eastAsia" w:eastAsia="宋体"/>
          <w:color w:val="auto"/>
          <w:highlight w:val="none"/>
          <w:lang w:val="en-US" w:eastAsia="zh-CN"/>
        </w:rPr>
      </w:pP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3"/>
          <w:sz w:val="24"/>
          <w:szCs w:val="24"/>
          <w:highlight w:val="none"/>
        </w:rPr>
        <w:t>因本工程实行全流程电子化招标投标，在唱标环节为解密唱标时，以网上电子解密唱标信息为准。全流程电子招标投标采用线上评审，以电子投标文件为准。如果两者报价不一致的，视为报价不唯一，其响应性评审不通过</w:t>
      </w:r>
      <w:r>
        <w:rPr>
          <w:rFonts w:hint="eastAsia" w:ascii="宋体" w:hAnsi="宋体" w:eastAsia="宋体" w:cs="宋体"/>
          <w:b/>
          <w:bCs/>
          <w:color w:val="auto"/>
          <w:spacing w:val="-3"/>
          <w:sz w:val="24"/>
          <w:szCs w:val="24"/>
          <w:highlight w:val="none"/>
          <w:lang w:eastAsia="zh-CN"/>
        </w:rPr>
        <w:t>。</w:t>
      </w:r>
    </w:p>
    <w:p w14:paraId="29DDC04A">
      <w:pPr>
        <w:keepNext w:val="0"/>
        <w:keepLines w:val="0"/>
        <w:pageBreakBefore w:val="0"/>
        <w:kinsoku/>
        <w:wordWrap w:val="0"/>
        <w:overflowPunct/>
        <w:topLinePunct w:val="0"/>
        <w:bidi w:val="0"/>
        <w:spacing w:before="143" w:line="299" w:lineRule="auto"/>
        <w:ind w:left="11" w:right="84" w:rightChars="40" w:firstLine="48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14.3  </w:t>
      </w:r>
      <w:r>
        <w:rPr>
          <w:rFonts w:hint="eastAsia" w:ascii="宋体" w:hAnsi="宋体" w:eastAsia="宋体" w:cs="宋体"/>
          <w:color w:val="auto"/>
          <w:spacing w:val="0"/>
          <w:sz w:val="24"/>
          <w:szCs w:val="24"/>
          <w:highlight w:val="none"/>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1DB30EA2">
      <w:pPr>
        <w:keepNext w:val="0"/>
        <w:keepLines w:val="0"/>
        <w:pageBreakBefore w:val="0"/>
        <w:kinsoku/>
        <w:wordWrap w:val="0"/>
        <w:overflowPunct/>
        <w:topLinePunct w:val="0"/>
        <w:bidi w:val="0"/>
        <w:spacing w:before="155" w:line="279" w:lineRule="auto"/>
        <w:ind w:left="8" w:right="84" w:rightChars="40" w:firstLine="487"/>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14.4 </w:t>
      </w:r>
      <w:r>
        <w:rPr>
          <w:rFonts w:hint="eastAsia" w:ascii="宋体" w:hAnsi="宋体" w:eastAsia="宋体" w:cs="宋体"/>
          <w:color w:val="auto"/>
          <w:spacing w:val="0"/>
          <w:sz w:val="24"/>
          <w:szCs w:val="24"/>
          <w:highlight w:val="none"/>
        </w:rPr>
        <w:t>招标代理机构将资料原件（如有）、《开标一览表》以及其他有关资料移交评标委员会。</w:t>
      </w:r>
    </w:p>
    <w:p w14:paraId="2E809B78">
      <w:pPr>
        <w:keepNext w:val="0"/>
        <w:keepLines w:val="0"/>
        <w:pageBreakBefore w:val="0"/>
        <w:kinsoku/>
        <w:wordWrap w:val="0"/>
        <w:overflowPunct/>
        <w:topLinePunct w:val="0"/>
        <w:bidi w:val="0"/>
        <w:spacing w:before="78" w:line="221" w:lineRule="auto"/>
        <w:ind w:left="496" w:right="84" w:rightChars="40"/>
        <w:outlineLvl w:val="2"/>
        <w:rPr>
          <w:rFonts w:hint="eastAsia" w:ascii="宋体" w:hAnsi="宋体" w:eastAsia="宋体" w:cs="宋体"/>
          <w:color w:val="auto"/>
          <w:spacing w:val="0"/>
          <w:highlight w:val="none"/>
        </w:rPr>
      </w:pPr>
      <w:bookmarkStart w:id="83" w:name="_Toc6122"/>
      <w:bookmarkStart w:id="84" w:name="_Toc961"/>
      <w:r>
        <w:rPr>
          <w:rFonts w:hint="eastAsia" w:ascii="宋体" w:hAnsi="宋体" w:eastAsia="宋体" w:cs="宋体"/>
          <w:b/>
          <w:bCs/>
          <w:color w:val="auto"/>
          <w:spacing w:val="0"/>
          <w:sz w:val="24"/>
          <w:szCs w:val="24"/>
          <w:highlight w:val="none"/>
        </w:rPr>
        <w:t>15 ．评标</w:t>
      </w:r>
      <w:bookmarkEnd w:id="83"/>
      <w:bookmarkEnd w:id="84"/>
    </w:p>
    <w:p w14:paraId="6B3E0F13">
      <w:pPr>
        <w:keepNext w:val="0"/>
        <w:keepLines w:val="0"/>
        <w:pageBreakBefore w:val="0"/>
        <w:kinsoku/>
        <w:wordWrap w:val="0"/>
        <w:overflowPunct/>
        <w:topLinePunct w:val="0"/>
        <w:bidi w:val="0"/>
        <w:spacing w:before="78" w:line="331" w:lineRule="auto"/>
        <w:ind w:left="8" w:right="84" w:rightChars="40" w:firstLine="480"/>
        <w:rPr>
          <w:rFonts w:hint="eastAsia" w:ascii="宋体" w:hAnsi="宋体" w:eastAsia="宋体" w:cs="宋体"/>
          <w:color w:val="auto"/>
          <w:spacing w:val="0"/>
          <w:sz w:val="24"/>
          <w:szCs w:val="24"/>
          <w:highlight w:val="none"/>
        </w:rPr>
      </w:pPr>
      <w:bookmarkStart w:id="85" w:name="bookmark124"/>
      <w:bookmarkEnd w:id="85"/>
      <w:r>
        <w:rPr>
          <w:rFonts w:hint="eastAsia" w:ascii="宋体" w:hAnsi="宋体" w:eastAsia="宋体" w:cs="宋体"/>
          <w:color w:val="auto"/>
          <w:spacing w:val="0"/>
          <w:sz w:val="24"/>
          <w:szCs w:val="24"/>
          <w:highlight w:val="none"/>
        </w:rPr>
        <w:t>评标分为初步评审和详细评审两个阶段，由评标委员会在有关部门的监督下，严格按照本招标文件指定的评标方法，对投标人的投标文件进行审查、评审。评标委员会完成评标后，评标委员会按照投标人评审综合总得分由高到低的原则,向招标人推荐已明确的定标候选人数量（不标明排序），并向招标人提交由全体评标委员会成员签字的评标报告。</w:t>
      </w:r>
    </w:p>
    <w:p w14:paraId="1AE0EC81">
      <w:pPr>
        <w:keepNext w:val="0"/>
        <w:keepLines w:val="0"/>
        <w:pageBreakBefore w:val="0"/>
        <w:kinsoku/>
        <w:wordWrap w:val="0"/>
        <w:overflowPunct/>
        <w:topLinePunct w:val="0"/>
        <w:bidi w:val="0"/>
        <w:spacing w:before="38" w:line="219" w:lineRule="auto"/>
        <w:ind w:left="49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  </w:t>
      </w:r>
      <w:r>
        <w:rPr>
          <w:rFonts w:hint="eastAsia" w:ascii="宋体" w:hAnsi="宋体" w:eastAsia="宋体" w:cs="宋体"/>
          <w:color w:val="auto"/>
          <w:spacing w:val="0"/>
          <w:sz w:val="24"/>
          <w:szCs w:val="24"/>
          <w:highlight w:val="none"/>
        </w:rPr>
        <w:t>评标委员会</w:t>
      </w:r>
    </w:p>
    <w:p w14:paraId="31B92F0C">
      <w:pPr>
        <w:keepNext w:val="0"/>
        <w:keepLines w:val="0"/>
        <w:pageBreakBefore w:val="0"/>
        <w:kinsoku/>
        <w:wordWrap w:val="0"/>
        <w:overflowPunct/>
        <w:topLinePunct w:val="0"/>
        <w:bidi w:val="0"/>
        <w:spacing w:before="155" w:line="324" w:lineRule="auto"/>
        <w:ind w:left="10" w:right="84" w:rightChars="40"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15.1.1 </w:t>
      </w:r>
      <w:r>
        <w:rPr>
          <w:rFonts w:hint="eastAsia" w:ascii="宋体" w:hAnsi="宋体" w:eastAsia="宋体" w:cs="宋体"/>
          <w:color w:val="auto"/>
          <w:sz w:val="24"/>
          <w:szCs w:val="24"/>
          <w:highlight w:val="none"/>
        </w:rPr>
        <w:t>评标委员会由</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人组成，其中招标人代表</w:t>
      </w:r>
      <w:r>
        <w:rPr>
          <w:rFonts w:hint="eastAsia" w:ascii="宋体" w:hAnsi="宋体" w:eastAsia="宋体" w:cs="宋体"/>
          <w:color w:val="auto"/>
          <w:sz w:val="24"/>
          <w:szCs w:val="24"/>
          <w:highlight w:val="none"/>
          <w:u w:val="single"/>
        </w:rPr>
        <w:t>0</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eastAsia="zh-CN"/>
        </w:rPr>
        <w:t>，具体详见投标须知前附表规定</w:t>
      </w:r>
      <w:r>
        <w:rPr>
          <w:rFonts w:hint="eastAsia" w:ascii="宋体" w:hAnsi="宋体" w:eastAsia="宋体" w:cs="宋体"/>
          <w:color w:val="auto"/>
          <w:sz w:val="24"/>
          <w:szCs w:val="24"/>
          <w:highlight w:val="none"/>
        </w:rPr>
        <w:t>。</w:t>
      </w:r>
      <w:r>
        <w:rPr>
          <w:rFonts w:hint="eastAsia" w:ascii="宋体" w:hAnsi="宋体" w:eastAsia="宋体" w:cs="宋体"/>
          <w:color w:val="auto"/>
          <w:spacing w:val="-1"/>
          <w:sz w:val="24"/>
          <w:szCs w:val="24"/>
          <w:highlight w:val="none"/>
        </w:rPr>
        <w:t>评标委员会设负责人，由评标委员会成员推举产生</w:t>
      </w:r>
      <w:r>
        <w:rPr>
          <w:rFonts w:hint="eastAsia" w:ascii="宋体" w:hAnsi="宋体" w:eastAsia="宋体" w:cs="宋体"/>
          <w:color w:val="auto"/>
          <w:spacing w:val="-2"/>
          <w:sz w:val="24"/>
          <w:szCs w:val="24"/>
          <w:highlight w:val="none"/>
        </w:rPr>
        <w:t>。评标委员会负责人与评</w:t>
      </w:r>
      <w:r>
        <w:rPr>
          <w:rFonts w:hint="eastAsia" w:ascii="宋体" w:hAnsi="宋体" w:eastAsia="宋体" w:cs="宋体"/>
          <w:color w:val="auto"/>
          <w:spacing w:val="-1"/>
          <w:sz w:val="24"/>
          <w:szCs w:val="24"/>
          <w:highlight w:val="none"/>
        </w:rPr>
        <w:t>标委员会的其他成员有同等的表决权</w:t>
      </w:r>
      <w:r>
        <w:rPr>
          <w:rFonts w:hint="eastAsia" w:ascii="宋体" w:hAnsi="宋体" w:eastAsia="宋体" w:cs="宋体"/>
          <w:color w:val="auto"/>
          <w:spacing w:val="0"/>
          <w:sz w:val="24"/>
          <w:szCs w:val="24"/>
          <w:highlight w:val="none"/>
        </w:rPr>
        <w:t>。</w:t>
      </w:r>
    </w:p>
    <w:p w14:paraId="3773E95D">
      <w:pPr>
        <w:keepNext w:val="0"/>
        <w:keepLines w:val="0"/>
        <w:pageBreakBefore w:val="0"/>
        <w:kinsoku/>
        <w:wordWrap w:val="0"/>
        <w:overflowPunct/>
        <w:topLinePunct w:val="0"/>
        <w:bidi w:val="0"/>
        <w:spacing w:before="32" w:line="280" w:lineRule="auto"/>
        <w:ind w:left="13" w:right="84" w:rightChars="40" w:firstLine="561"/>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15.1.2  </w:t>
      </w:r>
      <w:r>
        <w:rPr>
          <w:rFonts w:hint="eastAsia" w:ascii="宋体" w:hAnsi="宋体" w:eastAsia="宋体" w:cs="宋体"/>
          <w:color w:val="auto"/>
          <w:spacing w:val="0"/>
          <w:sz w:val="24"/>
          <w:szCs w:val="24"/>
          <w:highlight w:val="none"/>
        </w:rPr>
        <w:t>评标委员会应认真、公正、诚实、廉洁地履行职责。有下列情形之一的，不得担任评标委员会成员：</w:t>
      </w:r>
    </w:p>
    <w:p w14:paraId="630ECC06">
      <w:pPr>
        <w:keepNext w:val="0"/>
        <w:keepLines w:val="0"/>
        <w:pageBreakBefore w:val="0"/>
        <w:kinsoku/>
        <w:wordWrap w:val="0"/>
        <w:overflowPunct/>
        <w:topLinePunct w:val="0"/>
        <w:bidi w:val="0"/>
        <w:spacing w:before="154" w:line="220" w:lineRule="auto"/>
        <w:ind w:left="58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（1）投标人或投标人主要负责人的近亲属；</w:t>
      </w:r>
    </w:p>
    <w:p w14:paraId="6812A920">
      <w:pPr>
        <w:keepNext w:val="0"/>
        <w:keepLines w:val="0"/>
        <w:pageBreakBefore w:val="0"/>
        <w:kinsoku/>
        <w:wordWrap w:val="0"/>
        <w:overflowPunct/>
        <w:topLinePunct w:val="0"/>
        <w:bidi w:val="0"/>
        <w:spacing w:before="153" w:line="220" w:lineRule="auto"/>
        <w:ind w:left="58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（2）项目主管部门或者行政监督部门的人员；</w:t>
      </w:r>
    </w:p>
    <w:p w14:paraId="4E3A1FF1">
      <w:pPr>
        <w:keepNext w:val="0"/>
        <w:keepLines w:val="0"/>
        <w:pageBreakBefore w:val="0"/>
        <w:kinsoku/>
        <w:wordWrap w:val="0"/>
        <w:overflowPunct/>
        <w:topLinePunct w:val="0"/>
        <w:bidi w:val="0"/>
        <w:spacing w:before="155" w:line="221" w:lineRule="auto"/>
        <w:ind w:left="58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（3）与投标人有经济利益关系，可能影响对投标公正评审的；</w:t>
      </w:r>
    </w:p>
    <w:p w14:paraId="6C955D4C">
      <w:pPr>
        <w:keepNext w:val="0"/>
        <w:keepLines w:val="0"/>
        <w:pageBreakBefore w:val="0"/>
        <w:kinsoku/>
        <w:wordWrap w:val="0"/>
        <w:overflowPunct/>
        <w:topLinePunct w:val="0"/>
        <w:bidi w:val="0"/>
        <w:spacing w:before="153" w:line="279" w:lineRule="auto"/>
        <w:ind w:left="8" w:right="84" w:rightChars="40" w:firstLine="57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（4）曾因在招标、评标以及其他与招标投标有关活动中从事违法行为而受过行政处罚或刑事处罚的。</w:t>
      </w:r>
    </w:p>
    <w:p w14:paraId="3C4B0D01">
      <w:pPr>
        <w:keepNext w:val="0"/>
        <w:keepLines w:val="0"/>
        <w:pageBreakBefore w:val="0"/>
        <w:kinsoku/>
        <w:wordWrap w:val="0"/>
        <w:overflowPunct/>
        <w:topLinePunct w:val="0"/>
        <w:bidi w:val="0"/>
        <w:spacing w:before="155" w:line="219" w:lineRule="auto"/>
        <w:ind w:left="488"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评标委员会成员有以上情形之一的，应主动提出回避。</w:t>
      </w:r>
    </w:p>
    <w:p w14:paraId="779D0486">
      <w:pPr>
        <w:keepNext w:val="0"/>
        <w:keepLines w:val="0"/>
        <w:pageBreakBefore w:val="0"/>
        <w:kinsoku/>
        <w:wordWrap w:val="0"/>
        <w:overflowPunct/>
        <w:topLinePunct w:val="0"/>
        <w:bidi w:val="0"/>
        <w:spacing w:before="154" w:line="279" w:lineRule="auto"/>
        <w:ind w:left="8" w:right="84" w:rightChars="40"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15.1.3  </w:t>
      </w:r>
      <w:r>
        <w:rPr>
          <w:rFonts w:hint="eastAsia" w:ascii="宋体" w:hAnsi="宋体" w:eastAsia="宋体" w:cs="宋体"/>
          <w:color w:val="auto"/>
          <w:spacing w:val="0"/>
          <w:sz w:val="24"/>
          <w:szCs w:val="24"/>
          <w:highlight w:val="none"/>
        </w:rPr>
        <w:t>评标全过程实行封闭式管理，在中标结果公布前，禁止评标委员会成员以任何方式私下接触投标人。</w:t>
      </w:r>
    </w:p>
    <w:p w14:paraId="4E1CA66A">
      <w:pPr>
        <w:keepNext w:val="0"/>
        <w:keepLines w:val="0"/>
        <w:pageBreakBefore w:val="0"/>
        <w:kinsoku/>
        <w:wordWrap w:val="0"/>
        <w:overflowPunct/>
        <w:topLinePunct w:val="0"/>
        <w:bidi w:val="0"/>
        <w:spacing w:before="157" w:line="298" w:lineRule="auto"/>
        <w:ind w:left="11" w:right="84" w:rightChars="40" w:firstLine="48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15.1.4  </w:t>
      </w:r>
      <w:r>
        <w:rPr>
          <w:rFonts w:hint="eastAsia" w:ascii="宋体" w:hAnsi="宋体" w:eastAsia="宋体" w:cs="宋体"/>
          <w:color w:val="auto"/>
          <w:spacing w:val="0"/>
          <w:sz w:val="24"/>
          <w:szCs w:val="24"/>
          <w:highlight w:val="none"/>
        </w:rPr>
        <w:t>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2761184C">
      <w:pPr>
        <w:keepNext w:val="0"/>
        <w:keepLines w:val="0"/>
        <w:pageBreakBefore w:val="0"/>
        <w:kinsoku/>
        <w:wordWrap w:val="0"/>
        <w:overflowPunct/>
        <w:topLinePunct w:val="0"/>
        <w:bidi w:val="0"/>
        <w:spacing w:before="156" w:line="309" w:lineRule="auto"/>
        <w:ind w:left="8" w:right="84" w:rightChars="40" w:firstLine="56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15.1.5  </w:t>
      </w:r>
      <w:r>
        <w:rPr>
          <w:rFonts w:hint="eastAsia" w:ascii="宋体" w:hAnsi="宋体" w:eastAsia="宋体" w:cs="宋体"/>
          <w:color w:val="auto"/>
          <w:spacing w:val="0"/>
          <w:sz w:val="24"/>
          <w:szCs w:val="24"/>
          <w:highlight w:val="none"/>
        </w:rPr>
        <w:t>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3267A2AD">
      <w:pPr>
        <w:keepNext w:val="0"/>
        <w:keepLines w:val="0"/>
        <w:pageBreakBefore w:val="0"/>
        <w:kinsoku/>
        <w:wordWrap w:val="0"/>
        <w:overflowPunct/>
        <w:topLinePunct w:val="0"/>
        <w:bidi w:val="0"/>
        <w:spacing w:before="79" w:line="221" w:lineRule="auto"/>
        <w:ind w:left="577" w:right="84" w:rightChars="40"/>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15.2  </w:t>
      </w:r>
      <w:r>
        <w:rPr>
          <w:rFonts w:hint="eastAsia" w:ascii="宋体" w:hAnsi="宋体" w:eastAsia="宋体" w:cs="宋体"/>
          <w:color w:val="auto"/>
          <w:spacing w:val="0"/>
          <w:sz w:val="24"/>
          <w:szCs w:val="24"/>
          <w:highlight w:val="none"/>
        </w:rPr>
        <w:t>评标方法</w:t>
      </w:r>
    </w:p>
    <w:p w14:paraId="31CCE9AE">
      <w:pPr>
        <w:keepNext w:val="0"/>
        <w:keepLines w:val="0"/>
        <w:pageBreakBefore w:val="0"/>
        <w:kinsoku/>
        <w:wordWrap w:val="0"/>
        <w:overflowPunct/>
        <w:topLinePunct w:val="0"/>
        <w:bidi w:val="0"/>
        <w:spacing w:before="78" w:line="326" w:lineRule="auto"/>
        <w:ind w:left="231" w:right="84" w:rightChars="40" w:firstLine="560"/>
        <w:rPr>
          <w:rFonts w:hint="eastAsia" w:ascii="宋体" w:hAnsi="宋体" w:eastAsia="宋体" w:cs="宋体"/>
          <w:color w:val="auto"/>
          <w:spacing w:val="0"/>
          <w:highlight w:val="none"/>
        </w:rPr>
      </w:pPr>
      <w:bookmarkStart w:id="86" w:name="bookmark125"/>
      <w:bookmarkEnd w:id="86"/>
      <w:r>
        <w:rPr>
          <w:rFonts w:hint="eastAsia" w:ascii="宋体" w:hAnsi="宋体" w:eastAsia="宋体" w:cs="宋体"/>
          <w:color w:val="auto"/>
          <w:spacing w:val="0"/>
          <w:sz w:val="24"/>
          <w:szCs w:val="24"/>
          <w:highlight w:val="none"/>
        </w:rPr>
        <w:t>根据有关法律、法规的相关规定，结合本招标项目资金来源和规模特点，本次招标采用</w:t>
      </w:r>
      <w:r>
        <w:rPr>
          <w:rFonts w:hint="eastAsia" w:ascii="宋体" w:hAnsi="宋体" w:eastAsia="宋体" w:cs="宋体"/>
          <w:b/>
          <w:bCs/>
          <w:color w:val="auto"/>
          <w:spacing w:val="0"/>
          <w:sz w:val="24"/>
          <w:szCs w:val="24"/>
          <w:highlight w:val="none"/>
          <w:u w:val="single"/>
        </w:rPr>
        <w:t xml:space="preserve"> 综合评估法 </w:t>
      </w:r>
      <w:r>
        <w:rPr>
          <w:rFonts w:hint="eastAsia" w:ascii="宋体" w:hAnsi="宋体" w:eastAsia="宋体" w:cs="宋体"/>
          <w:color w:val="auto"/>
          <w:spacing w:val="0"/>
          <w:sz w:val="24"/>
          <w:szCs w:val="24"/>
          <w:highlight w:val="none"/>
          <w:u w:val="single"/>
        </w:rPr>
        <w:t>（</w:t>
      </w:r>
      <w:r>
        <w:rPr>
          <w:rFonts w:hint="eastAsia" w:ascii="宋体" w:hAnsi="宋体" w:eastAsia="宋体" w:cs="宋体"/>
          <w:color w:val="auto"/>
          <w:spacing w:val="0"/>
          <w:sz w:val="24"/>
          <w:szCs w:val="24"/>
          <w:highlight w:val="none"/>
        </w:rPr>
        <w:t>评标方法名称）进行评标。</w:t>
      </w:r>
    </w:p>
    <w:p w14:paraId="444FBDD2">
      <w:pPr>
        <w:keepNext w:val="0"/>
        <w:keepLines w:val="0"/>
        <w:pageBreakBefore w:val="0"/>
        <w:kinsoku/>
        <w:wordWrap w:val="0"/>
        <w:overflowPunct/>
        <w:topLinePunct w:val="0"/>
        <w:bidi w:val="0"/>
        <w:spacing w:before="154" w:line="269" w:lineRule="auto"/>
        <w:ind w:left="220" w:right="84" w:rightChars="40" w:firstLine="496"/>
        <w:rPr>
          <w:rFonts w:hint="eastAsia" w:ascii="宋体" w:hAnsi="宋体" w:eastAsia="宋体" w:cs="宋体"/>
          <w:color w:val="auto"/>
          <w:spacing w:val="0"/>
          <w:sz w:val="25"/>
          <w:szCs w:val="25"/>
          <w:highlight w:val="none"/>
        </w:rPr>
      </w:pPr>
      <w:r>
        <w:rPr>
          <w:rFonts w:hint="eastAsia" w:ascii="宋体" w:hAnsi="宋体" w:eastAsia="宋体" w:cs="宋体"/>
          <w:b/>
          <w:bCs/>
          <w:color w:val="auto"/>
          <w:spacing w:val="0"/>
          <w:sz w:val="24"/>
          <w:szCs w:val="24"/>
          <w:highlight w:val="none"/>
        </w:rPr>
        <w:t xml:space="preserve">15.3  </w:t>
      </w:r>
      <w:r>
        <w:rPr>
          <w:rFonts w:hint="eastAsia" w:ascii="宋体" w:hAnsi="宋体" w:eastAsia="宋体" w:cs="宋体"/>
          <w:color w:val="auto"/>
          <w:spacing w:val="0"/>
          <w:sz w:val="24"/>
          <w:szCs w:val="24"/>
          <w:highlight w:val="none"/>
        </w:rPr>
        <w:t>评审范围：评标委员会应对所有投标人的投标文件进行评审。</w:t>
      </w:r>
    </w:p>
    <w:p w14:paraId="0A158934">
      <w:pPr>
        <w:keepNext w:val="0"/>
        <w:keepLines w:val="0"/>
        <w:pageBreakBefore w:val="0"/>
        <w:kinsoku/>
        <w:wordWrap w:val="0"/>
        <w:overflowPunct/>
        <w:topLinePunct w:val="0"/>
        <w:bidi w:val="0"/>
        <w:spacing w:before="153" w:line="220" w:lineRule="auto"/>
        <w:ind w:left="716"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15.4  </w:t>
      </w:r>
      <w:r>
        <w:rPr>
          <w:rFonts w:hint="eastAsia" w:ascii="宋体" w:hAnsi="宋体" w:eastAsia="宋体" w:cs="宋体"/>
          <w:color w:val="auto"/>
          <w:spacing w:val="0"/>
          <w:sz w:val="24"/>
          <w:szCs w:val="24"/>
          <w:highlight w:val="none"/>
        </w:rPr>
        <w:t>初步评审阶段</w:t>
      </w:r>
    </w:p>
    <w:p w14:paraId="0814EC29">
      <w:pPr>
        <w:keepNext w:val="0"/>
        <w:keepLines w:val="0"/>
        <w:pageBreakBefore w:val="0"/>
        <w:kinsoku/>
        <w:wordWrap w:val="0"/>
        <w:overflowPunct/>
        <w:topLinePunct w:val="0"/>
        <w:bidi w:val="0"/>
        <w:spacing w:before="153" w:line="220" w:lineRule="auto"/>
        <w:ind w:left="709"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初步评审阶段分为资格评审、形式评审和响应性评审三个环节。</w:t>
      </w:r>
    </w:p>
    <w:p w14:paraId="58B00498">
      <w:pPr>
        <w:keepNext w:val="0"/>
        <w:keepLines w:val="0"/>
        <w:pageBreakBefore w:val="0"/>
        <w:tabs>
          <w:tab w:val="left" w:pos="3360"/>
        </w:tabs>
        <w:kinsoku/>
        <w:wordWrap w:val="0"/>
        <w:overflowPunct/>
        <w:topLinePunct w:val="0"/>
        <w:bidi w:val="0"/>
        <w:spacing w:before="155" w:line="279" w:lineRule="auto"/>
        <w:ind w:left="719" w:right="84" w:rightChars="40" w:hanging="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15.4.1 </w:t>
      </w:r>
      <w:r>
        <w:rPr>
          <w:rFonts w:hint="eastAsia" w:ascii="宋体" w:hAnsi="宋体" w:eastAsia="宋体" w:cs="宋体"/>
          <w:color w:val="auto"/>
          <w:spacing w:val="0"/>
          <w:sz w:val="24"/>
          <w:szCs w:val="24"/>
          <w:highlight w:val="none"/>
        </w:rPr>
        <w:t xml:space="preserve"> 资格评审环节 资格评审事项</w:t>
      </w:r>
      <w:r>
        <w:rPr>
          <w:rFonts w:hint="eastAsia" w:ascii="宋体" w:hAnsi="宋体" w:eastAsia="宋体" w:cs="宋体"/>
          <w:color w:val="auto"/>
          <w:spacing w:val="0"/>
          <w:sz w:val="24"/>
          <w:szCs w:val="24"/>
          <w:highlight w:val="none"/>
          <w:lang w:val="en-US" w:eastAsia="zh-CN"/>
        </w:rPr>
        <w:t>包括</w:t>
      </w:r>
      <w:r>
        <w:rPr>
          <w:rFonts w:hint="eastAsia" w:ascii="宋体" w:hAnsi="宋体" w:eastAsia="宋体" w:cs="宋体"/>
          <w:color w:val="auto"/>
          <w:spacing w:val="0"/>
          <w:sz w:val="24"/>
          <w:szCs w:val="24"/>
          <w:highlight w:val="none"/>
        </w:rPr>
        <w:t>：</w:t>
      </w:r>
    </w:p>
    <w:p w14:paraId="18695609">
      <w:pPr>
        <w:keepNext w:val="0"/>
        <w:keepLines w:val="0"/>
        <w:pageBreakBefore w:val="0"/>
        <w:kinsoku/>
        <w:wordWrap w:val="0"/>
        <w:overflowPunct/>
        <w:topLinePunct w:val="0"/>
        <w:bidi w:val="0"/>
        <w:spacing w:before="152" w:line="315" w:lineRule="auto"/>
        <w:ind w:left="231"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（1）投标人是否符合本章第三节第 </w:t>
      </w:r>
      <w:r>
        <w:rPr>
          <w:rFonts w:hint="eastAsia" w:ascii="宋体" w:hAnsi="宋体" w:eastAsia="宋体" w:cs="宋体"/>
          <w:b/>
          <w:bCs/>
          <w:color w:val="auto"/>
          <w:spacing w:val="0"/>
          <w:sz w:val="24"/>
          <w:szCs w:val="24"/>
          <w:highlight w:val="none"/>
        </w:rPr>
        <w:t xml:space="preserve">2.4 </w:t>
      </w:r>
      <w:r>
        <w:rPr>
          <w:rFonts w:hint="eastAsia" w:ascii="宋体" w:hAnsi="宋体" w:eastAsia="宋体" w:cs="宋体"/>
          <w:color w:val="auto"/>
          <w:spacing w:val="0"/>
          <w:sz w:val="24"/>
          <w:szCs w:val="24"/>
          <w:highlight w:val="none"/>
        </w:rPr>
        <w:t>条“禁止投标条款 ”规定。如果“禁止投标条款 ”包括失信惩戒的，投标人信用信息的获取采用现场实时查询的方式实施。由</w:t>
      </w:r>
      <w:r>
        <w:rPr>
          <w:rFonts w:hint="eastAsia" w:ascii="宋体" w:hAnsi="宋体" w:eastAsia="宋体" w:cs="宋体"/>
          <w:color w:val="auto"/>
          <w:spacing w:val="0"/>
          <w:sz w:val="24"/>
          <w:szCs w:val="24"/>
          <w:highlight w:val="none"/>
          <w:lang w:val="en-US" w:eastAsia="zh-CN"/>
        </w:rPr>
        <w:t>评标委员会</w:t>
      </w:r>
      <w:r>
        <w:rPr>
          <w:rFonts w:hint="eastAsia" w:ascii="宋体" w:hAnsi="宋体" w:eastAsia="宋体" w:cs="宋体"/>
          <w:color w:val="auto"/>
          <w:spacing w:val="0"/>
          <w:sz w:val="24"/>
          <w:szCs w:val="24"/>
          <w:highlight w:val="none"/>
        </w:rPr>
        <w:t xml:space="preserve">登录信用中国网站（https://www.creditchina.gov.cn），在企业查询界面下载和打印《法人和非法人组织公共信用信息报告》。 </w:t>
      </w:r>
    </w:p>
    <w:p w14:paraId="375F7385">
      <w:pPr>
        <w:keepNext w:val="0"/>
        <w:keepLines w:val="0"/>
        <w:pageBreakBefore w:val="0"/>
        <w:kinsoku/>
        <w:wordWrap w:val="0"/>
        <w:overflowPunct/>
        <w:topLinePunct w:val="0"/>
        <w:bidi w:val="0"/>
        <w:spacing w:before="155" w:line="219" w:lineRule="auto"/>
        <w:ind w:left="72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（2）投标人名称是否与营业执照、资质证书、安全生产许可证一致。</w:t>
      </w:r>
    </w:p>
    <w:p w14:paraId="164D7887">
      <w:pPr>
        <w:keepNext w:val="0"/>
        <w:keepLines w:val="0"/>
        <w:pageBreakBefore w:val="0"/>
        <w:widowControl/>
        <w:kinsoku/>
        <w:wordWrap w:val="0"/>
        <w:overflowPunct/>
        <w:topLinePunct w:val="0"/>
        <w:autoSpaceDE w:val="0"/>
        <w:autoSpaceDN w:val="0"/>
        <w:bidi w:val="0"/>
        <w:adjustRightInd w:val="0"/>
        <w:snapToGrid w:val="0"/>
        <w:spacing w:before="155" w:line="286" w:lineRule="auto"/>
        <w:ind w:left="232" w:right="84" w:rightChars="40"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（3）投标人的资质是否符合招标文件规定；其营业执照、资质证书、安全生产许可证（含实时网页查询页，可参考网址 https://zlaq.mohurd.gov.cn/fwmh/bjxcjgl/fwm</w:t>
      </w:r>
      <w:bookmarkStart w:id="87" w:name="bookmark126"/>
      <w:bookmarkEnd w:id="87"/>
      <w:r>
        <w:rPr>
          <w:rFonts w:hint="eastAsia" w:ascii="宋体" w:hAnsi="宋体" w:eastAsia="宋体" w:cs="宋体"/>
          <w:color w:val="auto"/>
          <w:spacing w:val="0"/>
          <w:position w:val="3"/>
          <w:sz w:val="24"/>
          <w:szCs w:val="24"/>
          <w:highlight w:val="none"/>
        </w:rPr>
        <w:t>h/pages/construction_safety/qyaqscxkz/qyaqscxkz）是否合法、有效、准确。</w:t>
      </w:r>
    </w:p>
    <w:p w14:paraId="540CBBB1">
      <w:pPr>
        <w:keepNext w:val="0"/>
        <w:keepLines w:val="0"/>
        <w:pageBreakBefore w:val="0"/>
        <w:kinsoku/>
        <w:wordWrap w:val="0"/>
        <w:overflowPunct/>
        <w:topLinePunct w:val="0"/>
        <w:bidi w:val="0"/>
        <w:spacing w:before="144" w:line="219"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（4）《项目经理简历表》中拟派项目经理是否与《开标一览表》一致。</w:t>
      </w:r>
    </w:p>
    <w:p w14:paraId="6B9B0D89">
      <w:pPr>
        <w:keepNext w:val="0"/>
        <w:keepLines w:val="0"/>
        <w:pageBreakBefore w:val="0"/>
        <w:kinsoku/>
        <w:wordWrap w:val="0"/>
        <w:overflowPunct/>
        <w:topLinePunct w:val="0"/>
        <w:bidi w:val="0"/>
        <w:spacing w:before="151" w:line="315" w:lineRule="auto"/>
        <w:ind w:left="11" w:right="84" w:rightChars="40"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拟派项目经理、项目技术负责人、专职安全员的条件是否符合招标文件规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33FF0F7A">
      <w:pPr>
        <w:keepNext w:val="0"/>
        <w:keepLines w:val="0"/>
        <w:pageBreakBefore w:val="0"/>
        <w:kinsoku/>
        <w:wordWrap w:val="0"/>
        <w:overflowPunct/>
        <w:topLinePunct w:val="0"/>
        <w:bidi w:val="0"/>
        <w:spacing w:before="156" w:line="298" w:lineRule="auto"/>
        <w:ind w:left="9" w:right="84" w:rightChars="40"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联合体投标的，是否提交《联合体协议书》；是否擅自修改、遗漏《联合体协议书》的实质性内容；联合体成员的数量、资质是否符合招标文件规定；联合体成员是否以自己名义单独或者参加其他联合体参与本招标项目投标。</w:t>
      </w:r>
    </w:p>
    <w:p w14:paraId="12F54F61">
      <w:pPr>
        <w:keepNext w:val="0"/>
        <w:keepLines w:val="0"/>
        <w:pageBreakBefore w:val="0"/>
        <w:kinsoku/>
        <w:wordWrap w:val="0"/>
        <w:overflowPunct/>
        <w:topLinePunct w:val="0"/>
        <w:bidi w:val="0"/>
        <w:spacing w:before="155" w:line="360" w:lineRule="auto"/>
        <w:ind w:left="8" w:right="84" w:rightChars="40"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（7）投标人为外省建筑企业的，是否按规定在“进粤企业和人员诚信信息登记平台 ”录入企业及其拟派人员有关信息并通过数据规范检查。</w:t>
      </w:r>
    </w:p>
    <w:p w14:paraId="27E19AD3">
      <w:pPr>
        <w:keepNext w:val="0"/>
        <w:keepLines w:val="0"/>
        <w:pageBreakBefore w:val="0"/>
        <w:kinsoku/>
        <w:wordWrap w:val="0"/>
        <w:overflowPunct/>
        <w:topLinePunct w:val="0"/>
        <w:bidi w:val="0"/>
        <w:spacing w:before="15" w:line="360" w:lineRule="auto"/>
        <w:ind w:right="84" w:rightChars="40" w:firstLine="482" w:firstLineChars="200"/>
        <w:jc w:val="both"/>
        <w:outlineLvl w:val="9"/>
        <w:rPr>
          <w:rFonts w:hint="eastAsia" w:ascii="宋体" w:hAnsi="宋体" w:eastAsia="宋体" w:cs="宋体"/>
          <w:color w:val="auto"/>
          <w:spacing w:val="0"/>
          <w:sz w:val="24"/>
          <w:szCs w:val="24"/>
          <w:highlight w:val="none"/>
        </w:rPr>
      </w:pPr>
      <w:bookmarkStart w:id="88" w:name="_Toc22778"/>
      <w:r>
        <w:rPr>
          <w:rFonts w:hint="eastAsia" w:ascii="宋体" w:hAnsi="宋体" w:eastAsia="宋体" w:cs="宋体"/>
          <w:b/>
          <w:bCs/>
          <w:color w:val="auto"/>
          <w:spacing w:val="0"/>
          <w:sz w:val="24"/>
          <w:szCs w:val="24"/>
          <w:highlight w:val="none"/>
        </w:rPr>
        <w:t xml:space="preserve">15.4.2 </w:t>
      </w:r>
      <w:r>
        <w:rPr>
          <w:rFonts w:hint="eastAsia" w:ascii="宋体" w:hAnsi="宋体" w:eastAsia="宋体" w:cs="宋体"/>
          <w:color w:val="auto"/>
          <w:spacing w:val="0"/>
          <w:sz w:val="24"/>
          <w:szCs w:val="24"/>
          <w:highlight w:val="none"/>
        </w:rPr>
        <w:t xml:space="preserve"> 形式评审环节</w:t>
      </w:r>
    </w:p>
    <w:p w14:paraId="72253524">
      <w:pPr>
        <w:keepNext w:val="0"/>
        <w:keepLines w:val="0"/>
        <w:pageBreakBefore w:val="0"/>
        <w:kinsoku/>
        <w:wordWrap w:val="0"/>
        <w:overflowPunct/>
        <w:topLinePunct w:val="0"/>
        <w:bidi w:val="0"/>
        <w:spacing w:before="15" w:line="360" w:lineRule="auto"/>
        <w:ind w:right="84" w:rightChars="40" w:firstLine="480" w:firstLineChars="200"/>
        <w:jc w:val="both"/>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形式评审事</w:t>
      </w:r>
      <w:r>
        <w:rPr>
          <w:rFonts w:hint="eastAsia" w:ascii="宋体" w:hAnsi="宋体" w:eastAsia="宋体" w:cs="宋体"/>
          <w:color w:val="auto"/>
          <w:spacing w:val="0"/>
          <w:sz w:val="24"/>
          <w:szCs w:val="24"/>
          <w:highlight w:val="none"/>
          <w:lang w:eastAsia="zh-CN"/>
        </w:rPr>
        <w:t>项包括</w:t>
      </w:r>
      <w:bookmarkEnd w:id="88"/>
      <w:r>
        <w:rPr>
          <w:rFonts w:hint="eastAsia" w:ascii="宋体" w:hAnsi="宋体" w:eastAsia="宋体" w:cs="宋体"/>
          <w:color w:val="auto"/>
          <w:spacing w:val="0"/>
          <w:sz w:val="24"/>
          <w:szCs w:val="24"/>
          <w:highlight w:val="none"/>
          <w:lang w:eastAsia="zh-CN"/>
        </w:rPr>
        <w:t>：</w:t>
      </w:r>
    </w:p>
    <w:p w14:paraId="4EA57E30">
      <w:pPr>
        <w:keepNext w:val="0"/>
        <w:keepLines w:val="0"/>
        <w:pageBreakBefore w:val="0"/>
        <w:kinsoku/>
        <w:wordWrap w:val="0"/>
        <w:overflowPunct/>
        <w:topLinePunct w:val="0"/>
        <w:bidi w:val="0"/>
        <w:spacing w:before="40" w:line="360" w:lineRule="auto"/>
        <w:ind w:left="501" w:right="84" w:rightChars="40"/>
        <w:outlineLvl w:val="9"/>
        <w:rPr>
          <w:rFonts w:hint="eastAsia" w:ascii="宋体" w:hAnsi="宋体" w:eastAsia="宋体" w:cs="宋体"/>
          <w:color w:val="auto"/>
          <w:spacing w:val="0"/>
          <w:sz w:val="24"/>
          <w:szCs w:val="24"/>
          <w:highlight w:val="none"/>
        </w:rPr>
      </w:pPr>
      <w:bookmarkStart w:id="89" w:name="_Toc20481"/>
      <w:bookmarkStart w:id="90" w:name="_Toc13304"/>
      <w:bookmarkStart w:id="91" w:name="_Toc4914"/>
      <w:bookmarkStart w:id="92" w:name="_Toc23632"/>
      <w:r>
        <w:rPr>
          <w:rFonts w:hint="eastAsia" w:ascii="宋体" w:hAnsi="宋体" w:eastAsia="宋体" w:cs="宋体"/>
          <w:color w:val="auto"/>
          <w:spacing w:val="0"/>
          <w:sz w:val="24"/>
          <w:szCs w:val="24"/>
          <w:highlight w:val="none"/>
        </w:rPr>
        <w:t>（1）各分册是否按招标文件规定加盖电子印章。</w:t>
      </w:r>
      <w:bookmarkEnd w:id="89"/>
      <w:bookmarkEnd w:id="90"/>
      <w:bookmarkEnd w:id="91"/>
      <w:bookmarkEnd w:id="92"/>
    </w:p>
    <w:p w14:paraId="1B27A302">
      <w:pPr>
        <w:keepNext w:val="0"/>
        <w:keepLines w:val="0"/>
        <w:pageBreakBefore w:val="0"/>
        <w:kinsoku/>
        <w:wordWrap w:val="0"/>
        <w:overflowPunct/>
        <w:topLinePunct w:val="0"/>
        <w:bidi w:val="0"/>
        <w:spacing w:before="15" w:line="360" w:lineRule="auto"/>
        <w:ind w:right="84" w:rightChars="40" w:firstLine="480" w:firstLineChars="200"/>
        <w:outlineLvl w:val="9"/>
        <w:rPr>
          <w:rFonts w:hint="eastAsia" w:ascii="宋体" w:hAnsi="宋体" w:eastAsia="宋体" w:cs="宋体"/>
          <w:color w:val="auto"/>
          <w:spacing w:val="0"/>
          <w:sz w:val="24"/>
          <w:szCs w:val="24"/>
          <w:highlight w:val="none"/>
          <w:lang w:eastAsia="zh-CN"/>
        </w:rPr>
      </w:pPr>
      <w:bookmarkStart w:id="93" w:name="_Toc27432"/>
      <w:bookmarkStart w:id="94" w:name="_Toc10806"/>
      <w:bookmarkStart w:id="95" w:name="_Toc28409"/>
      <w:bookmarkStart w:id="96" w:name="_Toc12756"/>
      <w:r>
        <w:rPr>
          <w:rFonts w:hint="eastAsia" w:ascii="宋体" w:hAnsi="宋体" w:eastAsia="宋体" w:cs="宋体"/>
          <w:color w:val="auto"/>
          <w:spacing w:val="0"/>
          <w:sz w:val="24"/>
          <w:szCs w:val="24"/>
          <w:highlight w:val="none"/>
        </w:rPr>
        <w:t>（2）本节第</w:t>
      </w:r>
      <w:r>
        <w:rPr>
          <w:rFonts w:hint="eastAsia" w:ascii="宋体" w:hAnsi="宋体" w:eastAsia="宋体" w:cs="宋体"/>
          <w:b/>
          <w:bCs/>
          <w:color w:val="auto"/>
          <w:spacing w:val="0"/>
          <w:sz w:val="24"/>
          <w:szCs w:val="24"/>
          <w:highlight w:val="none"/>
        </w:rPr>
        <w:t xml:space="preserve"> 10.2.2 </w:t>
      </w:r>
      <w:r>
        <w:rPr>
          <w:rFonts w:hint="eastAsia" w:ascii="宋体" w:hAnsi="宋体" w:eastAsia="宋体" w:cs="宋体"/>
          <w:color w:val="auto"/>
          <w:spacing w:val="0"/>
          <w:sz w:val="24"/>
          <w:szCs w:val="24"/>
          <w:highlight w:val="none"/>
        </w:rPr>
        <w:t xml:space="preserve">目、第 </w:t>
      </w:r>
      <w:r>
        <w:rPr>
          <w:rFonts w:hint="eastAsia" w:ascii="宋体" w:hAnsi="宋体" w:eastAsia="宋体" w:cs="宋体"/>
          <w:b/>
          <w:bCs/>
          <w:color w:val="auto"/>
          <w:spacing w:val="0"/>
          <w:sz w:val="24"/>
          <w:szCs w:val="24"/>
          <w:highlight w:val="none"/>
        </w:rPr>
        <w:t xml:space="preserve">10.3.2 </w:t>
      </w:r>
      <w:r>
        <w:rPr>
          <w:rFonts w:hint="eastAsia" w:ascii="宋体" w:hAnsi="宋体" w:eastAsia="宋体" w:cs="宋体"/>
          <w:color w:val="auto"/>
          <w:spacing w:val="0"/>
          <w:sz w:val="24"/>
          <w:szCs w:val="24"/>
          <w:highlight w:val="none"/>
        </w:rPr>
        <w:t>目、第</w:t>
      </w:r>
      <w:r>
        <w:rPr>
          <w:rFonts w:hint="eastAsia" w:ascii="宋体" w:hAnsi="宋体" w:eastAsia="宋体" w:cs="宋体"/>
          <w:b/>
          <w:bCs/>
          <w:color w:val="auto"/>
          <w:spacing w:val="0"/>
          <w:sz w:val="24"/>
          <w:szCs w:val="24"/>
          <w:highlight w:val="none"/>
        </w:rPr>
        <w:t xml:space="preserve"> 10.4.3 </w:t>
      </w:r>
      <w:r>
        <w:rPr>
          <w:rFonts w:hint="eastAsia" w:ascii="宋体" w:hAnsi="宋体" w:eastAsia="宋体" w:cs="宋体"/>
          <w:color w:val="auto"/>
          <w:spacing w:val="0"/>
          <w:sz w:val="24"/>
          <w:szCs w:val="24"/>
          <w:highlight w:val="none"/>
        </w:rPr>
        <w:t>目</w:t>
      </w:r>
      <w:r>
        <w:rPr>
          <w:rFonts w:hint="eastAsia" w:ascii="宋体" w:hAnsi="宋体" w:eastAsia="宋体" w:cs="宋体"/>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eastAsia="zh-CN"/>
        </w:rPr>
        <w:t>10.5.2</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val="0"/>
          <w:bCs w:val="0"/>
          <w:color w:val="auto"/>
          <w:spacing w:val="0"/>
          <w:sz w:val="24"/>
          <w:szCs w:val="24"/>
          <w:highlight w:val="none"/>
          <w:lang w:val="en-US" w:eastAsia="zh-CN"/>
        </w:rPr>
        <w:t>目</w:t>
      </w:r>
      <w:r>
        <w:rPr>
          <w:rFonts w:hint="eastAsia" w:ascii="宋体" w:hAnsi="宋体" w:eastAsia="宋体" w:cs="宋体"/>
          <w:color w:val="auto"/>
          <w:spacing w:val="0"/>
          <w:sz w:val="24"/>
          <w:szCs w:val="24"/>
          <w:highlight w:val="none"/>
        </w:rPr>
        <w:t>中规定的“所有投标人均应提</w:t>
      </w:r>
      <w:bookmarkEnd w:id="93"/>
      <w:bookmarkEnd w:id="94"/>
      <w:bookmarkEnd w:id="95"/>
      <w:r>
        <w:rPr>
          <w:rFonts w:hint="eastAsia" w:ascii="宋体" w:hAnsi="宋体" w:eastAsia="宋体" w:cs="宋体"/>
          <w:color w:val="auto"/>
          <w:spacing w:val="0"/>
          <w:sz w:val="24"/>
          <w:szCs w:val="24"/>
          <w:highlight w:val="none"/>
        </w:rPr>
        <w:t>供 ”的组成内容（包括该组成内容的所附资料）是否完整、齐全</w:t>
      </w:r>
      <w:bookmarkEnd w:id="96"/>
      <w:r>
        <w:rPr>
          <w:rFonts w:hint="eastAsia" w:ascii="宋体" w:hAnsi="宋体" w:eastAsia="宋体" w:cs="宋体"/>
          <w:color w:val="auto"/>
          <w:spacing w:val="0"/>
          <w:sz w:val="24"/>
          <w:szCs w:val="24"/>
          <w:highlight w:val="none"/>
          <w:lang w:eastAsia="zh-CN"/>
        </w:rPr>
        <w:t>。</w:t>
      </w:r>
    </w:p>
    <w:p w14:paraId="15AF52E2">
      <w:pPr>
        <w:keepNext w:val="0"/>
        <w:keepLines w:val="0"/>
        <w:pageBreakBefore w:val="0"/>
        <w:kinsoku/>
        <w:wordWrap w:val="0"/>
        <w:overflowPunct/>
        <w:topLinePunct w:val="0"/>
        <w:bidi w:val="0"/>
        <w:spacing w:before="15" w:line="360" w:lineRule="auto"/>
        <w:ind w:right="84" w:rightChars="40" w:firstLine="480" w:firstLineChars="200"/>
        <w:jc w:val="both"/>
        <w:outlineLvl w:val="9"/>
        <w:rPr>
          <w:rFonts w:hint="eastAsia" w:ascii="宋体" w:hAnsi="宋体" w:eastAsia="宋体" w:cs="宋体"/>
          <w:color w:val="auto"/>
          <w:spacing w:val="0"/>
          <w:sz w:val="24"/>
          <w:szCs w:val="24"/>
          <w:highlight w:val="none"/>
        </w:rPr>
      </w:pPr>
      <w:bookmarkStart w:id="97" w:name="_Toc9581"/>
      <w:bookmarkStart w:id="98" w:name="_Toc22691"/>
      <w:bookmarkStart w:id="99" w:name="_Toc17918"/>
      <w:bookmarkStart w:id="100" w:name="_Toc15678"/>
      <w:r>
        <w:rPr>
          <w:rFonts w:hint="eastAsia" w:ascii="宋体" w:hAnsi="宋体" w:eastAsia="宋体" w:cs="宋体"/>
          <w:color w:val="auto"/>
          <w:spacing w:val="0"/>
          <w:sz w:val="24"/>
          <w:szCs w:val="24"/>
          <w:highlight w:val="none"/>
          <w:lang w:eastAsia="zh-CN"/>
        </w:rPr>
        <w:t>（3）</w:t>
      </w:r>
      <w:r>
        <w:rPr>
          <w:rFonts w:hint="eastAsia" w:ascii="宋体" w:hAnsi="宋体" w:eastAsia="宋体" w:cs="宋体"/>
          <w:color w:val="auto"/>
          <w:spacing w:val="0"/>
          <w:sz w:val="24"/>
          <w:szCs w:val="24"/>
          <w:highlight w:val="none"/>
        </w:rPr>
        <w:t>施工组织设计采用“暗标 ”方式进行评审的，施工组织设计的规格颜色、文字排版、正文篇幅（若有）是否符合规定；其任何部位是否出现手写以及涂改、行间插字或删除痕迹；其任何部位是否出现投标人的名称和其它可识别投标人身份的字符、徽标、人员名称以及其他特殊标记。</w:t>
      </w:r>
      <w:bookmarkEnd w:id="97"/>
      <w:bookmarkEnd w:id="98"/>
      <w:bookmarkEnd w:id="99"/>
      <w:bookmarkEnd w:id="100"/>
      <w:r>
        <w:rPr>
          <w:rFonts w:hint="eastAsia" w:ascii="宋体" w:hAnsi="宋体" w:eastAsia="宋体" w:cs="宋体"/>
          <w:b/>
          <w:bCs/>
          <w:color w:val="auto"/>
          <w:spacing w:val="0"/>
          <w:sz w:val="24"/>
          <w:szCs w:val="24"/>
          <w:highlight w:val="none"/>
          <w:lang w:val="en-US" w:eastAsia="zh-CN"/>
        </w:rPr>
        <w:t>（本次招标项目不适用）</w:t>
      </w:r>
    </w:p>
    <w:p w14:paraId="5B0B29C4">
      <w:pPr>
        <w:keepNext w:val="0"/>
        <w:keepLines w:val="0"/>
        <w:pageBreakBefore w:val="0"/>
        <w:kinsoku/>
        <w:wordWrap w:val="0"/>
        <w:overflowPunct/>
        <w:topLinePunct w:val="0"/>
        <w:bidi w:val="0"/>
        <w:spacing w:before="15" w:line="360" w:lineRule="auto"/>
        <w:ind w:right="84" w:rightChars="40" w:firstLine="482" w:firstLineChars="200"/>
        <w:jc w:val="both"/>
        <w:outlineLvl w:val="9"/>
        <w:rPr>
          <w:rFonts w:hint="eastAsia" w:ascii="宋体" w:hAnsi="宋体" w:eastAsia="宋体" w:cs="宋体"/>
          <w:color w:val="auto"/>
          <w:spacing w:val="0"/>
          <w:sz w:val="24"/>
          <w:szCs w:val="24"/>
          <w:highlight w:val="none"/>
        </w:rPr>
      </w:pPr>
      <w:bookmarkStart w:id="101" w:name="_Toc22562"/>
      <w:bookmarkStart w:id="102" w:name="_Toc16645"/>
      <w:bookmarkStart w:id="103" w:name="_Toc14202"/>
      <w:bookmarkStart w:id="104" w:name="_Toc22642"/>
      <w:r>
        <w:rPr>
          <w:rFonts w:hint="eastAsia" w:ascii="宋体" w:hAnsi="宋体" w:eastAsia="宋体" w:cs="宋体"/>
          <w:b/>
          <w:bCs/>
          <w:color w:val="auto"/>
          <w:spacing w:val="0"/>
          <w:sz w:val="24"/>
          <w:szCs w:val="24"/>
          <w:highlight w:val="none"/>
        </w:rPr>
        <w:t xml:space="preserve">15.4.3  </w:t>
      </w:r>
      <w:r>
        <w:rPr>
          <w:rFonts w:hint="eastAsia" w:ascii="宋体" w:hAnsi="宋体" w:eastAsia="宋体" w:cs="宋体"/>
          <w:color w:val="auto"/>
          <w:spacing w:val="0"/>
          <w:sz w:val="24"/>
          <w:szCs w:val="24"/>
          <w:highlight w:val="none"/>
        </w:rPr>
        <w:t xml:space="preserve">响应性评审环节 </w:t>
      </w:r>
    </w:p>
    <w:p w14:paraId="69F5E200">
      <w:pPr>
        <w:keepNext w:val="0"/>
        <w:keepLines w:val="0"/>
        <w:pageBreakBefore w:val="0"/>
        <w:kinsoku/>
        <w:wordWrap w:val="0"/>
        <w:overflowPunct/>
        <w:topLinePunct w:val="0"/>
        <w:bidi w:val="0"/>
        <w:spacing w:before="15" w:line="360" w:lineRule="auto"/>
        <w:ind w:right="84" w:rightChars="40" w:firstLine="480" w:firstLineChars="200"/>
        <w:jc w:val="both"/>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响应性评审事</w:t>
      </w:r>
      <w:r>
        <w:rPr>
          <w:rFonts w:hint="eastAsia" w:ascii="宋体" w:hAnsi="宋体" w:eastAsia="宋体" w:cs="宋体"/>
          <w:color w:val="auto"/>
          <w:spacing w:val="0"/>
          <w:sz w:val="24"/>
          <w:szCs w:val="24"/>
          <w:highlight w:val="none"/>
          <w:lang w:eastAsia="zh-CN"/>
        </w:rPr>
        <w:t>项</w:t>
      </w:r>
      <w:r>
        <w:rPr>
          <w:rFonts w:hint="eastAsia" w:ascii="宋体" w:hAnsi="宋体" w:eastAsia="宋体" w:cs="宋体"/>
          <w:color w:val="auto"/>
          <w:spacing w:val="0"/>
          <w:sz w:val="24"/>
          <w:szCs w:val="24"/>
          <w:highlight w:val="none"/>
        </w:rPr>
        <w:t>包括：</w:t>
      </w:r>
      <w:bookmarkEnd w:id="101"/>
      <w:bookmarkEnd w:id="102"/>
      <w:bookmarkEnd w:id="103"/>
      <w:bookmarkEnd w:id="104"/>
    </w:p>
    <w:p w14:paraId="0A2173BC">
      <w:pPr>
        <w:keepNext w:val="0"/>
        <w:keepLines w:val="0"/>
        <w:pageBreakBefore w:val="0"/>
        <w:kinsoku/>
        <w:wordWrap w:val="0"/>
        <w:overflowPunct/>
        <w:topLinePunct w:val="0"/>
        <w:bidi w:val="0"/>
        <w:spacing w:before="155" w:line="360" w:lineRule="auto"/>
        <w:ind w:left="9" w:right="84" w:rightChars="40"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（1）投标有效期、质量标准、工期等是否响应招标文件实质性要求；是否擅自修改、遗漏《投标函》《各项承诺一览表》的实质性内容。</w:t>
      </w:r>
    </w:p>
    <w:p w14:paraId="5225B394">
      <w:pPr>
        <w:keepNext w:val="0"/>
        <w:keepLines w:val="0"/>
        <w:pageBreakBefore w:val="0"/>
        <w:kinsoku/>
        <w:wordWrap w:val="0"/>
        <w:overflowPunct/>
        <w:topLinePunct w:val="0"/>
        <w:bidi w:val="0"/>
        <w:spacing w:before="152" w:line="360" w:lineRule="auto"/>
        <w:ind w:left="50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（2）编制《投标总价》的造价工程师，其注册证书是否合法、有效。</w:t>
      </w:r>
    </w:p>
    <w:p w14:paraId="407B50B8">
      <w:pPr>
        <w:keepNext w:val="0"/>
        <w:keepLines w:val="0"/>
        <w:pageBreakBefore w:val="0"/>
        <w:kinsoku/>
        <w:wordWrap w:val="0"/>
        <w:overflowPunct/>
        <w:topLinePunct w:val="0"/>
        <w:bidi w:val="0"/>
        <w:spacing w:before="158" w:line="360" w:lineRule="auto"/>
        <w:ind w:left="21" w:right="84" w:rightChars="40"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（3）投标人委托造价咨询单位编制《投标总价》的，是否在《投标总价扉页》“投标人”栏目加盖造价咨询人公章；是否提供造价咨询人的营业执照彩色扫描件；</w:t>
      </w:r>
    </w:p>
    <w:p w14:paraId="33F4A496">
      <w:pPr>
        <w:keepNext w:val="0"/>
        <w:keepLines w:val="0"/>
        <w:pageBreakBefore w:val="0"/>
        <w:kinsoku/>
        <w:wordWrap w:val="0"/>
        <w:overflowPunct/>
        <w:topLinePunct w:val="0"/>
        <w:bidi w:val="0"/>
        <w:spacing w:before="158" w:line="328" w:lineRule="auto"/>
        <w:ind w:left="9" w:right="84" w:rightChars="40" w:firstLine="491"/>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（4）投标总价是否唯一；投标总价是否超出</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是否达到最低要求；暂列金额、暂估价是否按照招标工程量清单统一报价；投标人是否以低于成本的价格竞标。</w:t>
      </w:r>
    </w:p>
    <w:p w14:paraId="0FEFD797">
      <w:pPr>
        <w:keepNext w:val="0"/>
        <w:keepLines w:val="0"/>
        <w:pageBreakBefore w:val="0"/>
        <w:kinsoku/>
        <w:wordWrap w:val="0"/>
        <w:overflowPunct/>
        <w:topLinePunct w:val="0"/>
        <w:bidi w:val="0"/>
        <w:spacing w:before="38" w:line="360" w:lineRule="auto"/>
        <w:ind w:right="84" w:rightChars="40" w:firstLine="482" w:firstLineChars="200"/>
        <w:jc w:val="both"/>
        <w:rPr>
          <w:rFonts w:hint="eastAsia" w:ascii="宋体" w:hAnsi="宋体" w:eastAsia="宋体" w:cs="宋体"/>
          <w:color w:val="auto"/>
          <w:spacing w:val="0"/>
          <w:position w:val="-8"/>
          <w:sz w:val="24"/>
          <w:szCs w:val="24"/>
          <w:highlight w:val="none"/>
        </w:rPr>
      </w:pPr>
      <w:r>
        <w:rPr>
          <w:rFonts w:hint="eastAsia" w:ascii="宋体" w:hAnsi="宋体" w:eastAsia="宋体" w:cs="宋体"/>
          <w:b/>
          <w:bCs/>
          <w:color w:val="auto"/>
          <w:spacing w:val="0"/>
          <w:sz w:val="24"/>
          <w:szCs w:val="24"/>
          <w:highlight w:val="none"/>
        </w:rPr>
        <w:t>注：如果某投标人的投标总价下浮率超过</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15% ，又未提供相应书面说明和佐证</w:t>
      </w:r>
      <w:bookmarkStart w:id="105" w:name="bookmark127"/>
      <w:bookmarkEnd w:id="105"/>
      <w:r>
        <w:rPr>
          <w:rFonts w:hint="eastAsia" w:ascii="宋体" w:hAnsi="宋体" w:eastAsia="宋体" w:cs="宋体"/>
          <w:b/>
          <w:bCs/>
          <w:color w:val="auto"/>
          <w:spacing w:val="0"/>
          <w:sz w:val="24"/>
          <w:szCs w:val="24"/>
          <w:highlight w:val="none"/>
        </w:rPr>
        <w:t>材料或提供的书面说明和佐证材料不能令人信服的，评标委员会应认定其以低于成本的价格竞标，并否决其投标。评标委员会接受该投标人的投标总价而未否决其投标的，应在评标报告中说明判断理由。投标总价下浮率＝（1－投标总价÷</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rPr>
        <w:t>）×100% 。</w:t>
      </w:r>
    </w:p>
    <w:p w14:paraId="2485C4DD">
      <w:pPr>
        <w:keepNext w:val="0"/>
        <w:keepLines w:val="0"/>
        <w:pageBreakBefore w:val="0"/>
        <w:kinsoku/>
        <w:wordWrap w:val="0"/>
        <w:overflowPunct/>
        <w:topLinePunct w:val="0"/>
        <w:bidi w:val="0"/>
        <w:spacing w:before="157" w:line="360" w:lineRule="auto"/>
        <w:ind w:left="11" w:right="84" w:rightChars="40" w:firstLine="501" w:firstLineChars="209"/>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（5）施工组织设计的质量、进度保障措施是否符合国家和省市现行有关规范、规定、标准，是否能实现工程质量、进度管理目标。</w:t>
      </w:r>
    </w:p>
    <w:p w14:paraId="27A6EA2D">
      <w:pPr>
        <w:keepNext w:val="0"/>
        <w:keepLines w:val="0"/>
        <w:pageBreakBefore w:val="0"/>
        <w:kinsoku/>
        <w:wordWrap w:val="0"/>
        <w:overflowPunct/>
        <w:topLinePunct w:val="0"/>
        <w:bidi w:val="0"/>
        <w:spacing w:before="82" w:line="211" w:lineRule="auto"/>
        <w:ind w:left="580" w:right="84" w:rightChars="40"/>
        <w:outlineLvl w:val="9"/>
        <w:rPr>
          <w:rFonts w:hint="eastAsia" w:ascii="宋体" w:hAnsi="宋体" w:eastAsia="宋体" w:cs="宋体"/>
          <w:color w:val="auto"/>
          <w:spacing w:val="0"/>
          <w:sz w:val="25"/>
          <w:szCs w:val="25"/>
          <w:highlight w:val="none"/>
        </w:rPr>
      </w:pPr>
      <w:bookmarkStart w:id="106" w:name="_Toc19814"/>
      <w:bookmarkStart w:id="107" w:name="_Toc15367"/>
      <w:bookmarkStart w:id="108" w:name="_Toc18204"/>
      <w:bookmarkStart w:id="109" w:name="_Toc32114"/>
      <w:r>
        <w:rPr>
          <w:rFonts w:hint="eastAsia" w:ascii="宋体" w:hAnsi="宋体" w:eastAsia="宋体" w:cs="宋体"/>
          <w:b/>
          <w:bCs/>
          <w:color w:val="auto"/>
          <w:spacing w:val="0"/>
          <w:sz w:val="24"/>
          <w:szCs w:val="24"/>
          <w:highlight w:val="none"/>
        </w:rPr>
        <w:t xml:space="preserve">15.4.4  </w:t>
      </w:r>
      <w:r>
        <w:rPr>
          <w:rFonts w:hint="eastAsia" w:ascii="宋体" w:hAnsi="宋体" w:eastAsia="宋体" w:cs="宋体"/>
          <w:color w:val="auto"/>
          <w:spacing w:val="0"/>
          <w:sz w:val="24"/>
          <w:szCs w:val="24"/>
          <w:highlight w:val="none"/>
        </w:rPr>
        <w:t>否决投标说明</w:t>
      </w:r>
      <w:bookmarkEnd w:id="106"/>
      <w:bookmarkEnd w:id="107"/>
      <w:bookmarkEnd w:id="108"/>
      <w:bookmarkEnd w:id="109"/>
    </w:p>
    <w:p w14:paraId="71D5DBDC">
      <w:pPr>
        <w:keepNext w:val="0"/>
        <w:keepLines w:val="0"/>
        <w:pageBreakBefore w:val="0"/>
        <w:kinsoku/>
        <w:wordWrap w:val="0"/>
        <w:overflowPunct/>
        <w:topLinePunct w:val="0"/>
        <w:bidi w:val="0"/>
        <w:spacing w:before="152" w:line="333" w:lineRule="auto"/>
        <w:ind w:left="11" w:right="84" w:rightChars="40" w:firstLine="561"/>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初步评审阶段各个环节否决投标的全部条件，在本章第四节“否决投标条件 ”第</w:t>
      </w:r>
      <w:r>
        <w:rPr>
          <w:rFonts w:hint="eastAsia" w:ascii="宋体" w:hAnsi="宋体" w:eastAsia="宋体" w:cs="宋体"/>
          <w:b/>
          <w:bCs/>
          <w:color w:val="auto"/>
          <w:spacing w:val="0"/>
          <w:sz w:val="24"/>
          <w:szCs w:val="24"/>
          <w:highlight w:val="none"/>
        </w:rPr>
        <w:t xml:space="preserve">1 </w:t>
      </w:r>
      <w:r>
        <w:rPr>
          <w:rFonts w:hint="eastAsia" w:ascii="宋体" w:hAnsi="宋体" w:eastAsia="宋体" w:cs="宋体"/>
          <w:color w:val="auto"/>
          <w:spacing w:val="0"/>
          <w:sz w:val="24"/>
          <w:szCs w:val="24"/>
          <w:highlight w:val="none"/>
        </w:rPr>
        <w:t xml:space="preserve">条至第 </w:t>
      </w:r>
      <w:r>
        <w:rPr>
          <w:rFonts w:hint="eastAsia" w:ascii="宋体" w:hAnsi="宋体" w:eastAsia="宋体" w:cs="宋体"/>
          <w:b/>
          <w:bCs/>
          <w:color w:val="auto"/>
          <w:spacing w:val="0"/>
          <w:sz w:val="24"/>
          <w:szCs w:val="24"/>
          <w:highlight w:val="none"/>
        </w:rPr>
        <w:t xml:space="preserve">4 </w:t>
      </w:r>
      <w:r>
        <w:rPr>
          <w:rFonts w:hint="eastAsia" w:ascii="宋体" w:hAnsi="宋体" w:eastAsia="宋体" w:cs="宋体"/>
          <w:color w:val="auto"/>
          <w:spacing w:val="0"/>
          <w:sz w:val="24"/>
          <w:szCs w:val="24"/>
          <w:highlight w:val="none"/>
        </w:rPr>
        <w:t>条中集中列示。投标人有其中所列任何一种情形的，由评标委员会否决其投标。在初步评审阶段任何环节被否决的投标人，不进入下一环节（或阶段）评审。在初步评审阶段任何环节</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评标委员会经评审，认为所有投标都不符合招标文件要求的，可否决所有投标，项目的所有投标被否决的，招标人应依法重新组织招标。</w:t>
      </w:r>
    </w:p>
    <w:p w14:paraId="132A65C3">
      <w:pPr>
        <w:keepNext w:val="0"/>
        <w:keepLines w:val="0"/>
        <w:pageBreakBefore w:val="0"/>
        <w:kinsoku/>
        <w:wordWrap w:val="0"/>
        <w:overflowPunct/>
        <w:topLinePunct w:val="0"/>
        <w:bidi w:val="0"/>
        <w:spacing w:before="78" w:line="221" w:lineRule="auto"/>
        <w:ind w:left="57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drawing>
          <wp:anchor distT="0" distB="0" distL="114300" distR="114300" simplePos="0" relativeHeight="251663360"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28"/>
                    <a:stretch>
                      <a:fillRect/>
                    </a:stretch>
                  </pic:blipFill>
                  <pic:spPr>
                    <a:xfrm>
                      <a:off x="0" y="0"/>
                      <a:ext cx="6350" cy="279400"/>
                    </a:xfrm>
                    <a:prstGeom prst="rect">
                      <a:avLst/>
                    </a:prstGeom>
                    <a:noFill/>
                    <a:ln>
                      <a:noFill/>
                    </a:ln>
                  </pic:spPr>
                </pic:pic>
              </a:graphicData>
            </a:graphic>
          </wp:anchor>
        </w:drawing>
      </w:r>
      <w:bookmarkStart w:id="110" w:name="bookmark128"/>
      <w:bookmarkEnd w:id="110"/>
      <w:r>
        <w:rPr>
          <w:rFonts w:hint="eastAsia" w:ascii="宋体" w:hAnsi="宋体" w:eastAsia="宋体" w:cs="宋体"/>
          <w:b/>
          <w:bCs/>
          <w:color w:val="auto"/>
          <w:spacing w:val="0"/>
          <w:sz w:val="24"/>
          <w:szCs w:val="24"/>
          <w:highlight w:val="none"/>
        </w:rPr>
        <w:t xml:space="preserve">15.5  </w:t>
      </w:r>
      <w:r>
        <w:rPr>
          <w:rFonts w:hint="eastAsia" w:ascii="宋体" w:hAnsi="宋体" w:eastAsia="宋体" w:cs="宋体"/>
          <w:color w:val="auto"/>
          <w:spacing w:val="0"/>
          <w:sz w:val="24"/>
          <w:szCs w:val="24"/>
          <w:highlight w:val="none"/>
        </w:rPr>
        <w:t>详细评审阶段</w:t>
      </w:r>
    </w:p>
    <w:p w14:paraId="60660A02">
      <w:pPr>
        <w:keepNext w:val="0"/>
        <w:keepLines w:val="0"/>
        <w:pageBreakBefore w:val="0"/>
        <w:kinsoku/>
        <w:wordWrap w:val="0"/>
        <w:overflowPunct/>
        <w:topLinePunct w:val="0"/>
        <w:bidi w:val="0"/>
        <w:spacing w:before="81" w:line="211" w:lineRule="auto"/>
        <w:ind w:left="498" w:right="84" w:rightChars="40"/>
        <w:outlineLvl w:val="9"/>
        <w:rPr>
          <w:rFonts w:hint="eastAsia" w:ascii="宋体" w:hAnsi="宋体" w:eastAsia="宋体" w:cs="宋体"/>
          <w:color w:val="auto"/>
          <w:spacing w:val="0"/>
          <w:sz w:val="25"/>
          <w:szCs w:val="25"/>
          <w:highlight w:val="none"/>
        </w:rPr>
      </w:pPr>
      <w:bookmarkStart w:id="111" w:name="_Toc4119"/>
      <w:bookmarkStart w:id="112" w:name="_Toc10503"/>
      <w:bookmarkStart w:id="113" w:name="_Toc28572"/>
      <w:bookmarkStart w:id="114" w:name="_Toc14991"/>
      <w:r>
        <w:rPr>
          <w:rFonts w:hint="eastAsia" w:ascii="宋体" w:hAnsi="宋体" w:eastAsia="宋体" w:cs="宋体"/>
          <w:b/>
          <w:bCs/>
          <w:color w:val="auto"/>
          <w:spacing w:val="0"/>
          <w:sz w:val="24"/>
          <w:szCs w:val="24"/>
          <w:highlight w:val="none"/>
        </w:rPr>
        <w:t xml:space="preserve">15.5.1  </w:t>
      </w:r>
      <w:r>
        <w:rPr>
          <w:rFonts w:hint="eastAsia" w:ascii="宋体" w:hAnsi="宋体" w:eastAsia="宋体" w:cs="宋体"/>
          <w:color w:val="auto"/>
          <w:spacing w:val="0"/>
          <w:sz w:val="24"/>
          <w:szCs w:val="24"/>
          <w:highlight w:val="none"/>
        </w:rPr>
        <w:t>“综合评估法 ”评审程序</w:t>
      </w:r>
      <w:bookmarkEnd w:id="111"/>
      <w:bookmarkEnd w:id="112"/>
      <w:bookmarkEnd w:id="113"/>
      <w:bookmarkEnd w:id="114"/>
    </w:p>
    <w:p w14:paraId="1C11D96B">
      <w:pPr>
        <w:keepNext w:val="0"/>
        <w:keepLines w:val="0"/>
        <w:pageBreakBefore w:val="0"/>
        <w:kinsoku/>
        <w:wordWrap w:val="0"/>
        <w:overflowPunct/>
        <w:topLinePunct w:val="0"/>
        <w:bidi w:val="0"/>
        <w:spacing w:before="152" w:line="329" w:lineRule="auto"/>
        <w:ind w:left="14"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评审内容分为商务技术和投标报价两大部分。其中，商务技术合计满分</w:t>
      </w:r>
      <w:r>
        <w:rPr>
          <w:rFonts w:hint="eastAsia" w:ascii="宋体" w:hAnsi="宋体" w:eastAsia="宋体" w:cs="宋体"/>
          <w:color w:val="auto"/>
          <w:spacing w:val="0"/>
          <w:sz w:val="24"/>
          <w:szCs w:val="24"/>
          <w:highlight w:val="none"/>
          <w:lang w:eastAsia="zh-CN"/>
        </w:rPr>
        <w:t>100</w:t>
      </w:r>
      <w:r>
        <w:rPr>
          <w:rFonts w:hint="eastAsia" w:ascii="宋体" w:hAnsi="宋体" w:eastAsia="宋体" w:cs="宋体"/>
          <w:color w:val="auto"/>
          <w:spacing w:val="0"/>
          <w:sz w:val="24"/>
          <w:szCs w:val="24"/>
          <w:highlight w:val="none"/>
        </w:rPr>
        <w:t>分，权重为</w:t>
      </w:r>
      <w:r>
        <w:rPr>
          <w:rFonts w:hint="eastAsia" w:ascii="宋体" w:hAnsi="宋体" w:eastAsia="宋体" w:cs="宋体"/>
          <w:color w:val="auto"/>
          <w:spacing w:val="0"/>
          <w:sz w:val="24"/>
          <w:szCs w:val="24"/>
          <w:highlight w:val="none"/>
          <w:lang w:eastAsia="zh-CN"/>
        </w:rPr>
        <w:t>40</w:t>
      </w:r>
      <w:r>
        <w:rPr>
          <w:rFonts w:hint="eastAsia" w:ascii="宋体" w:hAnsi="宋体" w:eastAsia="宋体" w:cs="宋体"/>
          <w:color w:val="auto"/>
          <w:spacing w:val="0"/>
          <w:sz w:val="24"/>
          <w:szCs w:val="24"/>
          <w:highlight w:val="none"/>
        </w:rPr>
        <w:t>%；投标报价满分 100 分，权重为</w:t>
      </w:r>
      <w:r>
        <w:rPr>
          <w:rFonts w:hint="eastAsia" w:ascii="宋体" w:hAnsi="宋体" w:eastAsia="宋体" w:cs="宋体"/>
          <w:color w:val="auto"/>
          <w:spacing w:val="0"/>
          <w:sz w:val="24"/>
          <w:szCs w:val="24"/>
          <w:highlight w:val="none"/>
          <w:lang w:eastAsia="zh-CN"/>
        </w:rPr>
        <w:t>60</w:t>
      </w:r>
      <w:r>
        <w:rPr>
          <w:rFonts w:hint="eastAsia" w:ascii="宋体" w:hAnsi="宋体" w:eastAsia="宋体" w:cs="宋体"/>
          <w:color w:val="auto"/>
          <w:spacing w:val="0"/>
          <w:sz w:val="24"/>
          <w:szCs w:val="24"/>
          <w:highlight w:val="none"/>
        </w:rPr>
        <w:t>% 。两大部分权重之和应为 100%。</w:t>
      </w:r>
    </w:p>
    <w:p w14:paraId="3ABDDFFD">
      <w:pPr>
        <w:keepNext w:val="0"/>
        <w:keepLines w:val="0"/>
        <w:pageBreakBefore w:val="0"/>
        <w:kinsoku/>
        <w:wordWrap w:val="0"/>
        <w:overflowPunct/>
        <w:topLinePunct w:val="0"/>
        <w:bidi w:val="0"/>
        <w:spacing w:before="153" w:line="324" w:lineRule="auto"/>
        <w:ind w:left="14" w:right="84" w:rightChars="40"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除特别注明外，综合得分以及商务技术得分、投标报价得分的中间过程计算值和最终值，均按“ 四舍五入 ”原则精确到两位小数。</w:t>
      </w:r>
    </w:p>
    <w:p w14:paraId="11F14EEB">
      <w:pPr>
        <w:keepNext w:val="0"/>
        <w:keepLines w:val="0"/>
        <w:pageBreakBefore w:val="0"/>
        <w:kinsoku/>
        <w:wordWrap w:val="0"/>
        <w:overflowPunct/>
        <w:topLinePunct w:val="0"/>
        <w:bidi w:val="0"/>
        <w:spacing w:before="38" w:line="220" w:lineRule="auto"/>
        <w:ind w:left="503" w:right="84" w:rightChars="40"/>
        <w:outlineLvl w:val="9"/>
        <w:rPr>
          <w:rFonts w:hint="eastAsia" w:ascii="宋体" w:hAnsi="宋体" w:eastAsia="宋体" w:cs="宋体"/>
          <w:color w:val="auto"/>
          <w:spacing w:val="0"/>
          <w:sz w:val="24"/>
          <w:szCs w:val="24"/>
          <w:highlight w:val="none"/>
        </w:rPr>
      </w:pPr>
      <w:bookmarkStart w:id="115" w:name="_Toc22949"/>
      <w:bookmarkStart w:id="116" w:name="_Toc17510"/>
      <w:bookmarkStart w:id="117" w:name="_Toc10398"/>
      <w:bookmarkStart w:id="118" w:name="_Toc18029"/>
      <w:r>
        <w:rPr>
          <w:rFonts w:hint="eastAsia" w:ascii="宋体" w:hAnsi="宋体" w:eastAsia="宋体" w:cs="宋体"/>
          <w:color w:val="auto"/>
          <w:spacing w:val="0"/>
          <w:sz w:val="24"/>
          <w:szCs w:val="24"/>
          <w:highlight w:val="none"/>
        </w:rPr>
        <w:t>（1）商务技术得分 M</w:t>
      </w:r>
      <w:bookmarkEnd w:id="115"/>
      <w:bookmarkEnd w:id="116"/>
      <w:bookmarkEnd w:id="117"/>
      <w:bookmarkEnd w:id="118"/>
    </w:p>
    <w:p w14:paraId="7F4E18BB">
      <w:pPr>
        <w:keepNext w:val="0"/>
        <w:keepLines w:val="0"/>
        <w:pageBreakBefore w:val="0"/>
        <w:kinsoku/>
        <w:wordWrap w:val="0"/>
        <w:overflowPunct/>
        <w:topLinePunct w:val="0"/>
        <w:bidi w:val="0"/>
        <w:spacing w:before="153" w:line="279" w:lineRule="auto"/>
        <w:ind w:left="15"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．评标委员会按照《综合评分表》商务部分指定的评分标准对各评分因素进行打分。各评分因素得分之和即为某投标人的商务得分 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sz w:val="24"/>
          <w:szCs w:val="24"/>
          <w:highlight w:val="none"/>
        </w:rPr>
        <w:t>。</w:t>
      </w:r>
    </w:p>
    <w:p w14:paraId="20931295">
      <w:pPr>
        <w:keepNext w:val="0"/>
        <w:keepLines w:val="0"/>
        <w:pageBreakBefore w:val="0"/>
        <w:kinsoku/>
        <w:wordWrap w:val="0"/>
        <w:overflowPunct/>
        <w:topLinePunct w:val="0"/>
        <w:bidi w:val="0"/>
        <w:spacing w:before="154" w:line="299" w:lineRule="auto"/>
        <w:ind w:left="12" w:right="84" w:rightChars="40"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 M</w:t>
      </w:r>
      <w:r>
        <w:rPr>
          <w:rFonts w:hint="eastAsia" w:ascii="宋体" w:hAnsi="宋体" w:eastAsia="宋体" w:cs="宋体"/>
          <w:color w:val="auto"/>
          <w:spacing w:val="0"/>
          <w:position w:val="-1"/>
          <w:sz w:val="15"/>
          <w:szCs w:val="15"/>
          <w:highlight w:val="none"/>
        </w:rPr>
        <w:t>2</w:t>
      </w:r>
      <w:r>
        <w:rPr>
          <w:rFonts w:hint="eastAsia" w:ascii="宋体" w:hAnsi="宋体" w:eastAsia="宋体" w:cs="宋体"/>
          <w:color w:val="auto"/>
          <w:spacing w:val="0"/>
          <w:sz w:val="24"/>
          <w:szCs w:val="24"/>
          <w:highlight w:val="none"/>
        </w:rPr>
        <w:t>。</w:t>
      </w:r>
    </w:p>
    <w:p w14:paraId="0C018EDE">
      <w:pPr>
        <w:keepNext w:val="0"/>
        <w:keepLines w:val="0"/>
        <w:pageBreakBefore w:val="0"/>
        <w:kinsoku/>
        <w:wordWrap w:val="0"/>
        <w:overflowPunct/>
        <w:topLinePunct w:val="0"/>
        <w:bidi w:val="0"/>
        <w:spacing w:before="155" w:line="231" w:lineRule="auto"/>
        <w:ind w:left="491" w:right="84" w:rightChars="40"/>
        <w:rPr>
          <w:rFonts w:hint="eastAsia" w:ascii="宋体" w:hAnsi="宋体" w:eastAsia="宋体" w:cs="宋体"/>
          <w:color w:val="auto"/>
          <w:spacing w:val="0"/>
          <w:sz w:val="15"/>
          <w:szCs w:val="15"/>
          <w:highlight w:val="none"/>
        </w:rPr>
      </w:pPr>
      <w:r>
        <w:rPr>
          <w:rFonts w:hint="eastAsia" w:ascii="宋体" w:hAnsi="宋体" w:eastAsia="宋体" w:cs="宋体"/>
          <w:b/>
          <w:bCs/>
          <w:color w:val="auto"/>
          <w:spacing w:val="0"/>
          <w:sz w:val="24"/>
          <w:szCs w:val="24"/>
          <w:highlight w:val="none"/>
        </w:rPr>
        <w:t xml:space="preserve">c </w:t>
      </w:r>
      <w:r>
        <w:rPr>
          <w:rFonts w:hint="eastAsia" w:ascii="宋体" w:hAnsi="宋体" w:eastAsia="宋体" w:cs="宋体"/>
          <w:color w:val="auto"/>
          <w:spacing w:val="0"/>
          <w:sz w:val="24"/>
          <w:szCs w:val="24"/>
          <w:highlight w:val="none"/>
        </w:rPr>
        <w:t>．M ＝M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sz w:val="24"/>
          <w:szCs w:val="24"/>
          <w:highlight w:val="none"/>
        </w:rPr>
        <w:t>＋M</w:t>
      </w:r>
      <w:r>
        <w:rPr>
          <w:rFonts w:hint="eastAsia" w:ascii="宋体" w:hAnsi="宋体" w:eastAsia="宋体" w:cs="宋体"/>
          <w:color w:val="auto"/>
          <w:spacing w:val="0"/>
          <w:position w:val="-1"/>
          <w:sz w:val="15"/>
          <w:szCs w:val="15"/>
          <w:highlight w:val="none"/>
        </w:rPr>
        <w:t>2</w:t>
      </w:r>
    </w:p>
    <w:p w14:paraId="277B94CD">
      <w:pPr>
        <w:keepNext w:val="0"/>
        <w:keepLines w:val="0"/>
        <w:pageBreakBefore w:val="0"/>
        <w:kinsoku/>
        <w:wordWrap w:val="0"/>
        <w:overflowPunct/>
        <w:topLinePunct w:val="0"/>
        <w:bidi w:val="0"/>
        <w:spacing w:before="139" w:line="220" w:lineRule="auto"/>
        <w:ind w:left="496"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w w:val="101"/>
          <w:position w:val="-1"/>
          <w:sz w:val="15"/>
          <w:szCs w:val="15"/>
          <w:highlight w:val="none"/>
        </w:rPr>
        <w:t xml:space="preserve"> </w:t>
      </w:r>
      <w:r>
        <w:rPr>
          <w:rFonts w:hint="eastAsia" w:ascii="宋体" w:hAnsi="宋体" w:eastAsia="宋体" w:cs="宋体"/>
          <w:color w:val="auto"/>
          <w:spacing w:val="0"/>
          <w:sz w:val="24"/>
          <w:szCs w:val="24"/>
          <w:highlight w:val="none"/>
        </w:rPr>
        <w:t>为某投标人的商务得分，M</w:t>
      </w:r>
      <w:r>
        <w:rPr>
          <w:rFonts w:hint="eastAsia" w:ascii="宋体" w:hAnsi="宋体" w:eastAsia="宋体" w:cs="宋体"/>
          <w:color w:val="auto"/>
          <w:spacing w:val="0"/>
          <w:position w:val="-1"/>
          <w:sz w:val="15"/>
          <w:szCs w:val="15"/>
          <w:highlight w:val="none"/>
        </w:rPr>
        <w:t xml:space="preserve">2 </w:t>
      </w:r>
      <w:r>
        <w:rPr>
          <w:rFonts w:hint="eastAsia" w:ascii="宋体" w:hAnsi="宋体" w:eastAsia="宋体" w:cs="宋体"/>
          <w:color w:val="auto"/>
          <w:spacing w:val="0"/>
          <w:sz w:val="24"/>
          <w:szCs w:val="24"/>
          <w:highlight w:val="none"/>
        </w:rPr>
        <w:t>为某投标人的技术得分。</w:t>
      </w:r>
    </w:p>
    <w:p w14:paraId="6B037580">
      <w:pPr>
        <w:keepNext w:val="0"/>
        <w:keepLines w:val="0"/>
        <w:pageBreakBefore w:val="0"/>
        <w:kinsoku/>
        <w:wordWrap w:val="0"/>
        <w:overflowPunct/>
        <w:topLinePunct w:val="0"/>
        <w:bidi w:val="0"/>
        <w:spacing w:before="153" w:line="219" w:lineRule="auto"/>
        <w:ind w:left="503" w:right="84" w:rightChars="40"/>
        <w:outlineLvl w:val="9"/>
        <w:rPr>
          <w:rFonts w:hint="eastAsia" w:ascii="宋体" w:hAnsi="宋体" w:eastAsia="宋体" w:cs="宋体"/>
          <w:color w:val="auto"/>
          <w:spacing w:val="0"/>
          <w:sz w:val="24"/>
          <w:szCs w:val="24"/>
          <w:highlight w:val="none"/>
        </w:rPr>
      </w:pPr>
      <w:bookmarkStart w:id="119" w:name="_Toc27609"/>
      <w:bookmarkStart w:id="120" w:name="_Toc3958"/>
      <w:bookmarkStart w:id="121" w:name="_Toc16136"/>
      <w:bookmarkStart w:id="122" w:name="_Toc14059"/>
      <w:r>
        <w:rPr>
          <w:rFonts w:hint="eastAsia" w:ascii="宋体" w:hAnsi="宋体" w:eastAsia="宋体" w:cs="宋体"/>
          <w:color w:val="auto"/>
          <w:spacing w:val="0"/>
          <w:sz w:val="24"/>
          <w:szCs w:val="24"/>
          <w:highlight w:val="none"/>
        </w:rPr>
        <w:t>（2）投标报价得分 N</w:t>
      </w:r>
      <w:bookmarkEnd w:id="119"/>
      <w:bookmarkEnd w:id="120"/>
      <w:bookmarkEnd w:id="121"/>
      <w:bookmarkEnd w:id="122"/>
    </w:p>
    <w:p w14:paraId="1BB7535A">
      <w:pPr>
        <w:keepNext w:val="0"/>
        <w:keepLines w:val="0"/>
        <w:pageBreakBefore w:val="0"/>
        <w:kinsoku/>
        <w:wordWrap w:val="0"/>
        <w:overflowPunct/>
        <w:topLinePunct w:val="0"/>
        <w:bidi w:val="0"/>
        <w:spacing w:before="157" w:line="219" w:lineRule="auto"/>
        <w:ind w:right="84" w:rightChars="40" w:firstLine="482"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．评标委员会按照《综合评分表》投标报价部分指定的方法计算评标基准价 D。</w:t>
      </w:r>
    </w:p>
    <w:p w14:paraId="58AA9DB6">
      <w:pPr>
        <w:keepNext w:val="0"/>
        <w:keepLines w:val="0"/>
        <w:pageBreakBefore w:val="0"/>
        <w:kinsoku/>
        <w:wordWrap w:val="0"/>
        <w:overflowPunct/>
        <w:topLinePunct w:val="0"/>
        <w:bidi w:val="0"/>
        <w:spacing w:before="155" w:line="299" w:lineRule="auto"/>
        <w:ind w:left="12" w:right="84" w:rightChars="40"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 xml:space="preserve">．采用内插法计算某投标人的投标报价得分 N ，即当投标人的投标总价等于评标基准价时得 100 分，每高于评标基准价一个百分点扣 </w:t>
      </w:r>
      <w:r>
        <w:rPr>
          <w:rFonts w:hint="eastAsia" w:ascii="宋体" w:hAnsi="宋体" w:eastAsia="宋体" w:cs="宋体"/>
          <w:b/>
          <w:bCs/>
          <w:color w:val="auto"/>
          <w:spacing w:val="0"/>
          <w:sz w:val="24"/>
          <w:szCs w:val="24"/>
          <w:highlight w:val="none"/>
        </w:rPr>
        <w:t xml:space="preserve">1 分, </w:t>
      </w:r>
      <w:r>
        <w:rPr>
          <w:rFonts w:hint="eastAsia" w:ascii="宋体" w:hAnsi="宋体" w:eastAsia="宋体" w:cs="宋体"/>
          <w:color w:val="auto"/>
          <w:spacing w:val="0"/>
          <w:sz w:val="24"/>
          <w:szCs w:val="24"/>
          <w:highlight w:val="none"/>
        </w:rPr>
        <w:t xml:space="preserve">每低于评标基准价一个百分点扣 </w:t>
      </w:r>
      <w:r>
        <w:rPr>
          <w:rFonts w:hint="eastAsia" w:ascii="宋体" w:hAnsi="宋体" w:eastAsia="宋体" w:cs="宋体"/>
          <w:b/>
          <w:bCs/>
          <w:color w:val="auto"/>
          <w:spacing w:val="0"/>
          <w:sz w:val="24"/>
          <w:szCs w:val="24"/>
          <w:highlight w:val="none"/>
        </w:rPr>
        <w:t>0.5 分</w:t>
      </w:r>
      <w:r>
        <w:rPr>
          <w:rFonts w:hint="eastAsia" w:ascii="宋体" w:hAnsi="宋体" w:eastAsia="宋体" w:cs="宋体"/>
          <w:color w:val="auto"/>
          <w:spacing w:val="0"/>
          <w:sz w:val="24"/>
          <w:szCs w:val="24"/>
          <w:highlight w:val="none"/>
        </w:rPr>
        <w:t>，扣完为止。公式如下：</w:t>
      </w:r>
    </w:p>
    <w:p w14:paraId="232F1429">
      <w:pPr>
        <w:keepNext w:val="0"/>
        <w:keepLines w:val="0"/>
        <w:pageBreakBefore w:val="0"/>
        <w:kinsoku/>
        <w:wordWrap w:val="0"/>
        <w:overflowPunct/>
        <w:topLinePunct w:val="0"/>
        <w:bidi w:val="0"/>
        <w:spacing w:before="118" w:line="333" w:lineRule="exact"/>
        <w:ind w:left="2418"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N ＝100－（| Di－D | ÷D） × 100×E</w:t>
      </w:r>
    </w:p>
    <w:p w14:paraId="6B667673">
      <w:pPr>
        <w:keepNext w:val="0"/>
        <w:keepLines w:val="0"/>
        <w:pageBreakBefore w:val="0"/>
        <w:kinsoku/>
        <w:wordWrap w:val="0"/>
        <w:overflowPunct/>
        <w:topLinePunct w:val="0"/>
        <w:bidi w:val="0"/>
        <w:spacing w:before="106" w:line="316" w:lineRule="auto"/>
        <w:ind w:left="7" w:right="84" w:rightChars="40"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式中：D 为评标基准价；Di为某投标人的投标总价；E 为扣分因子，当 Di＞D时，E ＝</w:t>
      </w:r>
      <w:r>
        <w:rPr>
          <w:rFonts w:hint="eastAsia" w:ascii="宋体" w:hAnsi="宋体" w:eastAsia="宋体" w:cs="宋体"/>
          <w:b/>
          <w:bCs/>
          <w:color w:val="auto"/>
          <w:spacing w:val="0"/>
          <w:sz w:val="24"/>
          <w:szCs w:val="24"/>
          <w:highlight w:val="none"/>
        </w:rPr>
        <w:t>1 ；</w:t>
      </w:r>
      <w:r>
        <w:rPr>
          <w:rFonts w:hint="eastAsia" w:ascii="宋体" w:hAnsi="宋体" w:eastAsia="宋体" w:cs="宋体"/>
          <w:color w:val="auto"/>
          <w:spacing w:val="0"/>
          <w:sz w:val="24"/>
          <w:szCs w:val="24"/>
          <w:highlight w:val="none"/>
        </w:rPr>
        <w:t>当 Di＜D</w:t>
      </w:r>
      <w:r>
        <w:rPr>
          <w:rFonts w:hint="eastAsia" w:ascii="宋体" w:hAnsi="宋体" w:eastAsia="宋体" w:cs="宋体"/>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 xml:space="preserve">时，E </w:t>
      </w:r>
      <w:r>
        <w:rPr>
          <w:rFonts w:hint="eastAsia" w:ascii="宋体" w:hAnsi="宋体" w:eastAsia="宋体" w:cs="宋体"/>
          <w:b/>
          <w:bCs/>
          <w:color w:val="auto"/>
          <w:spacing w:val="0"/>
          <w:sz w:val="24"/>
          <w:szCs w:val="24"/>
          <w:highlight w:val="none"/>
        </w:rPr>
        <w:t>＝0.5</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w:t>
      </w:r>
    </w:p>
    <w:p w14:paraId="6F340CA9">
      <w:pPr>
        <w:keepNext w:val="0"/>
        <w:keepLines w:val="0"/>
        <w:pageBreakBefore w:val="0"/>
        <w:kinsoku/>
        <w:wordWrap w:val="0"/>
        <w:overflowPunct/>
        <w:topLinePunct w:val="0"/>
        <w:bidi w:val="0"/>
        <w:spacing w:before="95" w:line="220" w:lineRule="auto"/>
        <w:ind w:left="503" w:right="84" w:rightChars="40"/>
        <w:outlineLvl w:val="9"/>
        <w:rPr>
          <w:rFonts w:hint="eastAsia" w:ascii="宋体" w:hAnsi="宋体" w:eastAsia="宋体" w:cs="宋体"/>
          <w:color w:val="auto"/>
          <w:spacing w:val="0"/>
          <w:sz w:val="24"/>
          <w:szCs w:val="24"/>
          <w:highlight w:val="none"/>
        </w:rPr>
      </w:pPr>
      <w:bookmarkStart w:id="123" w:name="_Toc7915"/>
      <w:bookmarkStart w:id="124" w:name="_Toc4990"/>
      <w:bookmarkStart w:id="125" w:name="_Toc576"/>
      <w:bookmarkStart w:id="126" w:name="_Toc3861"/>
      <w:r>
        <w:rPr>
          <w:rFonts w:hint="eastAsia" w:ascii="宋体" w:hAnsi="宋体" w:eastAsia="宋体" w:cs="宋体"/>
          <w:color w:val="auto"/>
          <w:spacing w:val="0"/>
          <w:sz w:val="24"/>
          <w:szCs w:val="24"/>
          <w:highlight w:val="none"/>
        </w:rPr>
        <w:t>（3）综合得分</w:t>
      </w:r>
      <w:bookmarkEnd w:id="123"/>
      <w:bookmarkEnd w:id="124"/>
      <w:bookmarkEnd w:id="125"/>
      <w:bookmarkEnd w:id="126"/>
    </w:p>
    <w:p w14:paraId="50217631">
      <w:pPr>
        <w:keepNext w:val="0"/>
        <w:keepLines w:val="0"/>
        <w:pageBreakBefore w:val="0"/>
        <w:kinsoku/>
        <w:wordWrap w:val="0"/>
        <w:overflowPunct/>
        <w:topLinePunct w:val="0"/>
        <w:bidi w:val="0"/>
        <w:spacing w:before="153" w:line="220" w:lineRule="auto"/>
        <w:ind w:left="494"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综合得分换算为百分制，满分 100 分，公式如下：</w:t>
      </w:r>
    </w:p>
    <w:p w14:paraId="215CB6BC">
      <w:pPr>
        <w:keepNext w:val="0"/>
        <w:keepLines w:val="0"/>
        <w:pageBreakBefore w:val="0"/>
        <w:kinsoku/>
        <w:wordWrap w:val="0"/>
        <w:overflowPunct/>
        <w:topLinePunct w:val="0"/>
        <w:bidi w:val="0"/>
        <w:spacing w:before="155" w:line="324" w:lineRule="auto"/>
        <w:ind w:left="496" w:right="84" w:rightChars="40" w:hanging="3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综合得分＝M÷商务技术合计满分×100×商务技术权重＋N×投标报价权重</w:t>
      </w:r>
    </w:p>
    <w:p w14:paraId="390CA99F">
      <w:pPr>
        <w:keepNext w:val="0"/>
        <w:keepLines w:val="0"/>
        <w:pageBreakBefore w:val="0"/>
        <w:kinsoku/>
        <w:wordWrap w:val="0"/>
        <w:overflowPunct/>
        <w:topLinePunct w:val="0"/>
        <w:bidi w:val="0"/>
        <w:spacing w:before="155" w:line="324" w:lineRule="auto"/>
        <w:ind w:left="496" w:right="84" w:rightChars="40" w:hanging="3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式中：M 为商务技术得分，N 为投标报价得分。</w:t>
      </w:r>
    </w:p>
    <w:p w14:paraId="1C9D58A3">
      <w:pPr>
        <w:keepNext w:val="0"/>
        <w:keepLines w:val="0"/>
        <w:pageBreakBefore w:val="0"/>
        <w:widowControl w:val="0"/>
        <w:kinsoku/>
        <w:wordWrap w:val="0"/>
        <w:autoSpaceDE/>
        <w:autoSpaceDN/>
        <w:bidi w:val="0"/>
        <w:adjustRightInd/>
        <w:snapToGrid/>
        <w:spacing w:line="400" w:lineRule="exact"/>
        <w:ind w:right="84" w:rightChars="40" w:firstLine="480" w:firstLineChars="200"/>
        <w:textAlignment w:val="auto"/>
        <w:rPr>
          <w:rFonts w:hint="eastAsia" w:ascii="宋体" w:hAnsi="宋体" w:eastAsia="宋体" w:cs="宋体"/>
          <w:color w:val="auto"/>
          <w:sz w:val="24"/>
          <w:szCs w:val="24"/>
          <w:highlight w:val="none"/>
          <w:lang w:eastAsia="zh-CN"/>
        </w:rPr>
      </w:pPr>
      <w:bookmarkStart w:id="127" w:name="_Toc3020"/>
      <w:bookmarkStart w:id="128" w:name="_Toc16801"/>
      <w:bookmarkStart w:id="129" w:name="_Toc17375"/>
      <w:r>
        <w:rPr>
          <w:rFonts w:hint="eastAsia" w:ascii="宋体" w:hAnsi="宋体" w:eastAsia="宋体" w:cs="宋体"/>
          <w:color w:val="auto"/>
          <w:sz w:val="24"/>
          <w:szCs w:val="24"/>
          <w:highlight w:val="none"/>
          <w:lang w:eastAsia="zh-CN"/>
        </w:rPr>
        <w:t>（4）评标委员会根据招标文件规定的评分细则，对招标文件中的各评审因素进行评审、比较、打分，将</w:t>
      </w:r>
      <w:r>
        <w:rPr>
          <w:rFonts w:hint="eastAsia" w:ascii="宋体" w:hAnsi="宋体" w:eastAsia="宋体" w:cs="宋体"/>
          <w:b/>
          <w:bCs/>
          <w:color w:val="auto"/>
          <w:sz w:val="24"/>
          <w:szCs w:val="24"/>
          <w:highlight w:val="none"/>
          <w:lang w:eastAsia="zh-CN"/>
        </w:rPr>
        <w:t>得分前5名不排序（按企业统一社会信用代码后4位</w:t>
      </w:r>
      <w:r>
        <w:rPr>
          <w:rFonts w:hint="eastAsia" w:ascii="宋体" w:hAnsi="宋体" w:eastAsia="宋体" w:cs="宋体"/>
          <w:b/>
          <w:bCs/>
          <w:color w:val="auto"/>
          <w:sz w:val="24"/>
          <w:szCs w:val="24"/>
          <w:highlight w:val="none"/>
          <w:lang w:val="en-US" w:eastAsia="zh-CN"/>
        </w:rPr>
        <w:t>由</w:t>
      </w:r>
      <w:r>
        <w:rPr>
          <w:rFonts w:hint="eastAsia" w:ascii="宋体" w:hAnsi="宋体" w:eastAsia="宋体" w:cs="宋体"/>
          <w:b/>
          <w:bCs/>
          <w:color w:val="auto"/>
          <w:sz w:val="24"/>
          <w:szCs w:val="24"/>
          <w:highlight w:val="none"/>
          <w:lang w:eastAsia="zh-CN"/>
        </w:rPr>
        <w:t>大</w:t>
      </w:r>
      <w:r>
        <w:rPr>
          <w:rFonts w:hint="eastAsia" w:ascii="宋体" w:hAnsi="宋体" w:eastAsia="宋体" w:cs="宋体"/>
          <w:b/>
          <w:bCs/>
          <w:color w:val="auto"/>
          <w:sz w:val="24"/>
          <w:szCs w:val="24"/>
          <w:highlight w:val="none"/>
          <w:lang w:val="en-US" w:eastAsia="zh-CN"/>
        </w:rPr>
        <w:t>到</w:t>
      </w:r>
      <w:r>
        <w:rPr>
          <w:rFonts w:hint="eastAsia" w:ascii="宋体" w:hAnsi="宋体" w:eastAsia="宋体" w:cs="宋体"/>
          <w:b/>
          <w:bCs/>
          <w:color w:val="auto"/>
          <w:sz w:val="24"/>
          <w:szCs w:val="24"/>
          <w:highlight w:val="none"/>
          <w:lang w:eastAsia="zh-CN"/>
        </w:rPr>
        <w:t>小排位）</w:t>
      </w:r>
      <w:r>
        <w:rPr>
          <w:rFonts w:hint="eastAsia" w:ascii="宋体" w:hAnsi="宋体" w:eastAsia="宋体" w:cs="宋体"/>
          <w:color w:val="auto"/>
          <w:sz w:val="24"/>
          <w:szCs w:val="24"/>
          <w:highlight w:val="none"/>
          <w:lang w:eastAsia="zh-CN"/>
        </w:rPr>
        <w:t>的投标人作为定标候选人推荐给招标人，并对每个</w:t>
      </w:r>
      <w:r>
        <w:rPr>
          <w:rFonts w:hint="eastAsia" w:ascii="宋体" w:hAnsi="宋体" w:eastAsia="宋体" w:cs="宋体"/>
          <w:b/>
          <w:bCs/>
          <w:color w:val="auto"/>
          <w:sz w:val="24"/>
          <w:szCs w:val="24"/>
          <w:highlight w:val="none"/>
          <w:lang w:eastAsia="zh-CN"/>
        </w:rPr>
        <w:t>定标候选人的优势、风险</w:t>
      </w:r>
      <w:r>
        <w:rPr>
          <w:rFonts w:hint="eastAsia" w:ascii="宋体" w:hAnsi="宋体" w:eastAsia="宋体" w:cs="宋体"/>
          <w:color w:val="auto"/>
          <w:sz w:val="24"/>
          <w:szCs w:val="24"/>
          <w:highlight w:val="none"/>
          <w:lang w:eastAsia="zh-CN"/>
        </w:rPr>
        <w:t>等评审情况进行说明。当投标人综合总得分相同时，以报价低为前；当投标人综合总得分相同且报价相同时，由评标委员会投票确定排前。定标候选人得分只作为评标委员会的推荐依据，不作为定标委员会对中标候选人排序的依据。当有效投标人数量不足5名但满足法定要求时，所有通过评审的有效投标人均应作为定标候选人。</w:t>
      </w:r>
    </w:p>
    <w:p w14:paraId="547FF5C7">
      <w:pPr>
        <w:keepNext w:val="0"/>
        <w:keepLines w:val="0"/>
        <w:pageBreakBefore w:val="0"/>
        <w:kinsoku/>
        <w:bidi w:val="0"/>
        <w:ind w:right="84" w:rightChars="40"/>
        <w:outlineLvl w:val="9"/>
        <w:rPr>
          <w:rFonts w:hint="eastAsia" w:ascii="宋体" w:hAnsi="宋体" w:eastAsia="宋体" w:cs="宋体"/>
          <w:snapToGrid w:val="0"/>
          <w:color w:val="auto"/>
          <w:sz w:val="28"/>
          <w:szCs w:val="28"/>
          <w:highlight w:val="none"/>
          <w:lang w:val="en-US" w:eastAsia="zh-CN"/>
        </w:rPr>
      </w:pPr>
    </w:p>
    <w:p w14:paraId="56979A84">
      <w:pPr>
        <w:keepNext w:val="0"/>
        <w:keepLines w:val="0"/>
        <w:pageBreakBefore w:val="0"/>
        <w:kinsoku/>
        <w:wordWrap w:val="0"/>
        <w:overflowPunct/>
        <w:topLinePunct w:val="0"/>
        <w:bidi w:val="0"/>
        <w:spacing w:line="360" w:lineRule="auto"/>
        <w:ind w:right="84" w:rightChars="40"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编写评标报告时，定标候选人不排序，按企业统一社会信用代码（联合体投标的按牵头人的企业统一社会信用代码）后4位大小排位，如统一社会信用代码后4位出现字母情况的，字母以“0”进行代替大小排位，如出现后4位大小一致的，则随机排位。</w:t>
      </w:r>
    </w:p>
    <w:p w14:paraId="22C172D9">
      <w:pPr>
        <w:keepNext w:val="0"/>
        <w:keepLines w:val="0"/>
        <w:pageBreakBefore w:val="0"/>
        <w:kinsoku/>
        <w:wordWrap w:val="0"/>
        <w:overflowPunct/>
        <w:topLinePunct w:val="0"/>
        <w:bidi w:val="0"/>
        <w:ind w:right="84" w:rightChars="40"/>
        <w:rPr>
          <w:rFonts w:hint="eastAsia" w:ascii="宋体" w:hAnsi="宋体" w:eastAsia="宋体" w:cs="宋体"/>
          <w:b/>
          <w:bCs/>
          <w:color w:val="auto"/>
          <w:spacing w:val="0"/>
          <w:sz w:val="30"/>
          <w:szCs w:val="30"/>
          <w:highlight w:val="none"/>
        </w:rPr>
      </w:pPr>
      <w:r>
        <w:rPr>
          <w:rFonts w:hint="eastAsia" w:ascii="宋体" w:hAnsi="宋体" w:eastAsia="宋体" w:cs="宋体"/>
          <w:b/>
          <w:bCs/>
          <w:color w:val="auto"/>
          <w:spacing w:val="0"/>
          <w:sz w:val="30"/>
          <w:szCs w:val="30"/>
          <w:highlight w:val="none"/>
        </w:rPr>
        <w:br w:type="page"/>
      </w:r>
    </w:p>
    <w:p w14:paraId="042A8A28">
      <w:pPr>
        <w:keepNext w:val="0"/>
        <w:keepLines w:val="0"/>
        <w:pageBreakBefore w:val="0"/>
        <w:kinsoku/>
        <w:wordWrap w:val="0"/>
        <w:overflowPunct/>
        <w:topLinePunct w:val="0"/>
        <w:bidi w:val="0"/>
        <w:spacing w:before="78" w:line="221" w:lineRule="auto"/>
        <w:ind w:left="496" w:right="84" w:rightChars="40"/>
        <w:jc w:val="center"/>
        <w:outlineLvl w:val="2"/>
        <w:rPr>
          <w:rFonts w:hint="eastAsia" w:ascii="宋体" w:hAnsi="宋体" w:eastAsia="宋体" w:cs="宋体"/>
          <w:b/>
          <w:bCs/>
          <w:color w:val="auto"/>
          <w:spacing w:val="0"/>
          <w:sz w:val="30"/>
          <w:szCs w:val="30"/>
          <w:highlight w:val="none"/>
        </w:rPr>
      </w:pPr>
      <w:bookmarkStart w:id="130" w:name="_Toc2300"/>
      <w:r>
        <w:rPr>
          <w:rFonts w:hint="eastAsia" w:ascii="宋体" w:hAnsi="宋体" w:eastAsia="宋体" w:cs="宋体"/>
          <w:b/>
          <w:bCs/>
          <w:color w:val="auto"/>
          <w:spacing w:val="0"/>
          <w:sz w:val="30"/>
          <w:szCs w:val="30"/>
          <w:highlight w:val="none"/>
        </w:rPr>
        <w:t>综合评分表</w:t>
      </w:r>
      <w:bookmarkEnd w:id="127"/>
      <w:bookmarkEnd w:id="128"/>
      <w:bookmarkEnd w:id="129"/>
      <w:bookmarkEnd w:id="130"/>
    </w:p>
    <w:tbl>
      <w:tblPr>
        <w:tblStyle w:val="14"/>
        <w:tblW w:w="10042" w:type="dxa"/>
        <w:jc w:val="center"/>
        <w:tblLayout w:type="fixed"/>
        <w:tblCellMar>
          <w:top w:w="0" w:type="dxa"/>
          <w:left w:w="108" w:type="dxa"/>
          <w:bottom w:w="0" w:type="dxa"/>
          <w:right w:w="108" w:type="dxa"/>
        </w:tblCellMar>
      </w:tblPr>
      <w:tblGrid>
        <w:gridCol w:w="1192"/>
        <w:gridCol w:w="2571"/>
        <w:gridCol w:w="1609"/>
        <w:gridCol w:w="4670"/>
      </w:tblGrid>
      <w:tr w14:paraId="7CAC1B93">
        <w:tblPrEx>
          <w:tblCellMar>
            <w:top w:w="0" w:type="dxa"/>
            <w:left w:w="108" w:type="dxa"/>
            <w:bottom w:w="0" w:type="dxa"/>
            <w:right w:w="108" w:type="dxa"/>
          </w:tblCellMar>
        </w:tblPrEx>
        <w:trPr>
          <w:trHeight w:val="487" w:hRule="exact"/>
          <w:jc w:val="center"/>
        </w:trPr>
        <w:tc>
          <w:tcPr>
            <w:tcW w:w="10042" w:type="dxa"/>
            <w:gridSpan w:val="4"/>
            <w:tcBorders>
              <w:top w:val="single" w:color="auto" w:sz="4" w:space="0"/>
              <w:left w:val="single" w:color="auto" w:sz="4" w:space="0"/>
              <w:bottom w:val="single" w:color="auto" w:sz="4" w:space="0"/>
              <w:right w:val="single" w:color="auto" w:sz="4" w:space="0"/>
            </w:tcBorders>
            <w:shd w:val="clear" w:color="auto" w:fill="D7D7D7"/>
            <w:noWrap w:val="0"/>
            <w:vAlign w:val="center"/>
          </w:tcPr>
          <w:p w14:paraId="20EDD7E0">
            <w:pPr>
              <w:keepNext w:val="0"/>
              <w:keepLines w:val="0"/>
              <w:widowControl w:val="0"/>
              <w:suppressLineNumbers w:val="0"/>
              <w:tabs>
                <w:tab w:val="left" w:pos="1354"/>
                <w:tab w:val="left" w:pos="1459"/>
                <w:tab w:val="center" w:pos="3902"/>
                <w:tab w:val="right" w:pos="7805"/>
              </w:tabs>
              <w:wordWrap w:val="0"/>
              <w:adjustRightInd w:val="0"/>
              <w:snapToGrid w:val="0"/>
              <w:spacing w:before="0" w:beforeAutospacing="0" w:after="0" w:afterAutospacing="0" w:line="360" w:lineRule="auto"/>
              <w:ind w:left="0" w:right="84" w:rightChars="40"/>
              <w:jc w:val="both"/>
              <w:rPr>
                <w:rFonts w:hint="eastAsia" w:ascii="宋体" w:hAnsi="宋体" w:eastAsia="宋体" w:cs="宋体"/>
                <w:snapToGrid w:val="0"/>
                <w:color w:val="auto"/>
                <w:kern w:val="0"/>
                <w:sz w:val="24"/>
                <w:szCs w:val="24"/>
                <w:highlight w:val="none"/>
                <w:lang w:val="en-US" w:eastAsia="zh-CN" w:bidi="ar-SA"/>
              </w:rPr>
            </w:pPr>
            <w:bookmarkStart w:id="131" w:name="_Toc17436"/>
            <w:bookmarkStart w:id="132" w:name="_Toc9725"/>
            <w:bookmarkStart w:id="133" w:name="_Toc31744"/>
            <w:bookmarkStart w:id="134" w:name="_Toc5769"/>
            <w:r>
              <w:rPr>
                <w:rFonts w:hint="eastAsia" w:ascii="宋体" w:hAnsi="宋体" w:eastAsia="宋体" w:cs="宋体"/>
                <w:b/>
                <w:bCs/>
                <w:snapToGrid w:val="0"/>
                <w:color w:val="auto"/>
                <w:kern w:val="0"/>
                <w:sz w:val="24"/>
                <w:szCs w:val="24"/>
                <w:highlight w:val="none"/>
                <w:lang w:val="en-US" w:eastAsia="zh-CN" w:bidi="ar-SA"/>
              </w:rPr>
              <w:t>商务部分，满分：</w:t>
            </w:r>
            <w:r>
              <w:rPr>
                <w:rFonts w:hint="eastAsia" w:ascii="宋体" w:hAnsi="宋体" w:eastAsia="宋体" w:cs="宋体"/>
                <w:b/>
                <w:bCs/>
                <w:snapToGrid w:val="0"/>
                <w:color w:val="auto"/>
                <w:kern w:val="0"/>
                <w:sz w:val="24"/>
                <w:szCs w:val="24"/>
                <w:highlight w:val="none"/>
                <w:u w:val="single"/>
                <w:lang w:val="en-US" w:eastAsia="zh-CN" w:bidi="ar-SA"/>
              </w:rPr>
              <w:t>80</w:t>
            </w:r>
            <w:r>
              <w:rPr>
                <w:rFonts w:hint="eastAsia" w:ascii="宋体" w:hAnsi="宋体" w:eastAsia="宋体" w:cs="宋体"/>
                <w:b/>
                <w:bCs/>
                <w:snapToGrid w:val="0"/>
                <w:color w:val="auto"/>
                <w:kern w:val="0"/>
                <w:sz w:val="24"/>
                <w:szCs w:val="24"/>
                <w:highlight w:val="none"/>
                <w:lang w:val="en-US" w:eastAsia="zh-CN" w:bidi="ar-SA"/>
              </w:rPr>
              <w:t>分。</w:t>
            </w:r>
          </w:p>
        </w:tc>
      </w:tr>
      <w:tr w14:paraId="5E426CEE">
        <w:tblPrEx>
          <w:tblCellMar>
            <w:top w:w="0" w:type="dxa"/>
            <w:left w:w="108" w:type="dxa"/>
            <w:bottom w:w="0" w:type="dxa"/>
            <w:right w:w="108" w:type="dxa"/>
          </w:tblCellMar>
        </w:tblPrEx>
        <w:trPr>
          <w:trHeight w:val="451" w:hRule="exac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02465E80">
            <w:pPr>
              <w:keepNext w:val="0"/>
              <w:keepLines w:val="0"/>
              <w:pageBreakBefore w:val="0"/>
              <w:widowControl w:val="0"/>
              <w:suppressLineNumbers w:val="0"/>
              <w:tabs>
                <w:tab w:val="left" w:pos="1354"/>
                <w:tab w:val="left" w:pos="1459"/>
                <w:tab w:val="center" w:pos="3902"/>
                <w:tab w:val="right" w:pos="7805"/>
              </w:tabs>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评分因素</w:t>
            </w:r>
          </w:p>
        </w:tc>
        <w:tc>
          <w:tcPr>
            <w:tcW w:w="4180" w:type="dxa"/>
            <w:gridSpan w:val="2"/>
            <w:tcBorders>
              <w:top w:val="single" w:color="auto" w:sz="4" w:space="0"/>
              <w:left w:val="single" w:color="auto" w:sz="4" w:space="0"/>
              <w:bottom w:val="single" w:color="auto" w:sz="4" w:space="0"/>
              <w:right w:val="single" w:color="auto" w:sz="4" w:space="0"/>
            </w:tcBorders>
            <w:noWrap w:val="0"/>
            <w:vAlign w:val="center"/>
          </w:tcPr>
          <w:p w14:paraId="3B18CE72">
            <w:pPr>
              <w:keepNext w:val="0"/>
              <w:keepLines w:val="0"/>
              <w:pageBreakBefore w:val="0"/>
              <w:widowControl w:val="0"/>
              <w:suppressLineNumbers w:val="0"/>
              <w:tabs>
                <w:tab w:val="left" w:pos="1354"/>
                <w:tab w:val="left" w:pos="1459"/>
                <w:tab w:val="center" w:pos="3902"/>
                <w:tab w:val="right" w:pos="7805"/>
              </w:tabs>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评分标准</w:t>
            </w:r>
          </w:p>
        </w:tc>
        <w:tc>
          <w:tcPr>
            <w:tcW w:w="4670" w:type="dxa"/>
            <w:tcBorders>
              <w:top w:val="single" w:color="auto" w:sz="4" w:space="0"/>
              <w:left w:val="single" w:color="auto" w:sz="4" w:space="0"/>
              <w:bottom w:val="single" w:color="auto" w:sz="4" w:space="0"/>
              <w:right w:val="single" w:color="auto" w:sz="4" w:space="0"/>
            </w:tcBorders>
            <w:noWrap w:val="0"/>
            <w:vAlign w:val="center"/>
          </w:tcPr>
          <w:p w14:paraId="2C943216">
            <w:pPr>
              <w:keepNext w:val="0"/>
              <w:keepLines w:val="0"/>
              <w:pageBreakBefore w:val="0"/>
              <w:widowControl w:val="0"/>
              <w:suppressLineNumbers w:val="0"/>
              <w:tabs>
                <w:tab w:val="left" w:pos="1354"/>
                <w:tab w:val="left" w:pos="1459"/>
                <w:tab w:val="center" w:pos="3902"/>
                <w:tab w:val="right" w:pos="7805"/>
              </w:tabs>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备注</w:t>
            </w:r>
          </w:p>
        </w:tc>
      </w:tr>
      <w:tr w14:paraId="78D80FC1">
        <w:tblPrEx>
          <w:tblCellMar>
            <w:top w:w="0" w:type="dxa"/>
            <w:left w:w="108" w:type="dxa"/>
            <w:bottom w:w="0" w:type="dxa"/>
            <w:right w:w="108" w:type="dxa"/>
          </w:tblCellMar>
        </w:tblPrEx>
        <w:trPr>
          <w:trHeight w:val="1160"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1F014656">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w:t>
            </w:r>
          </w:p>
          <w:p w14:paraId="72A7514C">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奖项</w:t>
            </w:r>
          </w:p>
          <w:p w14:paraId="44CBDA3D">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4180" w:type="dxa"/>
            <w:gridSpan w:val="2"/>
            <w:tcBorders>
              <w:top w:val="single" w:color="auto" w:sz="4" w:space="0"/>
              <w:left w:val="single" w:color="auto" w:sz="4" w:space="0"/>
              <w:bottom w:val="single" w:color="auto" w:sz="4" w:space="0"/>
              <w:right w:val="single" w:color="auto" w:sz="4" w:space="0"/>
            </w:tcBorders>
            <w:noWrap w:val="0"/>
            <w:vAlign w:val="center"/>
          </w:tcPr>
          <w:p w14:paraId="65386B0F">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企业近</w:t>
            </w:r>
            <w:r>
              <w:rPr>
                <w:rFonts w:hint="eastAsia" w:ascii="宋体" w:hAnsi="宋体" w:eastAsia="宋体" w:cs="宋体"/>
                <w:snapToGrid w:val="0"/>
                <w:color w:val="auto"/>
                <w:kern w:val="0"/>
                <w:sz w:val="24"/>
                <w:szCs w:val="24"/>
                <w:highlight w:val="none"/>
                <w:u w:val="single"/>
                <w:lang w:val="en-US" w:eastAsia="zh-CN"/>
              </w:rPr>
              <w:t>3</w:t>
            </w:r>
            <w:r>
              <w:rPr>
                <w:rFonts w:hint="eastAsia" w:ascii="宋体" w:hAnsi="宋体" w:eastAsia="宋体" w:cs="宋体"/>
                <w:snapToGrid w:val="0"/>
                <w:color w:val="auto"/>
                <w:kern w:val="0"/>
                <w:sz w:val="24"/>
                <w:szCs w:val="24"/>
                <w:highlight w:val="none"/>
              </w:rPr>
              <w:t>年来（20</w:t>
            </w:r>
            <w:r>
              <w:rPr>
                <w:rFonts w:hint="eastAsia" w:ascii="宋体" w:hAnsi="宋体" w:eastAsia="宋体" w:cs="宋体"/>
                <w:snapToGrid w:val="0"/>
                <w:color w:val="auto"/>
                <w:kern w:val="0"/>
                <w:sz w:val="24"/>
                <w:szCs w:val="24"/>
                <w:highlight w:val="none"/>
                <w:lang w:val="en-US" w:eastAsia="zh-CN"/>
              </w:rPr>
              <w:t>23</w:t>
            </w:r>
            <w:r>
              <w:rPr>
                <w:rFonts w:hint="eastAsia" w:ascii="宋体" w:hAnsi="宋体" w:eastAsia="宋体" w:cs="宋体"/>
                <w:snapToGrid w:val="0"/>
                <w:color w:val="auto"/>
                <w:kern w:val="0"/>
                <w:sz w:val="24"/>
                <w:szCs w:val="24"/>
                <w:highlight w:val="none"/>
              </w:rPr>
              <w:t>年1月1日至</w:t>
            </w:r>
            <w:r>
              <w:rPr>
                <w:rFonts w:hint="eastAsia" w:ascii="宋体" w:hAnsi="宋体" w:eastAsia="宋体" w:cs="宋体"/>
                <w:snapToGrid w:val="0"/>
                <w:color w:val="auto"/>
                <w:kern w:val="0"/>
                <w:sz w:val="24"/>
                <w:szCs w:val="24"/>
                <w:highlight w:val="none"/>
                <w:lang w:val="en-US" w:eastAsia="zh-CN"/>
              </w:rPr>
              <w:t>今</w:t>
            </w:r>
            <w:r>
              <w:rPr>
                <w:rFonts w:hint="eastAsia" w:ascii="宋体" w:hAnsi="宋体" w:eastAsia="宋体" w:cs="宋体"/>
                <w:snapToGrid w:val="0"/>
                <w:color w:val="auto"/>
                <w:kern w:val="0"/>
                <w:sz w:val="24"/>
                <w:szCs w:val="24"/>
                <w:highlight w:val="none"/>
              </w:rPr>
              <w:t>）获得</w:t>
            </w:r>
            <w:r>
              <w:rPr>
                <w:rFonts w:hint="eastAsia" w:ascii="宋体" w:hAnsi="宋体" w:eastAsia="宋体" w:cs="宋体"/>
                <w:snapToGrid w:val="0"/>
                <w:color w:val="auto"/>
                <w:kern w:val="0"/>
                <w:sz w:val="24"/>
                <w:szCs w:val="24"/>
                <w:highlight w:val="none"/>
                <w:u w:val="single"/>
              </w:rPr>
              <w:t>工程类</w:t>
            </w:r>
            <w:r>
              <w:rPr>
                <w:rFonts w:hint="eastAsia" w:ascii="宋体" w:hAnsi="宋体" w:eastAsia="宋体" w:cs="宋体"/>
                <w:snapToGrid w:val="0"/>
                <w:color w:val="auto"/>
                <w:kern w:val="0"/>
                <w:sz w:val="24"/>
                <w:szCs w:val="24"/>
                <w:highlight w:val="none"/>
              </w:rPr>
              <w:t>奖项情况：</w:t>
            </w:r>
          </w:p>
          <w:p w14:paraId="377BAA7A">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1．获得国家级奖项的，每个得</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rPr>
              <w:t>分。</w:t>
            </w:r>
          </w:p>
          <w:p w14:paraId="502965B1">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2．获得省级奖项的，每个得</w:t>
            </w:r>
            <w:r>
              <w:rPr>
                <w:rFonts w:hint="eastAsia" w:ascii="宋体" w:hAnsi="宋体" w:eastAsia="宋体" w:cs="宋体"/>
                <w:snapToGrid w:val="0"/>
                <w:color w:val="auto"/>
                <w:kern w:val="0"/>
                <w:sz w:val="24"/>
                <w:szCs w:val="24"/>
                <w:highlight w:val="none"/>
                <w:u w:val="single"/>
                <w:lang w:val="en-US" w:eastAsia="zh-CN"/>
              </w:rPr>
              <w:t>2</w:t>
            </w:r>
            <w:r>
              <w:rPr>
                <w:rFonts w:hint="eastAsia" w:ascii="宋体" w:hAnsi="宋体" w:eastAsia="宋体" w:cs="宋体"/>
                <w:snapToGrid w:val="0"/>
                <w:color w:val="auto"/>
                <w:kern w:val="0"/>
                <w:sz w:val="24"/>
                <w:szCs w:val="24"/>
                <w:highlight w:val="none"/>
              </w:rPr>
              <w:t>分。</w:t>
            </w:r>
          </w:p>
          <w:p w14:paraId="1E186FD9">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3．获得地市级奖项的，每个得</w:t>
            </w:r>
            <w:r>
              <w:rPr>
                <w:rFonts w:hint="eastAsia" w:ascii="宋体" w:hAnsi="宋体" w:eastAsia="宋体" w:cs="宋体"/>
                <w:snapToGrid w:val="0"/>
                <w:color w:val="auto"/>
                <w:kern w:val="0"/>
                <w:sz w:val="24"/>
                <w:szCs w:val="24"/>
                <w:highlight w:val="none"/>
                <w:u w:val="single"/>
                <w:lang w:val="en-US" w:eastAsia="zh-CN"/>
              </w:rPr>
              <w:t>1</w:t>
            </w:r>
            <w:r>
              <w:rPr>
                <w:rFonts w:hint="eastAsia" w:ascii="宋体" w:hAnsi="宋体" w:eastAsia="宋体" w:cs="宋体"/>
                <w:snapToGrid w:val="0"/>
                <w:color w:val="auto"/>
                <w:kern w:val="0"/>
                <w:sz w:val="24"/>
                <w:szCs w:val="24"/>
                <w:highlight w:val="none"/>
              </w:rPr>
              <w:t>分。</w:t>
            </w:r>
          </w:p>
          <w:p w14:paraId="589DC0A8">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4．以上奖项均未获得的，不予计分。</w:t>
            </w:r>
          </w:p>
          <w:p w14:paraId="0011006E">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i w:val="0"/>
                <w:i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5．本项最高得</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4670" w:type="dxa"/>
            <w:tcBorders>
              <w:top w:val="single" w:color="auto" w:sz="4" w:space="0"/>
              <w:left w:val="single" w:color="auto" w:sz="4" w:space="0"/>
              <w:bottom w:val="single" w:color="auto" w:sz="4" w:space="0"/>
              <w:right w:val="single" w:color="auto" w:sz="4" w:space="0"/>
            </w:tcBorders>
            <w:noWrap w:val="0"/>
            <w:vAlign w:val="center"/>
          </w:tcPr>
          <w:p w14:paraId="7245D034">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1．允许投标人提交多个业绩，但同一业绩只按最高级别奖项计分一次。</w:t>
            </w:r>
          </w:p>
          <w:p w14:paraId="0C2D4486">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2．需附有关奖项证明</w:t>
            </w:r>
            <w:r>
              <w:rPr>
                <w:rFonts w:hint="eastAsia" w:ascii="宋体" w:hAnsi="宋体" w:eastAsia="宋体" w:cs="宋体"/>
                <w:snapToGrid w:val="0"/>
                <w:color w:val="auto"/>
                <w:kern w:val="0"/>
                <w:sz w:val="24"/>
                <w:szCs w:val="24"/>
                <w:highlight w:val="none"/>
                <w:lang w:eastAsia="zh-CN"/>
              </w:rPr>
              <w:t>彩色</w:t>
            </w:r>
            <w:r>
              <w:rPr>
                <w:rFonts w:hint="eastAsia" w:ascii="宋体" w:hAnsi="宋体" w:eastAsia="宋体" w:cs="宋体"/>
                <w:snapToGrid w:val="0"/>
                <w:color w:val="auto"/>
                <w:kern w:val="0"/>
                <w:sz w:val="24"/>
                <w:szCs w:val="24"/>
                <w:highlight w:val="none"/>
              </w:rPr>
              <w:t>扫描件。</w:t>
            </w:r>
          </w:p>
          <w:p w14:paraId="6AF2A15C">
            <w:pPr>
              <w:keepNext w:val="0"/>
              <w:keepLines w:val="0"/>
              <w:pageBreakBefore w:val="0"/>
              <w:tabs>
                <w:tab w:val="left" w:pos="3654"/>
              </w:tabs>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3．颁发机构限定以下范围：</w:t>
            </w:r>
            <w:r>
              <w:rPr>
                <w:rFonts w:hint="eastAsia" w:ascii="宋体" w:hAnsi="宋体" w:eastAsia="宋体" w:cs="宋体"/>
                <w:snapToGrid w:val="0"/>
                <w:color w:val="auto"/>
                <w:kern w:val="0"/>
                <w:sz w:val="24"/>
                <w:szCs w:val="24"/>
                <w:highlight w:val="none"/>
                <w:lang w:eastAsia="zh-CN"/>
              </w:rPr>
              <w:tab/>
            </w:r>
          </w:p>
          <w:p w14:paraId="73B35F55">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①国家级奖项：</w:t>
            </w:r>
            <w:r>
              <w:rPr>
                <w:rFonts w:hint="eastAsia" w:ascii="宋体" w:hAnsi="宋体" w:eastAsia="宋体" w:cs="宋体"/>
                <w:snapToGrid w:val="0"/>
                <w:color w:val="auto"/>
                <w:kern w:val="0"/>
                <w:sz w:val="24"/>
                <w:szCs w:val="24"/>
                <w:highlight w:val="none"/>
                <w:u w:val="single"/>
              </w:rPr>
              <w:t>国务院、住建部、中国建筑业协会</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lang w:val="en-US" w:eastAsia="zh-CN"/>
              </w:rPr>
              <w:t>中国市政工程协会、中国土木工程学会、中国施工企业管理协会</w:t>
            </w:r>
            <w:r>
              <w:rPr>
                <w:rFonts w:hint="eastAsia" w:ascii="宋体" w:hAnsi="宋体" w:eastAsia="宋体" w:cs="宋体"/>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rPr>
              <w:t>（相关协会需经民政部门备案</w:t>
            </w:r>
            <w:r>
              <w:rPr>
                <w:rFonts w:hint="eastAsia" w:ascii="宋体" w:hAnsi="宋体" w:eastAsia="宋体" w:cs="宋体"/>
                <w:b/>
                <w:bCs/>
                <w:snapToGrid w:val="0"/>
                <w:color w:val="auto"/>
                <w:kern w:val="0"/>
                <w:sz w:val="24"/>
                <w:szCs w:val="24"/>
                <w:highlight w:val="none"/>
                <w:lang w:eastAsia="zh-CN"/>
              </w:rPr>
              <w:t>，</w:t>
            </w:r>
            <w:r>
              <w:rPr>
                <w:rFonts w:hint="eastAsia" w:ascii="宋体" w:hAnsi="宋体" w:eastAsia="宋体" w:cs="宋体"/>
                <w:b/>
                <w:bCs/>
                <w:snapToGrid w:val="0"/>
                <w:color w:val="auto"/>
                <w:kern w:val="0"/>
                <w:sz w:val="24"/>
                <w:szCs w:val="24"/>
                <w:highlight w:val="none"/>
                <w:lang w:val="en-US" w:eastAsia="zh-CN"/>
              </w:rPr>
              <w:t>提供其在国家社会组织网站的登记信息的查询结果证明文件</w:t>
            </w:r>
            <w:r>
              <w:rPr>
                <w:rFonts w:hint="eastAsia" w:ascii="宋体" w:hAnsi="宋体" w:eastAsia="宋体" w:cs="宋体"/>
                <w:b/>
                <w:bCs/>
                <w:snapToGrid w:val="0"/>
                <w:color w:val="auto"/>
                <w:kern w:val="0"/>
                <w:sz w:val="24"/>
                <w:szCs w:val="24"/>
                <w:highlight w:val="none"/>
              </w:rPr>
              <w:t>）</w:t>
            </w:r>
          </w:p>
          <w:p w14:paraId="0057EEAE">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②省级奖项：</w:t>
            </w:r>
            <w:r>
              <w:rPr>
                <w:rFonts w:hint="eastAsia" w:ascii="宋体" w:hAnsi="宋体" w:eastAsia="宋体" w:cs="宋体"/>
                <w:snapToGrid w:val="0"/>
                <w:color w:val="auto"/>
                <w:kern w:val="0"/>
                <w:sz w:val="24"/>
                <w:szCs w:val="24"/>
                <w:highlight w:val="none"/>
                <w:u w:val="single"/>
              </w:rPr>
              <w:t>省级人民政府、省级住建部门、省级建筑业协会</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lang w:val="en-US" w:eastAsia="zh-CN"/>
              </w:rPr>
              <w:t>省级人民政府、省级市政行业协会</w:t>
            </w:r>
            <w:r>
              <w:rPr>
                <w:rFonts w:hint="eastAsia" w:ascii="宋体" w:hAnsi="宋体" w:eastAsia="宋体" w:cs="宋体"/>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rPr>
              <w:t>（相关协会需经民政部门备案</w:t>
            </w:r>
            <w:r>
              <w:rPr>
                <w:rFonts w:hint="eastAsia" w:ascii="宋体" w:hAnsi="宋体" w:eastAsia="宋体" w:cs="宋体"/>
                <w:b/>
                <w:bCs/>
                <w:snapToGrid w:val="0"/>
                <w:color w:val="auto"/>
                <w:kern w:val="0"/>
                <w:sz w:val="24"/>
                <w:szCs w:val="24"/>
                <w:highlight w:val="none"/>
                <w:lang w:eastAsia="zh-CN"/>
              </w:rPr>
              <w:t>，</w:t>
            </w:r>
            <w:r>
              <w:rPr>
                <w:rFonts w:hint="eastAsia" w:ascii="宋体" w:hAnsi="宋体" w:eastAsia="宋体" w:cs="宋体"/>
                <w:b/>
                <w:bCs/>
                <w:snapToGrid w:val="0"/>
                <w:color w:val="auto"/>
                <w:kern w:val="0"/>
                <w:sz w:val="24"/>
                <w:szCs w:val="24"/>
                <w:highlight w:val="none"/>
                <w:lang w:val="en-US" w:eastAsia="zh-CN"/>
              </w:rPr>
              <w:t>提供其在国家社会组织网站的登记信息的查询结果证明文件</w:t>
            </w:r>
            <w:r>
              <w:rPr>
                <w:rFonts w:hint="eastAsia" w:ascii="宋体" w:hAnsi="宋体" w:eastAsia="宋体" w:cs="宋体"/>
                <w:b/>
                <w:bCs/>
                <w:snapToGrid w:val="0"/>
                <w:color w:val="auto"/>
                <w:kern w:val="0"/>
                <w:sz w:val="24"/>
                <w:szCs w:val="24"/>
                <w:highlight w:val="none"/>
              </w:rPr>
              <w:t>）</w:t>
            </w:r>
          </w:p>
          <w:p w14:paraId="09542995">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③地市级奖项：</w:t>
            </w:r>
            <w:r>
              <w:rPr>
                <w:rFonts w:hint="eastAsia" w:ascii="宋体" w:hAnsi="宋体" w:eastAsia="宋体" w:cs="宋体"/>
                <w:snapToGrid w:val="0"/>
                <w:color w:val="auto"/>
                <w:kern w:val="0"/>
                <w:sz w:val="24"/>
                <w:szCs w:val="24"/>
                <w:highlight w:val="none"/>
                <w:u w:val="single"/>
              </w:rPr>
              <w:t>地市级人民政府、地市级住建部门、地市级建筑协会</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lang w:val="en-US" w:eastAsia="zh-CN"/>
              </w:rPr>
              <w:t>地市级市政行业协会、地市级建筑业联合会</w:t>
            </w:r>
            <w:r>
              <w:rPr>
                <w:rFonts w:hint="eastAsia" w:ascii="宋体" w:hAnsi="宋体" w:eastAsia="宋体" w:cs="宋体"/>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rPr>
              <w:t>（相关协会需经民政部门备案</w:t>
            </w:r>
            <w:r>
              <w:rPr>
                <w:rFonts w:hint="eastAsia" w:ascii="宋体" w:hAnsi="宋体" w:eastAsia="宋体" w:cs="宋体"/>
                <w:b/>
                <w:bCs/>
                <w:snapToGrid w:val="0"/>
                <w:color w:val="auto"/>
                <w:kern w:val="0"/>
                <w:sz w:val="24"/>
                <w:szCs w:val="24"/>
                <w:highlight w:val="none"/>
                <w:lang w:eastAsia="zh-CN"/>
              </w:rPr>
              <w:t>，</w:t>
            </w:r>
            <w:r>
              <w:rPr>
                <w:rFonts w:hint="eastAsia" w:ascii="宋体" w:hAnsi="宋体" w:eastAsia="宋体" w:cs="宋体"/>
                <w:b/>
                <w:bCs/>
                <w:snapToGrid w:val="0"/>
                <w:color w:val="auto"/>
                <w:kern w:val="0"/>
                <w:sz w:val="24"/>
                <w:szCs w:val="24"/>
                <w:highlight w:val="none"/>
                <w:lang w:val="en-US" w:eastAsia="zh-CN"/>
              </w:rPr>
              <w:t>提供其在国家社会组织网站的登记信息的查询结果证明文件</w:t>
            </w:r>
            <w:r>
              <w:rPr>
                <w:rFonts w:hint="eastAsia" w:ascii="宋体" w:hAnsi="宋体" w:eastAsia="宋体" w:cs="宋体"/>
                <w:b/>
                <w:bCs/>
                <w:snapToGrid w:val="0"/>
                <w:color w:val="auto"/>
                <w:kern w:val="0"/>
                <w:sz w:val="24"/>
                <w:szCs w:val="24"/>
                <w:highlight w:val="none"/>
              </w:rPr>
              <w:t>）</w:t>
            </w:r>
          </w:p>
          <w:p w14:paraId="0EDC9154">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4．获奖时间以奖项证明的落款日期为准。</w:t>
            </w:r>
          </w:p>
          <w:p w14:paraId="14F4D73E">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5．任一奖项有以下情形之一的，该奖项视为无效，不予计分：</w:t>
            </w:r>
          </w:p>
          <w:p w14:paraId="4D51EA06">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①奖项不属于指定类别的；</w:t>
            </w:r>
          </w:p>
          <w:p w14:paraId="714B6DE1">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②颁发机构不符合要求的；</w:t>
            </w:r>
          </w:p>
          <w:p w14:paraId="1D9FAC73">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③获奖时间不符合要求的。</w:t>
            </w:r>
          </w:p>
          <w:p w14:paraId="0445CCAB">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b w:val="0"/>
                <w:bCs w:val="0"/>
                <w:i w:val="0"/>
                <w:i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说明：以上所称“要求”均指本表评分标准及备注的要求，下同。</w:t>
            </w:r>
          </w:p>
        </w:tc>
      </w:tr>
      <w:tr w14:paraId="3CD7FF8C">
        <w:tblPrEx>
          <w:tblCellMar>
            <w:top w:w="0" w:type="dxa"/>
            <w:left w:w="108" w:type="dxa"/>
            <w:bottom w:w="0" w:type="dxa"/>
            <w:right w:w="108" w:type="dxa"/>
          </w:tblCellMar>
        </w:tblPrEx>
        <w:trPr>
          <w:trHeight w:val="2591"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351959DE">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项目经理综合素质</w:t>
            </w:r>
          </w:p>
          <w:p w14:paraId="65DC2C63">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15</w:t>
            </w:r>
            <w:r>
              <w:rPr>
                <w:rFonts w:hint="eastAsia" w:ascii="宋体" w:hAnsi="宋体" w:eastAsia="宋体" w:cs="宋体"/>
                <w:snapToGrid w:val="0"/>
                <w:color w:val="auto"/>
                <w:kern w:val="0"/>
                <w:sz w:val="24"/>
                <w:szCs w:val="24"/>
                <w:highlight w:val="none"/>
              </w:rPr>
              <w:t>分）</w:t>
            </w:r>
          </w:p>
        </w:tc>
        <w:tc>
          <w:tcPr>
            <w:tcW w:w="4180" w:type="dxa"/>
            <w:gridSpan w:val="2"/>
            <w:tcBorders>
              <w:top w:val="single" w:color="auto" w:sz="4" w:space="0"/>
              <w:left w:val="single" w:color="auto" w:sz="4" w:space="0"/>
              <w:bottom w:val="single" w:color="auto" w:sz="4" w:space="0"/>
              <w:right w:val="single" w:color="auto" w:sz="4" w:space="0"/>
            </w:tcBorders>
            <w:noWrap w:val="0"/>
            <w:vAlign w:val="center"/>
          </w:tcPr>
          <w:p w14:paraId="4599B7AD">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项目经理工程类技术职称情况：</w:t>
            </w:r>
          </w:p>
          <w:p w14:paraId="7940BEAB">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1.具备工程师</w:t>
            </w:r>
            <w:r>
              <w:rPr>
                <w:rFonts w:hint="eastAsia" w:ascii="宋体" w:hAnsi="宋体" w:eastAsia="宋体" w:cs="宋体"/>
                <w:snapToGrid w:val="0"/>
                <w:color w:val="auto"/>
                <w:kern w:val="0"/>
                <w:sz w:val="24"/>
                <w:szCs w:val="24"/>
                <w:highlight w:val="none"/>
                <w:lang w:val="en-US" w:eastAsia="zh-CN"/>
              </w:rPr>
              <w:t>或以上</w:t>
            </w:r>
            <w:r>
              <w:rPr>
                <w:rFonts w:hint="eastAsia" w:ascii="宋体" w:hAnsi="宋体" w:eastAsia="宋体" w:cs="宋体"/>
                <w:snapToGrid w:val="0"/>
                <w:color w:val="auto"/>
                <w:kern w:val="0"/>
                <w:sz w:val="24"/>
                <w:szCs w:val="24"/>
                <w:highlight w:val="none"/>
              </w:rPr>
              <w:t>职称的，得</w:t>
            </w:r>
            <w:r>
              <w:rPr>
                <w:rFonts w:hint="eastAsia" w:ascii="宋体" w:hAnsi="宋体" w:eastAsia="宋体" w:cs="宋体"/>
                <w:snapToGrid w:val="0"/>
                <w:color w:val="auto"/>
                <w:kern w:val="0"/>
                <w:sz w:val="24"/>
                <w:szCs w:val="24"/>
                <w:highlight w:val="none"/>
                <w:u w:val="single"/>
                <w:lang w:val="en-US" w:eastAsia="zh-CN"/>
              </w:rPr>
              <w:t>15</w:t>
            </w:r>
            <w:r>
              <w:rPr>
                <w:rFonts w:hint="eastAsia" w:ascii="宋体" w:hAnsi="宋体" w:eastAsia="宋体" w:cs="宋体"/>
                <w:snapToGrid w:val="0"/>
                <w:color w:val="auto"/>
                <w:kern w:val="0"/>
                <w:sz w:val="24"/>
                <w:szCs w:val="24"/>
                <w:highlight w:val="none"/>
              </w:rPr>
              <w:t>分。</w:t>
            </w:r>
          </w:p>
          <w:p w14:paraId="4E0B3B62">
            <w:pPr>
              <w:keepNext w:val="0"/>
              <w:keepLines w:val="0"/>
              <w:pageBreakBefore w:val="0"/>
              <w:tabs>
                <w:tab w:val="left" w:pos="312"/>
              </w:tabs>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2.具备助理工程师职称的，得</w:t>
            </w:r>
            <w:r>
              <w:rPr>
                <w:rFonts w:hint="eastAsia" w:ascii="宋体" w:hAnsi="宋体" w:eastAsia="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分。</w:t>
            </w:r>
          </w:p>
          <w:p w14:paraId="0E25FAF4">
            <w:pPr>
              <w:keepNext w:val="0"/>
              <w:keepLines w:val="0"/>
              <w:pageBreakBefore w:val="0"/>
              <w:tabs>
                <w:tab w:val="left" w:pos="312"/>
              </w:tabs>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3.不具备以上职称的</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或未提供职称证书扫描件的，</w:t>
            </w:r>
            <w:r>
              <w:rPr>
                <w:rFonts w:hint="eastAsia" w:ascii="宋体" w:hAnsi="宋体" w:eastAsia="宋体" w:cs="宋体"/>
                <w:snapToGrid w:val="0"/>
                <w:color w:val="auto"/>
                <w:kern w:val="0"/>
                <w:sz w:val="24"/>
                <w:szCs w:val="24"/>
                <w:highlight w:val="none"/>
              </w:rPr>
              <w:t>不予计分。</w:t>
            </w:r>
          </w:p>
          <w:p w14:paraId="45690A78">
            <w:pPr>
              <w:keepNext w:val="0"/>
              <w:keepLines w:val="0"/>
              <w:pageBreakBefore w:val="0"/>
              <w:tabs>
                <w:tab w:val="left" w:pos="312"/>
              </w:tabs>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本项最高得10分。</w:t>
            </w:r>
          </w:p>
        </w:tc>
        <w:tc>
          <w:tcPr>
            <w:tcW w:w="4670" w:type="dxa"/>
            <w:tcBorders>
              <w:top w:val="single" w:color="auto" w:sz="4" w:space="0"/>
              <w:left w:val="single" w:color="auto" w:sz="4" w:space="0"/>
              <w:bottom w:val="single" w:color="auto" w:sz="4" w:space="0"/>
              <w:right w:val="single" w:color="auto" w:sz="4" w:space="0"/>
            </w:tcBorders>
            <w:noWrap w:val="0"/>
            <w:vAlign w:val="center"/>
          </w:tcPr>
          <w:p w14:paraId="1C744297">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需附职称证</w:t>
            </w:r>
            <w:r>
              <w:rPr>
                <w:rFonts w:hint="eastAsia" w:ascii="宋体" w:hAnsi="宋体" w:eastAsia="宋体" w:cs="宋体"/>
                <w:snapToGrid w:val="0"/>
                <w:color w:val="auto"/>
                <w:kern w:val="0"/>
                <w:sz w:val="24"/>
                <w:szCs w:val="24"/>
                <w:highlight w:val="none"/>
                <w:lang w:eastAsia="zh-CN"/>
              </w:rPr>
              <w:t>彩色</w:t>
            </w:r>
            <w:r>
              <w:rPr>
                <w:rFonts w:hint="eastAsia" w:ascii="宋体" w:hAnsi="宋体" w:eastAsia="宋体" w:cs="宋体"/>
                <w:snapToGrid w:val="0"/>
                <w:color w:val="auto"/>
                <w:kern w:val="0"/>
                <w:sz w:val="24"/>
                <w:szCs w:val="24"/>
                <w:highlight w:val="none"/>
              </w:rPr>
              <w:t>扫描件。</w:t>
            </w:r>
          </w:p>
        </w:tc>
      </w:tr>
      <w:tr w14:paraId="53727ED9">
        <w:tblPrEx>
          <w:tblCellMar>
            <w:top w:w="0" w:type="dxa"/>
            <w:left w:w="108" w:type="dxa"/>
            <w:bottom w:w="0" w:type="dxa"/>
            <w:right w:w="108" w:type="dxa"/>
          </w:tblCellMar>
        </w:tblPrEx>
        <w:trPr>
          <w:trHeight w:val="3868"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61AF42D8">
            <w:pPr>
              <w:pStyle w:val="5"/>
              <w:keepNext w:val="0"/>
              <w:keepLines w:val="0"/>
              <w:pageBreakBefore w:val="0"/>
              <w:widowControl/>
              <w:kinsoku/>
              <w:overflowPunct/>
              <w:topLinePunct w:val="0"/>
              <w:autoSpaceDE/>
              <w:autoSpaceDN/>
              <w:bidi w:val="0"/>
              <w:adjustRightInd w:val="0"/>
              <w:snapToGrid w:val="0"/>
              <w:spacing w:after="0" w:afterLines="0" w:line="360" w:lineRule="auto"/>
              <w:ind w:right="84" w:rightChars="4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企业</w:t>
            </w:r>
          </w:p>
          <w:p w14:paraId="7448F286">
            <w:pPr>
              <w:pStyle w:val="5"/>
              <w:keepNext w:val="0"/>
              <w:keepLines w:val="0"/>
              <w:pageBreakBefore w:val="0"/>
              <w:widowControl/>
              <w:kinsoku/>
              <w:overflowPunct/>
              <w:topLinePunct w:val="0"/>
              <w:autoSpaceDE/>
              <w:autoSpaceDN/>
              <w:bidi w:val="0"/>
              <w:adjustRightInd w:val="0"/>
              <w:snapToGrid w:val="0"/>
              <w:spacing w:after="0" w:afterLines="0" w:line="360" w:lineRule="auto"/>
              <w:ind w:right="84" w:rightChars="4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业绩</w:t>
            </w:r>
          </w:p>
          <w:p w14:paraId="4D12CFB2">
            <w:pPr>
              <w:pStyle w:val="5"/>
              <w:keepNext w:val="0"/>
              <w:keepLines w:val="0"/>
              <w:pageBreakBefore w:val="0"/>
              <w:widowControl/>
              <w:kinsoku/>
              <w:overflowPunct/>
              <w:topLinePunct w:val="0"/>
              <w:autoSpaceDE/>
              <w:autoSpaceDN/>
              <w:bidi w:val="0"/>
              <w:adjustRightInd w:val="0"/>
              <w:snapToGrid w:val="0"/>
              <w:spacing w:after="0" w:afterLines="0" w:line="360" w:lineRule="auto"/>
              <w:ind w:right="84" w:rightChars="4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（15分）</w:t>
            </w:r>
          </w:p>
        </w:tc>
        <w:tc>
          <w:tcPr>
            <w:tcW w:w="4180" w:type="dxa"/>
            <w:gridSpan w:val="2"/>
            <w:tcBorders>
              <w:top w:val="single" w:color="auto" w:sz="4" w:space="0"/>
              <w:left w:val="single" w:color="auto" w:sz="4" w:space="0"/>
              <w:bottom w:val="single" w:color="auto" w:sz="4" w:space="0"/>
              <w:right w:val="single" w:color="auto" w:sz="4" w:space="0"/>
            </w:tcBorders>
            <w:noWrap w:val="0"/>
            <w:vAlign w:val="center"/>
          </w:tcPr>
          <w:p w14:paraId="2CB8B14D">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企业近</w:t>
            </w:r>
            <w:r>
              <w:rPr>
                <w:rFonts w:hint="eastAsia" w:ascii="宋体" w:hAnsi="宋体" w:eastAsia="宋体" w:cs="宋体"/>
                <w:b w:val="0"/>
                <w:bCs w:val="0"/>
                <w:snapToGrid w:val="0"/>
                <w:color w:val="auto"/>
                <w:kern w:val="0"/>
                <w:sz w:val="24"/>
                <w:szCs w:val="24"/>
                <w:highlight w:val="none"/>
                <w:u w:val="single"/>
                <w:lang w:val="en-US" w:eastAsia="zh-CN"/>
              </w:rPr>
              <w:t>3</w:t>
            </w:r>
            <w:r>
              <w:rPr>
                <w:rFonts w:hint="eastAsia" w:ascii="宋体" w:hAnsi="宋体" w:eastAsia="宋体" w:cs="宋体"/>
                <w:snapToGrid w:val="0"/>
                <w:color w:val="auto"/>
                <w:kern w:val="0"/>
                <w:sz w:val="24"/>
                <w:szCs w:val="24"/>
                <w:highlight w:val="none"/>
              </w:rPr>
              <w:t>年来（20</w:t>
            </w:r>
            <w:r>
              <w:rPr>
                <w:rFonts w:hint="eastAsia" w:ascii="宋体" w:hAnsi="宋体" w:eastAsia="宋体" w:cs="宋体"/>
                <w:snapToGrid w:val="0"/>
                <w:color w:val="auto"/>
                <w:kern w:val="0"/>
                <w:sz w:val="24"/>
                <w:szCs w:val="24"/>
                <w:highlight w:val="none"/>
                <w:lang w:val="en-US" w:eastAsia="zh-CN"/>
              </w:rPr>
              <w:t>23</w:t>
            </w:r>
            <w:r>
              <w:rPr>
                <w:rFonts w:hint="eastAsia" w:ascii="宋体" w:hAnsi="宋体" w:eastAsia="宋体" w:cs="宋体"/>
                <w:snapToGrid w:val="0"/>
                <w:color w:val="auto"/>
                <w:kern w:val="0"/>
                <w:sz w:val="24"/>
                <w:szCs w:val="24"/>
                <w:highlight w:val="none"/>
              </w:rPr>
              <w:t>年1月1日至</w:t>
            </w:r>
            <w:r>
              <w:rPr>
                <w:rFonts w:hint="eastAsia" w:ascii="宋体" w:hAnsi="宋体" w:eastAsia="宋体" w:cs="宋体"/>
                <w:snapToGrid w:val="0"/>
                <w:color w:val="auto"/>
                <w:kern w:val="0"/>
                <w:sz w:val="24"/>
                <w:szCs w:val="24"/>
                <w:highlight w:val="none"/>
                <w:lang w:val="en-US" w:eastAsia="zh-CN"/>
              </w:rPr>
              <w:t>今</w:t>
            </w:r>
            <w:r>
              <w:rPr>
                <w:rFonts w:hint="eastAsia" w:ascii="宋体" w:hAnsi="宋体" w:eastAsia="宋体" w:cs="宋体"/>
                <w:snapToGrid w:val="0"/>
                <w:color w:val="auto"/>
                <w:kern w:val="0"/>
                <w:sz w:val="24"/>
                <w:szCs w:val="24"/>
                <w:highlight w:val="none"/>
              </w:rPr>
              <w:t>）业绩情况：</w:t>
            </w:r>
          </w:p>
          <w:p w14:paraId="37B780BF">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u w:val="single"/>
              </w:rPr>
              <w:t>承接</w:t>
            </w:r>
            <w:r>
              <w:rPr>
                <w:rFonts w:hint="eastAsia" w:ascii="宋体" w:hAnsi="宋体" w:eastAsia="宋体" w:cs="宋体"/>
                <w:snapToGrid w:val="0"/>
                <w:color w:val="auto"/>
                <w:kern w:val="0"/>
                <w:sz w:val="24"/>
                <w:szCs w:val="24"/>
                <w:highlight w:val="none"/>
              </w:rPr>
              <w:t>过类似工程的，每个得</w:t>
            </w:r>
            <w:r>
              <w:rPr>
                <w:rFonts w:hint="eastAsia" w:ascii="宋体" w:hAnsi="宋体" w:eastAsia="宋体" w:cs="宋体"/>
                <w:snapToGrid w:val="0"/>
                <w:color w:val="auto"/>
                <w:kern w:val="0"/>
                <w:sz w:val="24"/>
                <w:szCs w:val="24"/>
                <w:highlight w:val="none"/>
                <w:u w:val="single"/>
              </w:rPr>
              <w:t>5</w:t>
            </w:r>
            <w:r>
              <w:rPr>
                <w:rFonts w:hint="eastAsia" w:ascii="宋体" w:hAnsi="宋体" w:eastAsia="宋体" w:cs="宋体"/>
                <w:snapToGrid w:val="0"/>
                <w:color w:val="auto"/>
                <w:kern w:val="0"/>
                <w:sz w:val="24"/>
                <w:szCs w:val="24"/>
                <w:highlight w:val="none"/>
              </w:rPr>
              <w:t>分。</w:t>
            </w:r>
          </w:p>
          <w:p w14:paraId="45697BFA">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2．未</w:t>
            </w:r>
            <w:r>
              <w:rPr>
                <w:rFonts w:hint="eastAsia" w:ascii="宋体" w:hAnsi="宋体" w:eastAsia="宋体" w:cs="宋体"/>
                <w:snapToGrid w:val="0"/>
                <w:color w:val="auto"/>
                <w:kern w:val="0"/>
                <w:sz w:val="24"/>
                <w:szCs w:val="24"/>
                <w:highlight w:val="none"/>
                <w:u w:val="single"/>
              </w:rPr>
              <w:t>承接</w:t>
            </w:r>
            <w:r>
              <w:rPr>
                <w:rFonts w:hint="eastAsia" w:ascii="宋体" w:hAnsi="宋体" w:eastAsia="宋体" w:cs="宋体"/>
                <w:snapToGrid w:val="0"/>
                <w:color w:val="auto"/>
                <w:kern w:val="0"/>
                <w:sz w:val="24"/>
                <w:szCs w:val="24"/>
                <w:highlight w:val="none"/>
              </w:rPr>
              <w:t>过类似工程的，不予计分。</w:t>
            </w:r>
          </w:p>
          <w:p w14:paraId="7ABD2D4A">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3．本项最高得1</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4670" w:type="dxa"/>
            <w:tcBorders>
              <w:top w:val="single" w:color="auto" w:sz="4" w:space="0"/>
              <w:left w:val="single" w:color="auto" w:sz="4" w:space="0"/>
              <w:bottom w:val="single" w:color="auto" w:sz="4" w:space="0"/>
              <w:right w:val="single" w:color="auto" w:sz="4" w:space="0"/>
            </w:tcBorders>
            <w:noWrap w:val="0"/>
            <w:vAlign w:val="center"/>
          </w:tcPr>
          <w:p w14:paraId="71AC612D">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u w:val="single"/>
                <w:lang w:val="en-US" w:eastAsia="zh-CN"/>
              </w:rPr>
            </w:pPr>
            <w:r>
              <w:rPr>
                <w:rFonts w:hint="eastAsia" w:ascii="宋体" w:hAnsi="宋体" w:eastAsia="宋体" w:cs="宋体"/>
                <w:snapToGrid w:val="0"/>
                <w:color w:val="auto"/>
                <w:kern w:val="0"/>
                <w:sz w:val="24"/>
                <w:szCs w:val="24"/>
                <w:highlight w:val="none"/>
              </w:rPr>
              <w:t>1．类似工程指：</w:t>
            </w:r>
            <w:r>
              <w:rPr>
                <w:rFonts w:hint="eastAsia" w:ascii="宋体" w:hAnsi="宋体" w:eastAsia="宋体" w:cs="宋体"/>
                <w:snapToGrid w:val="0"/>
                <w:color w:val="auto"/>
                <w:kern w:val="0"/>
                <w:sz w:val="24"/>
                <w:szCs w:val="24"/>
                <w:highlight w:val="none"/>
                <w:u w:val="single"/>
                <w:lang w:val="en-US" w:eastAsia="zh-CN"/>
              </w:rPr>
              <w:t>市政类工程。</w:t>
            </w:r>
          </w:p>
          <w:p w14:paraId="4DF157B4">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2．需附有关业绩合同协议书关键页</w:t>
            </w:r>
            <w:r>
              <w:rPr>
                <w:rFonts w:hint="eastAsia" w:ascii="宋体" w:hAnsi="宋体" w:eastAsia="宋体" w:cs="宋体"/>
                <w:snapToGrid w:val="0"/>
                <w:color w:val="auto"/>
                <w:kern w:val="0"/>
                <w:sz w:val="24"/>
                <w:szCs w:val="24"/>
                <w:highlight w:val="none"/>
                <w:lang w:eastAsia="zh-CN"/>
              </w:rPr>
              <w:t>彩色</w:t>
            </w:r>
            <w:r>
              <w:rPr>
                <w:rFonts w:hint="eastAsia" w:ascii="宋体" w:hAnsi="宋体" w:eastAsia="宋体" w:cs="宋体"/>
                <w:snapToGrid w:val="0"/>
                <w:color w:val="auto"/>
                <w:kern w:val="0"/>
                <w:sz w:val="24"/>
                <w:szCs w:val="24"/>
                <w:highlight w:val="none"/>
              </w:rPr>
              <w:t>扫描件。</w:t>
            </w:r>
          </w:p>
          <w:p w14:paraId="2997C209">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3．业绩时间以合同协议书日期为准。</w:t>
            </w:r>
          </w:p>
          <w:p w14:paraId="7925F154">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4．任一业绩有以下情形之一的，该业绩视为无效，不予计分：</w:t>
            </w:r>
          </w:p>
          <w:p w14:paraId="0610BA11">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①业绩不属于类似工程的；</w:t>
            </w:r>
          </w:p>
          <w:p w14:paraId="4C260982">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②业绩时间不符合要求的</w:t>
            </w:r>
            <w:r>
              <w:rPr>
                <w:rFonts w:hint="eastAsia" w:ascii="宋体" w:hAnsi="宋体" w:eastAsia="宋体" w:cs="宋体"/>
                <w:snapToGrid w:val="0"/>
                <w:color w:val="auto"/>
                <w:kern w:val="0"/>
                <w:sz w:val="24"/>
                <w:szCs w:val="24"/>
                <w:highlight w:val="none"/>
                <w:lang w:eastAsia="zh-CN"/>
              </w:rPr>
              <w:t>。</w:t>
            </w:r>
          </w:p>
        </w:tc>
      </w:tr>
      <w:tr w14:paraId="727207F6">
        <w:tblPrEx>
          <w:tblCellMar>
            <w:top w:w="0" w:type="dxa"/>
            <w:left w:w="108" w:type="dxa"/>
            <w:bottom w:w="0" w:type="dxa"/>
            <w:right w:w="108" w:type="dxa"/>
          </w:tblCellMar>
        </w:tblPrEx>
        <w:trPr>
          <w:trHeight w:val="3982"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59B09C25">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企业银行资信评级</w:t>
            </w:r>
          </w:p>
          <w:p w14:paraId="6AC78032">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4180" w:type="dxa"/>
            <w:gridSpan w:val="2"/>
            <w:tcBorders>
              <w:top w:val="single" w:color="auto" w:sz="4" w:space="0"/>
              <w:left w:val="single" w:color="auto" w:sz="4" w:space="0"/>
              <w:bottom w:val="single" w:color="auto" w:sz="4" w:space="0"/>
              <w:right w:val="single" w:color="auto" w:sz="4" w:space="0"/>
            </w:tcBorders>
            <w:noWrap w:val="0"/>
            <w:vAlign w:val="center"/>
          </w:tcPr>
          <w:p w14:paraId="5BB63F8D">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textAlignment w:val="auto"/>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1.银行资信评级AAA的，得5分；</w:t>
            </w:r>
          </w:p>
          <w:p w14:paraId="0D7A66C6">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textAlignment w:val="auto"/>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2.银行资信评级AA(含AA+、AA-)的，得3分。</w:t>
            </w:r>
          </w:p>
          <w:p w14:paraId="7DA7F1CD">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textAlignment w:val="auto"/>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3．银行资信评级A(含A+、A-)得1分。</w:t>
            </w:r>
          </w:p>
          <w:p w14:paraId="142B60C1">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textAlignment w:val="auto"/>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3．未获得过以上评级的，或评级证书（证明）无效的，不予计分。</w:t>
            </w:r>
          </w:p>
          <w:p w14:paraId="6EE70919">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textAlignment w:val="auto"/>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snapToGrid w:val="0"/>
                <w:color w:val="auto"/>
                <w:kern w:val="0"/>
                <w:sz w:val="24"/>
                <w:szCs w:val="24"/>
                <w:highlight w:val="none"/>
                <w:lang w:val="en-US" w:eastAsia="zh-CN" w:bidi="ar"/>
              </w:rPr>
              <w:t>4.本项最高得5分。</w:t>
            </w:r>
          </w:p>
        </w:tc>
        <w:tc>
          <w:tcPr>
            <w:tcW w:w="4670" w:type="dxa"/>
            <w:tcBorders>
              <w:top w:val="single" w:color="auto" w:sz="4" w:space="0"/>
              <w:left w:val="single" w:color="auto" w:sz="4" w:space="0"/>
              <w:bottom w:val="single" w:color="auto" w:sz="4" w:space="0"/>
              <w:right w:val="single" w:color="auto" w:sz="4" w:space="0"/>
            </w:tcBorders>
            <w:noWrap w:val="0"/>
            <w:vAlign w:val="center"/>
          </w:tcPr>
          <w:p w14:paraId="4048D44B">
            <w:pPr>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1．需附在有效期内的资信评级证书（证明）</w:t>
            </w:r>
            <w:r>
              <w:rPr>
                <w:rFonts w:hint="eastAsia" w:ascii="宋体" w:hAnsi="宋体" w:eastAsia="宋体" w:cs="宋体"/>
                <w:snapToGrid w:val="0"/>
                <w:color w:val="auto"/>
                <w:kern w:val="0"/>
                <w:sz w:val="24"/>
                <w:szCs w:val="24"/>
                <w:highlight w:val="none"/>
                <w:lang w:eastAsia="zh-CN"/>
              </w:rPr>
              <w:t>彩色</w:t>
            </w:r>
            <w:r>
              <w:rPr>
                <w:rFonts w:hint="eastAsia" w:ascii="宋体" w:hAnsi="宋体" w:eastAsia="宋体" w:cs="宋体"/>
                <w:snapToGrid w:val="0"/>
                <w:color w:val="auto"/>
                <w:kern w:val="0"/>
                <w:sz w:val="24"/>
                <w:szCs w:val="24"/>
                <w:highlight w:val="none"/>
              </w:rPr>
              <w:t>扫描件。</w:t>
            </w:r>
          </w:p>
          <w:p w14:paraId="18FD2B17">
            <w:pPr>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2．评级证书（证明）须由</w:t>
            </w:r>
            <w:r>
              <w:rPr>
                <w:rFonts w:hint="eastAsia" w:ascii="宋体" w:hAnsi="宋体" w:eastAsia="宋体" w:cs="宋体"/>
                <w:snapToGrid w:val="0"/>
                <w:color w:val="auto"/>
                <w:kern w:val="0"/>
                <w:sz w:val="24"/>
                <w:szCs w:val="24"/>
                <w:highlight w:val="none"/>
                <w:u w:val="single"/>
                <w:lang w:val="en-US" w:eastAsia="zh-CN"/>
              </w:rPr>
              <w:t>企业基本账户开户银行/</w:t>
            </w:r>
            <w:r>
              <w:rPr>
                <w:rFonts w:hint="eastAsia" w:ascii="宋体" w:hAnsi="宋体" w:eastAsia="宋体" w:cs="宋体"/>
                <w:snapToGrid w:val="0"/>
                <w:color w:val="auto"/>
                <w:kern w:val="0"/>
                <w:sz w:val="24"/>
                <w:szCs w:val="24"/>
                <w:highlight w:val="none"/>
                <w:u w:val="single"/>
              </w:rPr>
              <w:t>市级或以</w:t>
            </w:r>
            <w:r>
              <w:rPr>
                <w:rFonts w:hint="eastAsia" w:ascii="宋体" w:hAnsi="宋体" w:eastAsia="宋体" w:cs="宋体"/>
                <w:snapToGrid w:val="0"/>
                <w:color w:val="auto"/>
                <w:kern w:val="0"/>
                <w:sz w:val="24"/>
                <w:szCs w:val="24"/>
                <w:highlight w:val="none"/>
                <w:u w:val="single"/>
                <w:lang w:val="en-US" w:eastAsia="zh-CN"/>
              </w:rPr>
              <w:t>上</w:t>
            </w:r>
            <w:r>
              <w:rPr>
                <w:rFonts w:hint="eastAsia" w:ascii="宋体" w:hAnsi="宋体" w:eastAsia="宋体" w:cs="宋体"/>
                <w:snapToGrid w:val="0"/>
                <w:color w:val="auto"/>
                <w:kern w:val="0"/>
                <w:sz w:val="24"/>
                <w:szCs w:val="24"/>
                <w:highlight w:val="none"/>
                <w:u w:val="single"/>
              </w:rPr>
              <w:t>金融机构</w:t>
            </w:r>
            <w:r>
              <w:rPr>
                <w:rFonts w:hint="eastAsia" w:ascii="宋体" w:hAnsi="宋体" w:eastAsia="宋体" w:cs="宋体"/>
                <w:snapToGrid w:val="0"/>
                <w:color w:val="auto"/>
                <w:kern w:val="0"/>
                <w:sz w:val="24"/>
                <w:szCs w:val="24"/>
                <w:highlight w:val="none"/>
              </w:rPr>
              <w:t>出具。</w:t>
            </w:r>
          </w:p>
          <w:p w14:paraId="2102AB6C">
            <w:pPr>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3．评级证书（证明）有以下情形之一的，视为无效：</w:t>
            </w:r>
          </w:p>
          <w:p w14:paraId="5F891C0F">
            <w:pPr>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①评级证书（证明）不在有效期内的；</w:t>
            </w:r>
          </w:p>
          <w:p w14:paraId="23EC46DD">
            <w:pPr>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snapToGrid w:val="0"/>
                <w:color w:val="auto"/>
                <w:kern w:val="0"/>
                <w:sz w:val="24"/>
                <w:szCs w:val="24"/>
                <w:highlight w:val="none"/>
              </w:rPr>
              <w:t>②出具机构不符合要求的</w:t>
            </w:r>
            <w:r>
              <w:rPr>
                <w:rFonts w:hint="eastAsia" w:ascii="宋体" w:hAnsi="宋体" w:eastAsia="宋体" w:cs="宋体"/>
                <w:snapToGrid w:val="0"/>
                <w:color w:val="auto"/>
                <w:kern w:val="0"/>
                <w:sz w:val="24"/>
                <w:szCs w:val="24"/>
                <w:highlight w:val="none"/>
                <w:lang w:eastAsia="zh-CN"/>
              </w:rPr>
              <w:t>。</w:t>
            </w:r>
          </w:p>
        </w:tc>
      </w:tr>
      <w:tr w14:paraId="0C387CF1">
        <w:tblPrEx>
          <w:tblCellMar>
            <w:top w:w="0" w:type="dxa"/>
            <w:left w:w="108" w:type="dxa"/>
            <w:bottom w:w="0" w:type="dxa"/>
            <w:right w:w="108" w:type="dxa"/>
          </w:tblCellMar>
        </w:tblPrEx>
        <w:trPr>
          <w:trHeight w:val="2287"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716B6425">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auto"/>
              <w:ind w:left="0" w:leftChars="0" w:right="84" w:rightChars="40" w:firstLine="0" w:firstLineChars="0"/>
              <w:jc w:val="center"/>
              <w:textAlignment w:val="auto"/>
              <w:outlineLvl w:val="9"/>
              <w:rPr>
                <w:rFonts w:hint="eastAsia" w:ascii="宋体" w:hAnsi="宋体" w:eastAsia="宋体" w:cs="宋体"/>
                <w:caps w:val="0"/>
                <w:smallCaps w:val="0"/>
                <w:snapToGrid w:val="0"/>
                <w:color w:val="auto"/>
                <w:spacing w:val="0"/>
                <w:kern w:val="0"/>
                <w:sz w:val="24"/>
                <w:szCs w:val="24"/>
                <w:highlight w:val="none"/>
                <w:lang w:eastAsia="zh-CN" w:bidi="ar"/>
              </w:rPr>
            </w:pPr>
            <w:r>
              <w:rPr>
                <w:rFonts w:hint="eastAsia" w:ascii="宋体" w:hAnsi="宋体" w:eastAsia="宋体" w:cs="宋体"/>
                <w:caps w:val="0"/>
                <w:smallCaps w:val="0"/>
                <w:snapToGrid w:val="0"/>
                <w:color w:val="auto"/>
                <w:spacing w:val="0"/>
                <w:kern w:val="0"/>
                <w:sz w:val="24"/>
                <w:szCs w:val="24"/>
                <w:highlight w:val="none"/>
                <w:lang w:eastAsia="zh-CN" w:bidi="ar"/>
              </w:rPr>
              <w:t>企业管理体系认证</w:t>
            </w:r>
          </w:p>
          <w:p w14:paraId="798AF124">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auto"/>
              <w:ind w:left="0" w:leftChars="0" w:right="84" w:rightChars="40" w:firstLine="0" w:firstLineChars="0"/>
              <w:jc w:val="center"/>
              <w:textAlignment w:val="auto"/>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aps w:val="0"/>
                <w:smallCaps w:val="0"/>
                <w:snapToGrid w:val="0"/>
                <w:color w:val="auto"/>
                <w:spacing w:val="0"/>
                <w:kern w:val="0"/>
                <w:sz w:val="24"/>
                <w:szCs w:val="24"/>
                <w:highlight w:val="none"/>
                <w:lang w:eastAsia="zh-CN" w:bidi="ar"/>
              </w:rPr>
              <w:t>（</w:t>
            </w:r>
            <w:r>
              <w:rPr>
                <w:rFonts w:hint="eastAsia" w:ascii="宋体" w:hAnsi="宋体" w:eastAsia="宋体" w:cs="宋体"/>
                <w:b w:val="0"/>
                <w:bCs w:val="0"/>
                <w:caps w:val="0"/>
                <w:smallCaps w:val="0"/>
                <w:snapToGrid w:val="0"/>
                <w:color w:val="auto"/>
                <w:spacing w:val="0"/>
                <w:kern w:val="0"/>
                <w:sz w:val="24"/>
                <w:szCs w:val="24"/>
                <w:highlight w:val="none"/>
                <w:lang w:val="en-US" w:eastAsia="zh-CN" w:bidi="ar"/>
              </w:rPr>
              <w:t>10</w:t>
            </w:r>
            <w:r>
              <w:rPr>
                <w:rFonts w:hint="eastAsia" w:ascii="宋体" w:hAnsi="宋体" w:eastAsia="宋体" w:cs="宋体"/>
                <w:b w:val="0"/>
                <w:bCs w:val="0"/>
                <w:caps w:val="0"/>
                <w:smallCaps w:val="0"/>
                <w:snapToGrid w:val="0"/>
                <w:color w:val="auto"/>
                <w:spacing w:val="0"/>
                <w:kern w:val="0"/>
                <w:sz w:val="24"/>
                <w:szCs w:val="24"/>
                <w:highlight w:val="none"/>
                <w:lang w:bidi="ar"/>
              </w:rPr>
              <w:t>分</w:t>
            </w:r>
            <w:r>
              <w:rPr>
                <w:rFonts w:hint="eastAsia" w:ascii="宋体" w:hAnsi="宋体" w:eastAsia="宋体" w:cs="宋体"/>
                <w:caps w:val="0"/>
                <w:smallCaps w:val="0"/>
                <w:snapToGrid w:val="0"/>
                <w:color w:val="auto"/>
                <w:spacing w:val="0"/>
                <w:kern w:val="0"/>
                <w:sz w:val="24"/>
                <w:szCs w:val="24"/>
                <w:highlight w:val="none"/>
                <w:lang w:eastAsia="zh-CN" w:bidi="ar"/>
              </w:rPr>
              <w:t>）</w:t>
            </w:r>
          </w:p>
        </w:tc>
        <w:tc>
          <w:tcPr>
            <w:tcW w:w="4180" w:type="dxa"/>
            <w:gridSpan w:val="2"/>
            <w:tcBorders>
              <w:top w:val="single" w:color="auto" w:sz="4" w:space="0"/>
              <w:left w:val="single" w:color="auto" w:sz="4" w:space="0"/>
              <w:bottom w:val="single" w:color="auto" w:sz="4" w:space="0"/>
              <w:right w:val="single" w:color="auto" w:sz="4" w:space="0"/>
            </w:tcBorders>
            <w:noWrap w:val="0"/>
            <w:vAlign w:val="center"/>
          </w:tcPr>
          <w:p w14:paraId="6AB9DDC1">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eastAsia="zh-CN"/>
              </w:rPr>
              <w:t>投标人同时具有有效期内的</w:t>
            </w:r>
            <w:r>
              <w:rPr>
                <w:rFonts w:hint="eastAsia" w:ascii="宋体" w:hAnsi="宋体" w:eastAsia="宋体" w:cs="宋体"/>
                <w:snapToGrid w:val="0"/>
                <w:color w:val="auto"/>
                <w:kern w:val="0"/>
                <w:sz w:val="24"/>
                <w:szCs w:val="24"/>
                <w:highlight w:val="none"/>
                <w:lang w:bidi="ar"/>
              </w:rPr>
              <w:t>质量管理体系认证证书、职业健康安全管理体系认证证书、环境管理体系认证证书</w:t>
            </w:r>
            <w:r>
              <w:rPr>
                <w:rFonts w:hint="eastAsia" w:ascii="宋体" w:hAnsi="宋体" w:eastAsia="宋体" w:cs="宋体"/>
                <w:snapToGrid w:val="0"/>
                <w:color w:val="auto"/>
                <w:kern w:val="0"/>
                <w:sz w:val="24"/>
                <w:szCs w:val="24"/>
                <w:highlight w:val="none"/>
                <w:lang w:eastAsia="zh-CN" w:bidi="ar"/>
              </w:rPr>
              <w:t>的</w:t>
            </w:r>
            <w:r>
              <w:rPr>
                <w:rFonts w:hint="eastAsia" w:ascii="宋体" w:hAnsi="宋体" w:eastAsia="宋体" w:cs="宋体"/>
                <w:snapToGrid w:val="0"/>
                <w:color w:val="auto"/>
                <w:kern w:val="0"/>
                <w:sz w:val="24"/>
                <w:szCs w:val="24"/>
                <w:highlight w:val="none"/>
              </w:rPr>
              <w:t>得</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r>
              <w:rPr>
                <w:rFonts w:hint="eastAsia" w:ascii="宋体" w:hAnsi="宋体" w:eastAsia="宋体" w:cs="宋体"/>
                <w:snapToGrid w:val="0"/>
                <w:color w:val="auto"/>
                <w:kern w:val="0"/>
                <w:sz w:val="24"/>
                <w:szCs w:val="24"/>
                <w:highlight w:val="none"/>
                <w:lang w:eastAsia="zh-CN"/>
              </w:rPr>
              <w:t>其他情形不得分</w:t>
            </w:r>
            <w:r>
              <w:rPr>
                <w:rFonts w:hint="eastAsia" w:ascii="宋体" w:hAnsi="宋体" w:eastAsia="宋体" w:cs="宋体"/>
                <w:snapToGrid w:val="0"/>
                <w:color w:val="auto"/>
                <w:kern w:val="0"/>
                <w:sz w:val="24"/>
                <w:szCs w:val="24"/>
                <w:highlight w:val="none"/>
              </w:rPr>
              <w:t>。</w:t>
            </w:r>
          </w:p>
          <w:p w14:paraId="6D063682">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本项最高得</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4670" w:type="dxa"/>
            <w:tcBorders>
              <w:top w:val="single" w:color="auto" w:sz="4" w:space="0"/>
              <w:left w:val="single" w:color="auto" w:sz="4" w:space="0"/>
              <w:bottom w:val="single" w:color="auto" w:sz="4" w:space="0"/>
              <w:right w:val="single" w:color="auto" w:sz="4" w:space="0"/>
            </w:tcBorders>
            <w:noWrap w:val="0"/>
            <w:vAlign w:val="center"/>
          </w:tcPr>
          <w:p w14:paraId="0D9E6A61">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1．需附在有效期内的认证证书</w:t>
            </w:r>
            <w:r>
              <w:rPr>
                <w:rFonts w:hint="eastAsia" w:ascii="宋体" w:hAnsi="宋体" w:eastAsia="宋体" w:cs="宋体"/>
                <w:snapToGrid w:val="0"/>
                <w:color w:val="auto"/>
                <w:kern w:val="0"/>
                <w:sz w:val="24"/>
                <w:szCs w:val="24"/>
                <w:highlight w:val="none"/>
                <w:lang w:eastAsia="zh-CN"/>
              </w:rPr>
              <w:t>彩色</w:t>
            </w:r>
            <w:r>
              <w:rPr>
                <w:rFonts w:hint="eastAsia" w:ascii="宋体" w:hAnsi="宋体" w:eastAsia="宋体" w:cs="宋体"/>
                <w:snapToGrid w:val="0"/>
                <w:color w:val="auto"/>
                <w:kern w:val="0"/>
                <w:sz w:val="24"/>
                <w:szCs w:val="24"/>
                <w:highlight w:val="none"/>
              </w:rPr>
              <w:t>扫描件。</w:t>
            </w:r>
          </w:p>
          <w:p w14:paraId="3795EBA6">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2．任一认证证书有以下情形之一的，该认证证书视为无效，不予计分：</w:t>
            </w:r>
          </w:p>
          <w:p w14:paraId="55BCA2EA">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①认证证书不在有效期内的。</w:t>
            </w:r>
          </w:p>
        </w:tc>
      </w:tr>
      <w:tr w14:paraId="5AFAB361">
        <w:tblPrEx>
          <w:tblCellMar>
            <w:top w:w="0" w:type="dxa"/>
            <w:left w:w="108" w:type="dxa"/>
            <w:bottom w:w="0" w:type="dxa"/>
            <w:right w:w="108" w:type="dxa"/>
          </w:tblCellMar>
        </w:tblPrEx>
        <w:trPr>
          <w:trHeight w:val="0"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20F9A39B">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firstLine="0" w:firstLineChars="0"/>
              <w:jc w:val="center"/>
              <w:textAlignment w:val="auto"/>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bidi="ar"/>
              </w:rPr>
              <w:t>企业财务状况</w:t>
            </w:r>
          </w:p>
          <w:p w14:paraId="6DBCEB43">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auto"/>
              <w:ind w:left="0" w:leftChars="0" w:right="84" w:rightChars="40" w:firstLine="0" w:firstLineChars="0"/>
              <w:jc w:val="center"/>
              <w:textAlignment w:val="auto"/>
              <w:outlineLvl w:val="9"/>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bidi="ar"/>
              </w:rPr>
              <w:t>（</w:t>
            </w:r>
            <w:r>
              <w:rPr>
                <w:rFonts w:hint="eastAsia" w:ascii="宋体" w:hAnsi="宋体" w:eastAsia="宋体" w:cs="宋体"/>
                <w:snapToGrid w:val="0"/>
                <w:color w:val="auto"/>
                <w:kern w:val="0"/>
                <w:sz w:val="24"/>
                <w:szCs w:val="24"/>
                <w:highlight w:val="none"/>
                <w:lang w:val="en-US" w:eastAsia="zh-CN" w:bidi="ar"/>
              </w:rPr>
              <w:t>10</w:t>
            </w:r>
            <w:r>
              <w:rPr>
                <w:rFonts w:hint="eastAsia" w:ascii="宋体" w:hAnsi="宋体" w:eastAsia="宋体" w:cs="宋体"/>
                <w:snapToGrid w:val="0"/>
                <w:color w:val="auto"/>
                <w:kern w:val="0"/>
                <w:sz w:val="24"/>
                <w:szCs w:val="24"/>
                <w:highlight w:val="none"/>
                <w:lang w:bidi="ar"/>
              </w:rPr>
              <w:t>分）</w:t>
            </w:r>
          </w:p>
        </w:tc>
        <w:tc>
          <w:tcPr>
            <w:tcW w:w="4180" w:type="dxa"/>
            <w:gridSpan w:val="2"/>
            <w:tcBorders>
              <w:top w:val="single" w:color="auto" w:sz="4" w:space="0"/>
              <w:left w:val="single" w:color="auto" w:sz="4" w:space="0"/>
              <w:bottom w:val="single" w:color="auto" w:sz="4" w:space="0"/>
              <w:right w:val="single" w:color="auto" w:sz="4" w:space="0"/>
            </w:tcBorders>
            <w:noWrap w:val="0"/>
            <w:vAlign w:val="center"/>
          </w:tcPr>
          <w:p w14:paraId="2569AA02">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．提供投标人基本账户在本项目招标公告发布之日起至投标截止时间期间出现过至少连续3日不少于</w:t>
            </w:r>
            <w:r>
              <w:rPr>
                <w:rFonts w:hint="eastAsia" w:ascii="宋体" w:hAnsi="宋体" w:eastAsia="宋体" w:cs="宋体"/>
                <w:snapToGrid w:val="0"/>
                <w:color w:val="auto"/>
                <w:kern w:val="0"/>
                <w:sz w:val="24"/>
                <w:szCs w:val="24"/>
                <w:highlight w:val="none"/>
                <w:u w:val="single"/>
                <w:lang w:val="en-US" w:eastAsia="zh-CN"/>
              </w:rPr>
              <w:t>50</w:t>
            </w:r>
            <w:r>
              <w:rPr>
                <w:rFonts w:hint="eastAsia" w:ascii="宋体" w:hAnsi="宋体" w:eastAsia="宋体" w:cs="宋体"/>
                <w:snapToGrid w:val="0"/>
                <w:color w:val="auto"/>
                <w:kern w:val="0"/>
                <w:sz w:val="24"/>
                <w:szCs w:val="24"/>
                <w:highlight w:val="none"/>
              </w:rPr>
              <w:t>万元存款余额资金流水证明的，得</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p w14:paraId="570C8297">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．未提供以上证明的，不予计分。</w:t>
            </w:r>
          </w:p>
          <w:p w14:paraId="351A6A58">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本项最高得</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4670" w:type="dxa"/>
            <w:tcBorders>
              <w:top w:val="single" w:color="auto" w:sz="4" w:space="0"/>
              <w:left w:val="single" w:color="auto" w:sz="4" w:space="0"/>
              <w:bottom w:val="single" w:color="auto" w:sz="4" w:space="0"/>
              <w:right w:val="single" w:color="auto" w:sz="4" w:space="0"/>
            </w:tcBorders>
            <w:noWrap w:val="0"/>
            <w:vAlign w:val="center"/>
          </w:tcPr>
          <w:p w14:paraId="41C4629A">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1．需附在有效期内的有关证明</w:t>
            </w:r>
            <w:r>
              <w:rPr>
                <w:rFonts w:hint="eastAsia" w:ascii="宋体" w:hAnsi="宋体" w:eastAsia="宋体" w:cs="宋体"/>
                <w:snapToGrid w:val="0"/>
                <w:color w:val="auto"/>
                <w:kern w:val="0"/>
                <w:sz w:val="24"/>
                <w:szCs w:val="24"/>
                <w:highlight w:val="none"/>
                <w:lang w:eastAsia="zh-CN"/>
              </w:rPr>
              <w:t>彩色</w:t>
            </w:r>
            <w:r>
              <w:rPr>
                <w:rFonts w:hint="eastAsia" w:ascii="宋体" w:hAnsi="宋体" w:eastAsia="宋体" w:cs="宋体"/>
                <w:snapToGrid w:val="0"/>
                <w:color w:val="auto"/>
                <w:kern w:val="0"/>
                <w:sz w:val="24"/>
                <w:szCs w:val="24"/>
                <w:highlight w:val="none"/>
              </w:rPr>
              <w:t>扫描件。</w:t>
            </w:r>
          </w:p>
          <w:p w14:paraId="51124CF1">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存款余额资金流水证明有以下情形之一的，视为无效，不予计分：</w:t>
            </w:r>
          </w:p>
          <w:p w14:paraId="1F2B1A5A">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①存款账户不是基本账户的；</w:t>
            </w:r>
          </w:p>
          <w:p w14:paraId="46A20230">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②存款时间不符合要求的；</w:t>
            </w:r>
          </w:p>
          <w:p w14:paraId="3995E69E">
            <w:pPr>
              <w:keepNext w:val="0"/>
              <w:keepLines w:val="0"/>
              <w:pageBreakBefore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③存款额度不符合要求的</w:t>
            </w:r>
            <w:r>
              <w:rPr>
                <w:rFonts w:hint="eastAsia" w:ascii="宋体" w:hAnsi="宋体" w:eastAsia="宋体" w:cs="宋体"/>
                <w:snapToGrid w:val="0"/>
                <w:color w:val="auto"/>
                <w:kern w:val="0"/>
                <w:sz w:val="24"/>
                <w:szCs w:val="24"/>
                <w:highlight w:val="none"/>
                <w:lang w:eastAsia="zh-CN"/>
              </w:rPr>
              <w:t>。</w:t>
            </w:r>
          </w:p>
        </w:tc>
      </w:tr>
      <w:tr w14:paraId="71FC4113">
        <w:tblPrEx>
          <w:tblCellMar>
            <w:top w:w="0" w:type="dxa"/>
            <w:left w:w="108" w:type="dxa"/>
            <w:bottom w:w="0" w:type="dxa"/>
            <w:right w:w="108" w:type="dxa"/>
          </w:tblCellMar>
        </w:tblPrEx>
        <w:trPr>
          <w:trHeight w:val="90" w:hRule="atLeast"/>
          <w:jc w:val="center"/>
        </w:trPr>
        <w:tc>
          <w:tcPr>
            <w:tcW w:w="1192" w:type="dxa"/>
            <w:vMerge w:val="restart"/>
            <w:tcBorders>
              <w:top w:val="single" w:color="auto" w:sz="4" w:space="0"/>
              <w:left w:val="single" w:color="auto" w:sz="4" w:space="0"/>
              <w:right w:val="single" w:color="auto" w:sz="4" w:space="0"/>
            </w:tcBorders>
            <w:noWrap w:val="0"/>
            <w:vAlign w:val="center"/>
          </w:tcPr>
          <w:p w14:paraId="75595EFA">
            <w:pPr>
              <w:pStyle w:val="44"/>
              <w:keepNext w:val="0"/>
              <w:keepLines w:val="0"/>
              <w:pageBreakBefore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招标人</w:t>
            </w:r>
          </w:p>
          <w:p w14:paraId="6194AA6B">
            <w:pPr>
              <w:pStyle w:val="44"/>
              <w:keepNext w:val="0"/>
              <w:keepLines w:val="0"/>
              <w:pageBreakBefore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自拟项</w:t>
            </w:r>
          </w:p>
          <w:p w14:paraId="63E4E54E">
            <w:pPr>
              <w:pStyle w:val="44"/>
              <w:keepNext w:val="0"/>
              <w:keepLines w:val="0"/>
              <w:pageBreakBefore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val="en-US" w:eastAsia="zh-CN"/>
              </w:rPr>
              <w:t>（20分）</w:t>
            </w:r>
          </w:p>
        </w:tc>
        <w:tc>
          <w:tcPr>
            <w:tcW w:w="418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CAC5C71">
            <w:pPr>
              <w:pStyle w:val="5"/>
              <w:keepNext w:val="0"/>
              <w:keepLines w:val="0"/>
              <w:pageBreakBefore w:val="0"/>
              <w:numPr>
                <w:ilvl w:val="0"/>
                <w:numId w:val="0"/>
              </w:numPr>
              <w:kinsoku/>
              <w:wordWrap w:val="0"/>
              <w:overflowPunct/>
              <w:topLinePunct w:val="0"/>
              <w:autoSpaceDE/>
              <w:autoSpaceDN/>
              <w:bidi w:val="0"/>
              <w:adjustRightInd w:val="0"/>
              <w:snapToGrid w:val="0"/>
              <w:spacing w:after="0" w:afterLines="0" w:line="360" w:lineRule="auto"/>
              <w:ind w:right="84" w:rightChars="4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1.近3年来（</w:t>
            </w:r>
            <w:r>
              <w:rPr>
                <w:rFonts w:hint="eastAsia" w:ascii="宋体" w:hAnsi="宋体" w:eastAsia="宋体" w:cs="宋体"/>
                <w:snapToGrid w:val="0"/>
                <w:color w:val="auto"/>
                <w:kern w:val="0"/>
                <w:sz w:val="24"/>
                <w:szCs w:val="24"/>
                <w:highlight w:val="none"/>
              </w:rPr>
              <w:t>20</w:t>
            </w:r>
            <w:r>
              <w:rPr>
                <w:rFonts w:hint="eastAsia" w:ascii="宋体" w:hAnsi="宋体" w:eastAsia="宋体" w:cs="宋体"/>
                <w:snapToGrid w:val="0"/>
                <w:color w:val="auto"/>
                <w:kern w:val="0"/>
                <w:sz w:val="24"/>
                <w:szCs w:val="24"/>
                <w:highlight w:val="none"/>
                <w:lang w:val="en-US" w:eastAsia="zh-CN"/>
              </w:rPr>
              <w:t>23</w:t>
            </w:r>
            <w:r>
              <w:rPr>
                <w:rFonts w:hint="eastAsia" w:ascii="宋体" w:hAnsi="宋体" w:eastAsia="宋体" w:cs="宋体"/>
                <w:snapToGrid w:val="0"/>
                <w:color w:val="auto"/>
                <w:kern w:val="0"/>
                <w:sz w:val="24"/>
                <w:szCs w:val="24"/>
                <w:highlight w:val="none"/>
              </w:rPr>
              <w:t>年1月1日至</w:t>
            </w:r>
            <w:r>
              <w:rPr>
                <w:rFonts w:hint="eastAsia" w:ascii="宋体" w:hAnsi="宋体" w:eastAsia="宋体" w:cs="宋体"/>
                <w:snapToGrid w:val="0"/>
                <w:color w:val="auto"/>
                <w:kern w:val="0"/>
                <w:sz w:val="24"/>
                <w:szCs w:val="24"/>
                <w:highlight w:val="none"/>
                <w:lang w:val="en-US" w:eastAsia="zh-CN"/>
              </w:rPr>
              <w:t>今）投标人未发生事故等级为一般事故及以上的生产安全事故、一般质量事故及以上的工程质量事故的，得10分；</w:t>
            </w:r>
          </w:p>
          <w:p w14:paraId="041B28F0">
            <w:pPr>
              <w:pStyle w:val="5"/>
              <w:keepNext w:val="0"/>
              <w:keepLines w:val="0"/>
              <w:pageBreakBefore w:val="0"/>
              <w:numPr>
                <w:ilvl w:val="0"/>
                <w:numId w:val="0"/>
              </w:numPr>
              <w:kinsoku/>
              <w:wordWrap w:val="0"/>
              <w:overflowPunct/>
              <w:topLinePunct w:val="0"/>
              <w:autoSpaceDE/>
              <w:autoSpaceDN/>
              <w:bidi w:val="0"/>
              <w:adjustRightInd w:val="0"/>
              <w:snapToGrid w:val="0"/>
              <w:spacing w:after="0" w:afterLines="0" w:line="360" w:lineRule="auto"/>
              <w:ind w:left="0" w:leftChars="0" w:right="84" w:rightChars="40" w:firstLine="0" w:firstLineChars="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2.其他情形的，不予计分。</w:t>
            </w:r>
          </w:p>
          <w:p w14:paraId="50B862E8">
            <w:pPr>
              <w:pStyle w:val="5"/>
              <w:keepNext w:val="0"/>
              <w:keepLines w:val="0"/>
              <w:pageBreakBefore w:val="0"/>
              <w:numPr>
                <w:ilvl w:val="0"/>
                <w:numId w:val="0"/>
              </w:numPr>
              <w:kinsoku/>
              <w:wordWrap w:val="0"/>
              <w:overflowPunct/>
              <w:topLinePunct w:val="0"/>
              <w:autoSpaceDE/>
              <w:autoSpaceDN/>
              <w:bidi w:val="0"/>
              <w:adjustRightInd w:val="0"/>
              <w:snapToGrid w:val="0"/>
              <w:spacing w:after="0" w:afterLines="0" w:line="360" w:lineRule="auto"/>
              <w:ind w:left="0" w:leftChars="0" w:right="84" w:rightChars="40" w:firstLine="0" w:firstLineChars="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eastAsia="zh-CN"/>
              </w:rPr>
              <w:t>本项最高得</w:t>
            </w:r>
            <w:r>
              <w:rPr>
                <w:rFonts w:hint="eastAsia" w:ascii="宋体" w:hAnsi="宋体" w:eastAsia="宋体" w:cs="宋体"/>
                <w:snapToGrid w:val="0"/>
                <w:color w:val="auto"/>
                <w:kern w:val="0"/>
                <w:sz w:val="24"/>
                <w:szCs w:val="24"/>
                <w:highlight w:val="none"/>
                <w:lang w:val="en-US" w:eastAsia="zh-CN"/>
              </w:rPr>
              <w:t>10分。</w:t>
            </w:r>
          </w:p>
        </w:tc>
        <w:tc>
          <w:tcPr>
            <w:tcW w:w="46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7E0A0E">
            <w:pPr>
              <w:pStyle w:val="5"/>
              <w:keepNext w:val="0"/>
              <w:keepLines w:val="0"/>
              <w:pageBreakBefore w:val="0"/>
              <w:numPr>
                <w:ilvl w:val="0"/>
                <w:numId w:val="0"/>
              </w:numPr>
              <w:kinsoku/>
              <w:wordWrap w:val="0"/>
              <w:overflowPunct/>
              <w:topLinePunct w:val="0"/>
              <w:autoSpaceDE/>
              <w:autoSpaceDN/>
              <w:bidi w:val="0"/>
              <w:adjustRightInd w:val="0"/>
              <w:snapToGrid w:val="0"/>
              <w:spacing w:after="0" w:afterLines="0" w:line="360" w:lineRule="auto"/>
              <w:ind w:right="84" w:rightChars="4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1.需提供本单位承诺书（格式自定）并加盖本单位公章。</w:t>
            </w:r>
          </w:p>
          <w:p w14:paraId="5AE0270E">
            <w:pPr>
              <w:pStyle w:val="5"/>
              <w:keepNext w:val="0"/>
              <w:keepLines w:val="0"/>
              <w:pageBreakBefore w:val="0"/>
              <w:numPr>
                <w:ilvl w:val="0"/>
                <w:numId w:val="0"/>
              </w:numPr>
              <w:kinsoku/>
              <w:wordWrap w:val="0"/>
              <w:overflowPunct/>
              <w:topLinePunct w:val="0"/>
              <w:autoSpaceDE/>
              <w:autoSpaceDN/>
              <w:bidi w:val="0"/>
              <w:adjustRightInd w:val="0"/>
              <w:snapToGrid w:val="0"/>
              <w:spacing w:after="0" w:afterLines="0" w:line="360" w:lineRule="auto"/>
              <w:ind w:left="0" w:leftChars="0" w:right="84" w:rightChars="40" w:firstLine="0" w:firstLineChars="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2.未提供本单位承诺书并加盖本单位公章的，按第2项标准处理。</w:t>
            </w:r>
          </w:p>
        </w:tc>
      </w:tr>
      <w:tr w14:paraId="4E87B433">
        <w:tblPrEx>
          <w:tblCellMar>
            <w:top w:w="0" w:type="dxa"/>
            <w:left w:w="108" w:type="dxa"/>
            <w:bottom w:w="0" w:type="dxa"/>
            <w:right w:w="108" w:type="dxa"/>
          </w:tblCellMar>
        </w:tblPrEx>
        <w:trPr>
          <w:trHeight w:val="1907" w:hRule="atLeast"/>
          <w:jc w:val="center"/>
        </w:trPr>
        <w:tc>
          <w:tcPr>
            <w:tcW w:w="1192" w:type="dxa"/>
            <w:vMerge w:val="continue"/>
            <w:tcBorders>
              <w:left w:val="single" w:color="auto" w:sz="4" w:space="0"/>
              <w:right w:val="single" w:color="auto" w:sz="4" w:space="0"/>
            </w:tcBorders>
            <w:noWrap w:val="0"/>
            <w:vAlign w:val="center"/>
          </w:tcPr>
          <w:p w14:paraId="3E496DA6">
            <w:pPr>
              <w:pStyle w:val="44"/>
              <w:keepNext w:val="0"/>
              <w:keepLines w:val="0"/>
              <w:pageBreakBefore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snapToGrid w:val="0"/>
                <w:color w:val="auto"/>
                <w:kern w:val="0"/>
                <w:sz w:val="24"/>
                <w:szCs w:val="24"/>
                <w:highlight w:val="none"/>
              </w:rPr>
            </w:pPr>
          </w:p>
        </w:tc>
        <w:tc>
          <w:tcPr>
            <w:tcW w:w="418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7445004">
            <w:pPr>
              <w:pStyle w:val="5"/>
              <w:keepNext w:val="0"/>
              <w:keepLines w:val="0"/>
              <w:pageBreakBefore w:val="0"/>
              <w:numPr>
                <w:ilvl w:val="0"/>
                <w:numId w:val="0"/>
              </w:numPr>
              <w:kinsoku/>
              <w:wordWrap w:val="0"/>
              <w:overflowPunct/>
              <w:topLinePunct w:val="0"/>
              <w:autoSpaceDE/>
              <w:autoSpaceDN/>
              <w:bidi w:val="0"/>
              <w:adjustRightInd w:val="0"/>
              <w:snapToGrid w:val="0"/>
              <w:spacing w:after="0" w:afterLines="0" w:line="360" w:lineRule="auto"/>
              <w:ind w:right="84" w:rightChars="4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拟派项目管理团队机构综合素质情况：</w:t>
            </w:r>
          </w:p>
          <w:p w14:paraId="2AECA61F">
            <w:pPr>
              <w:pStyle w:val="5"/>
              <w:keepNext w:val="0"/>
              <w:keepLines w:val="0"/>
              <w:pageBreakBefore w:val="0"/>
              <w:numPr>
                <w:ilvl w:val="0"/>
                <w:numId w:val="1"/>
              </w:numPr>
              <w:kinsoku/>
              <w:wordWrap w:val="0"/>
              <w:overflowPunct/>
              <w:topLinePunct w:val="0"/>
              <w:autoSpaceDE/>
              <w:autoSpaceDN/>
              <w:bidi w:val="0"/>
              <w:adjustRightInd w:val="0"/>
              <w:snapToGrid w:val="0"/>
              <w:spacing w:after="0" w:afterLines="0" w:line="360" w:lineRule="auto"/>
              <w:ind w:right="84" w:rightChars="4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拟派项目管理机构人员中（项目经理、技术负责人除外），每具有1名中级工程师或以上技术职称的，加5分，最高得5分。</w:t>
            </w:r>
          </w:p>
          <w:p w14:paraId="30304185">
            <w:pPr>
              <w:pStyle w:val="5"/>
              <w:keepNext w:val="0"/>
              <w:keepLines w:val="0"/>
              <w:pageBreakBefore w:val="0"/>
              <w:numPr>
                <w:ilvl w:val="0"/>
                <w:numId w:val="1"/>
              </w:numPr>
              <w:kinsoku/>
              <w:wordWrap w:val="0"/>
              <w:overflowPunct/>
              <w:topLinePunct w:val="0"/>
              <w:autoSpaceDE/>
              <w:autoSpaceDN/>
              <w:bidi w:val="0"/>
              <w:adjustRightInd w:val="0"/>
              <w:snapToGrid w:val="0"/>
              <w:spacing w:after="0" w:afterLines="0" w:line="360" w:lineRule="auto"/>
              <w:ind w:right="84" w:rightChars="40"/>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拟投入1名造价负责人且具有注册造价工程师证书的，得5分。</w:t>
            </w:r>
          </w:p>
          <w:p w14:paraId="0411516B">
            <w:pPr>
              <w:pStyle w:val="5"/>
              <w:keepNext w:val="0"/>
              <w:keepLines w:val="0"/>
              <w:pageBreakBefore w:val="0"/>
              <w:numPr>
                <w:ilvl w:val="0"/>
                <w:numId w:val="1"/>
              </w:numPr>
              <w:kinsoku/>
              <w:wordWrap w:val="0"/>
              <w:overflowPunct/>
              <w:topLinePunct w:val="0"/>
              <w:autoSpaceDE/>
              <w:autoSpaceDN/>
              <w:bidi w:val="0"/>
              <w:adjustRightInd w:val="0"/>
              <w:snapToGrid w:val="0"/>
              <w:spacing w:after="0" w:afterLines="0" w:line="360" w:lineRule="auto"/>
              <w:ind w:right="84" w:rightChars="40"/>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其他情形的，不予计分。</w:t>
            </w:r>
          </w:p>
          <w:p w14:paraId="4CBD88D0">
            <w:pPr>
              <w:pStyle w:val="5"/>
              <w:keepNext w:val="0"/>
              <w:keepLines w:val="0"/>
              <w:pageBreakBefore w:val="0"/>
              <w:numPr>
                <w:ilvl w:val="0"/>
                <w:numId w:val="0"/>
              </w:numPr>
              <w:kinsoku/>
              <w:wordWrap w:val="0"/>
              <w:overflowPunct/>
              <w:topLinePunct w:val="0"/>
              <w:autoSpaceDE/>
              <w:autoSpaceDN/>
              <w:bidi w:val="0"/>
              <w:adjustRightInd w:val="0"/>
              <w:snapToGrid w:val="0"/>
              <w:spacing w:after="0" w:afterLines="0" w:line="360" w:lineRule="auto"/>
              <w:ind w:left="0" w:leftChars="0" w:right="84" w:rightChars="40" w:firstLine="0" w:firstLineChars="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eastAsia="zh-CN"/>
              </w:rPr>
              <w:t>本项最高得</w:t>
            </w:r>
            <w:r>
              <w:rPr>
                <w:rFonts w:hint="eastAsia" w:ascii="宋体" w:hAnsi="宋体" w:eastAsia="宋体" w:cs="宋体"/>
                <w:snapToGrid w:val="0"/>
                <w:color w:val="auto"/>
                <w:kern w:val="0"/>
                <w:sz w:val="24"/>
                <w:szCs w:val="24"/>
                <w:highlight w:val="none"/>
                <w:lang w:val="en-US" w:eastAsia="zh-CN"/>
              </w:rPr>
              <w:t>10分。</w:t>
            </w:r>
          </w:p>
        </w:tc>
        <w:tc>
          <w:tcPr>
            <w:tcW w:w="46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218336">
            <w:pPr>
              <w:pStyle w:val="5"/>
              <w:keepNext w:val="0"/>
              <w:keepLines w:val="0"/>
              <w:pageBreakBefore w:val="0"/>
              <w:numPr>
                <w:ilvl w:val="0"/>
                <w:numId w:val="2"/>
              </w:numPr>
              <w:kinsoku/>
              <w:wordWrap w:val="0"/>
              <w:overflowPunct/>
              <w:topLinePunct w:val="0"/>
              <w:autoSpaceDE/>
              <w:autoSpaceDN/>
              <w:bidi w:val="0"/>
              <w:adjustRightInd w:val="0"/>
              <w:snapToGrid w:val="0"/>
              <w:spacing w:after="0" w:afterLines="0" w:line="360" w:lineRule="auto"/>
              <w:ind w:right="84" w:rightChars="4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需附</w:t>
            </w:r>
            <w:r>
              <w:rPr>
                <w:rFonts w:hint="eastAsia" w:ascii="宋体" w:hAnsi="宋体" w:eastAsia="宋体" w:cs="宋体"/>
                <w:snapToGrid w:val="0"/>
                <w:color w:val="auto"/>
                <w:kern w:val="0"/>
                <w:sz w:val="24"/>
                <w:szCs w:val="24"/>
                <w:highlight w:val="none"/>
                <w:lang w:val="en-US" w:eastAsia="zh-CN"/>
              </w:rPr>
              <w:t>相关证书</w:t>
            </w:r>
            <w:r>
              <w:rPr>
                <w:rFonts w:hint="eastAsia" w:ascii="宋体" w:hAnsi="宋体" w:eastAsia="宋体" w:cs="宋体"/>
                <w:snapToGrid w:val="0"/>
                <w:color w:val="auto"/>
                <w:kern w:val="0"/>
                <w:sz w:val="24"/>
                <w:szCs w:val="24"/>
                <w:highlight w:val="none"/>
              </w:rPr>
              <w:t>证</w:t>
            </w:r>
            <w:r>
              <w:rPr>
                <w:rFonts w:hint="eastAsia" w:ascii="宋体" w:hAnsi="宋体" w:eastAsia="宋体" w:cs="宋体"/>
                <w:snapToGrid w:val="0"/>
                <w:color w:val="auto"/>
                <w:kern w:val="0"/>
                <w:sz w:val="24"/>
                <w:szCs w:val="24"/>
                <w:highlight w:val="none"/>
                <w:lang w:eastAsia="zh-CN"/>
              </w:rPr>
              <w:t>彩色</w:t>
            </w:r>
            <w:r>
              <w:rPr>
                <w:rFonts w:hint="eastAsia" w:ascii="宋体" w:hAnsi="宋体" w:eastAsia="宋体" w:cs="宋体"/>
                <w:snapToGrid w:val="0"/>
                <w:color w:val="auto"/>
                <w:kern w:val="0"/>
                <w:sz w:val="24"/>
                <w:szCs w:val="24"/>
                <w:highlight w:val="none"/>
              </w:rPr>
              <w:t>扫描件</w:t>
            </w:r>
            <w:r>
              <w:rPr>
                <w:rFonts w:hint="eastAsia" w:ascii="宋体" w:hAnsi="宋体" w:eastAsia="宋体" w:cs="宋体"/>
                <w:snapToGrid w:val="0"/>
                <w:color w:val="auto"/>
                <w:kern w:val="0"/>
                <w:sz w:val="24"/>
                <w:szCs w:val="24"/>
                <w:highlight w:val="none"/>
                <w:lang w:val="en-US" w:eastAsia="zh-CN"/>
              </w:rPr>
              <w:t>及在本单位缴纳近1个月社保证明扫描件或打印件，拟派人员为退休返聘人员无法提供社保证明的，提供退休证和劳动合同彩色扫描件，否则不得分</w:t>
            </w:r>
            <w:r>
              <w:rPr>
                <w:rFonts w:hint="eastAsia" w:ascii="宋体" w:hAnsi="宋体" w:eastAsia="宋体" w:cs="宋体"/>
                <w:snapToGrid w:val="0"/>
                <w:color w:val="auto"/>
                <w:kern w:val="0"/>
                <w:sz w:val="24"/>
                <w:szCs w:val="24"/>
                <w:highlight w:val="none"/>
                <w:lang w:eastAsia="zh-CN"/>
              </w:rPr>
              <w:t>；</w:t>
            </w:r>
          </w:p>
          <w:p w14:paraId="759E0777">
            <w:pPr>
              <w:pStyle w:val="5"/>
              <w:keepNext w:val="0"/>
              <w:keepLines w:val="0"/>
              <w:pageBreakBefore w:val="0"/>
              <w:numPr>
                <w:ilvl w:val="0"/>
                <w:numId w:val="2"/>
              </w:numPr>
              <w:kinsoku/>
              <w:wordWrap w:val="0"/>
              <w:overflowPunct/>
              <w:topLinePunct w:val="0"/>
              <w:autoSpaceDE/>
              <w:autoSpaceDN/>
              <w:bidi w:val="0"/>
              <w:adjustRightInd w:val="0"/>
              <w:snapToGrid w:val="0"/>
              <w:spacing w:after="0" w:afterLines="0" w:line="360" w:lineRule="auto"/>
              <w:ind w:right="84" w:rightChars="4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拟派项目管理团队人员岗位不得相互兼任。</w:t>
            </w:r>
          </w:p>
        </w:tc>
      </w:tr>
      <w:tr w14:paraId="2A25756D">
        <w:tblPrEx>
          <w:tblCellMar>
            <w:top w:w="0" w:type="dxa"/>
            <w:left w:w="108" w:type="dxa"/>
            <w:bottom w:w="0" w:type="dxa"/>
            <w:right w:w="108" w:type="dxa"/>
          </w:tblCellMar>
        </w:tblPrEx>
        <w:trPr>
          <w:trHeight w:val="440" w:hRule="exact"/>
          <w:jc w:val="center"/>
        </w:trPr>
        <w:tc>
          <w:tcPr>
            <w:tcW w:w="10042"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569E7C52">
            <w:pPr>
              <w:keepNext w:val="0"/>
              <w:keepLines w:val="0"/>
              <w:pageBreakBefore w:val="0"/>
              <w:widowControl w:val="0"/>
              <w:suppressLineNumbers w:val="0"/>
              <w:kinsoku/>
              <w:overflowPunct/>
              <w:topLinePunct w:val="0"/>
              <w:autoSpaceDE/>
              <w:autoSpaceDN/>
              <w:bidi w:val="0"/>
              <w:adjustRightInd w:val="0"/>
              <w:spacing w:before="0" w:beforeAutospacing="0" w:afterAutospacing="0" w:line="360" w:lineRule="auto"/>
              <w:ind w:left="0" w:right="84" w:rightChars="40"/>
              <w:jc w:val="left"/>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技术部分（施工组织设计），满分：20分。</w:t>
            </w:r>
          </w:p>
        </w:tc>
      </w:tr>
      <w:tr w14:paraId="72D3CC6F">
        <w:tblPrEx>
          <w:tblCellMar>
            <w:top w:w="0" w:type="dxa"/>
            <w:left w:w="108" w:type="dxa"/>
            <w:bottom w:w="0" w:type="dxa"/>
            <w:right w:w="108" w:type="dxa"/>
          </w:tblCellMar>
        </w:tblPrEx>
        <w:trPr>
          <w:trHeight w:val="423" w:hRule="exac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280EEEC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Autospacing="0" w:line="360" w:lineRule="auto"/>
              <w:ind w:left="0" w:right="84" w:rightChars="4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评分因素</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B72280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Autospacing="0" w:line="360" w:lineRule="auto"/>
              <w:ind w:left="0" w:right="84" w:rightChars="4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评分标准</w:t>
            </w:r>
          </w:p>
        </w:tc>
        <w:tc>
          <w:tcPr>
            <w:tcW w:w="6279" w:type="dxa"/>
            <w:gridSpan w:val="2"/>
            <w:tcBorders>
              <w:top w:val="single" w:color="auto" w:sz="4" w:space="0"/>
              <w:left w:val="single" w:color="auto" w:sz="4" w:space="0"/>
              <w:bottom w:val="single" w:color="auto" w:sz="4" w:space="0"/>
              <w:right w:val="single" w:color="auto" w:sz="4" w:space="0"/>
            </w:tcBorders>
            <w:noWrap w:val="0"/>
            <w:vAlign w:val="center"/>
          </w:tcPr>
          <w:p w14:paraId="25425F8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Autospacing="0" w:line="360" w:lineRule="auto"/>
              <w:ind w:left="0" w:right="84" w:rightChars="4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备注</w:t>
            </w:r>
          </w:p>
        </w:tc>
      </w:tr>
      <w:tr w14:paraId="7C31BF59">
        <w:tblPrEx>
          <w:tblCellMar>
            <w:top w:w="0" w:type="dxa"/>
            <w:left w:w="108" w:type="dxa"/>
            <w:bottom w:w="0" w:type="dxa"/>
            <w:right w:w="108" w:type="dxa"/>
          </w:tblCellMar>
        </w:tblPrEx>
        <w:trPr>
          <w:trHeight w:val="4763"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5727D03D">
            <w:pPr>
              <w:pStyle w:val="31"/>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总体概述</w:t>
            </w:r>
          </w:p>
          <w:p w14:paraId="3B78F774">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（3分）</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41087322">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%～100%（含9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w:t>
            </w:r>
          </w:p>
          <w:p w14:paraId="094CC859">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w:t>
            </w:r>
          </w:p>
          <w:p w14:paraId="6B1658D2">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p>
          <w:p w14:paraId="34D450CD">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【差】得该项因素分的</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p>
        </w:tc>
        <w:tc>
          <w:tcPr>
            <w:tcW w:w="6279" w:type="dxa"/>
            <w:gridSpan w:val="2"/>
            <w:tcBorders>
              <w:top w:val="single" w:color="auto" w:sz="4" w:space="0"/>
              <w:left w:val="single" w:color="auto" w:sz="4" w:space="0"/>
              <w:bottom w:val="single" w:color="auto" w:sz="4" w:space="0"/>
              <w:right w:val="single" w:color="auto" w:sz="4" w:space="0"/>
            </w:tcBorders>
            <w:noWrap w:val="0"/>
            <w:vAlign w:val="center"/>
          </w:tcPr>
          <w:p w14:paraId="599411C8">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【优】对项目总体有深刻认识，表述清晰、完整、严谨、合理，措施先进、具体、有效、成熟，采用了新技术、新工艺、新材料、新设备；施工段划分呼应总体表述，划分清晰、合理，符合规范要求。</w:t>
            </w:r>
          </w:p>
          <w:p w14:paraId="1E48BB06">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【良】对项目总体有一定认识，表述清晰、完整，措施具体有效；施工段划分呼应总体表述，划分清晰，符合规范要求。</w:t>
            </w:r>
          </w:p>
          <w:p w14:paraId="6F20EB83">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【中】对项目总体有认识，有一定的措施但部分不具体；施工段划分较合理，符合规范要求。</w:t>
            </w:r>
          </w:p>
          <w:p w14:paraId="33A01C83">
            <w:pPr>
              <w:pStyle w:val="5"/>
              <w:keepNext w:val="0"/>
              <w:keepLines w:val="0"/>
              <w:pageBreakBefore w:val="0"/>
              <w:widowControl w:val="0"/>
              <w:kinsoku/>
              <w:wordWrap w:val="0"/>
              <w:overflowPunct/>
              <w:topLinePunct w:val="0"/>
              <w:autoSpaceDE/>
              <w:autoSpaceDN/>
              <w:bidi w:val="0"/>
              <w:adjustRightInd w:val="0"/>
              <w:snapToGrid w:val="0"/>
              <w:spacing w:after="0" w:afterLines="0" w:line="360" w:lineRule="auto"/>
              <w:ind w:right="84" w:rightChars="4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【差】对项目认识不足，表述不清晰，措施不具体；施工段划分不合理。</w:t>
            </w:r>
          </w:p>
        </w:tc>
      </w:tr>
      <w:tr w14:paraId="37E76798">
        <w:tblPrEx>
          <w:tblCellMar>
            <w:top w:w="0" w:type="dxa"/>
            <w:left w:w="108" w:type="dxa"/>
            <w:bottom w:w="0" w:type="dxa"/>
            <w:right w:w="108" w:type="dxa"/>
          </w:tblCellMar>
        </w:tblPrEx>
        <w:trPr>
          <w:trHeight w:val="178"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3F604900">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施工总进度计划及保证措施</w:t>
            </w:r>
          </w:p>
          <w:p w14:paraId="4C388FB9">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（3分）</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F81A68C">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%～100%（含9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w:t>
            </w:r>
          </w:p>
          <w:p w14:paraId="6E8C5900">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w:t>
            </w:r>
          </w:p>
          <w:p w14:paraId="12A9F2F3">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p>
          <w:p w14:paraId="4E86DBE3">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【差】得该项因素分的</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p>
        </w:tc>
        <w:tc>
          <w:tcPr>
            <w:tcW w:w="6279" w:type="dxa"/>
            <w:gridSpan w:val="2"/>
            <w:tcBorders>
              <w:top w:val="single" w:color="auto" w:sz="4" w:space="0"/>
              <w:left w:val="single" w:color="auto" w:sz="4" w:space="0"/>
              <w:bottom w:val="single" w:color="auto" w:sz="4" w:space="0"/>
              <w:right w:val="single" w:color="auto" w:sz="4" w:space="0"/>
            </w:tcBorders>
            <w:noWrap w:val="0"/>
            <w:vAlign w:val="center"/>
          </w:tcPr>
          <w:p w14:paraId="249074A8">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关键线路清晰、准确、完整，计划编制合理、可行。关键节点的控制措施有力、合理、可行。人、材、机需求和进场计划与进度计划相呼应，较好满足施工需要，调配投入计划合理、准确。进度违约责任承诺具体，经济赔偿合理。</w:t>
            </w:r>
          </w:p>
          <w:p w14:paraId="56C71ADE">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关键线路清晰、准确、完整，计划编制可行。关键节点的控制措施合理、可行。人、材、机需求和进场计划与进度计划相呼应，基本满足施工需要，调配投入计划基本合理、准确。进度违约责任承诺具体，经济赔偿较合理。</w:t>
            </w:r>
          </w:p>
          <w:p w14:paraId="5540F2B7">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【中】关键线路基本准确，计划编制基本合理。关键节点的控制措施基本可行。人、材、机需求和进场计划与进度计划相呼应，基本满足施工需要，调配投入计划基本合理。进度违约责任承诺具体。</w:t>
            </w:r>
          </w:p>
          <w:p w14:paraId="0532FC82">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【差】关键线路不准确，计划编制不合理。关键节点的控制不可行。人、材、机需求和进场计划与进度计划不相呼应，不能满足施工需要</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没有违约责任承诺。</w:t>
            </w:r>
          </w:p>
        </w:tc>
      </w:tr>
      <w:tr w14:paraId="1464C3B9">
        <w:tblPrEx>
          <w:tblCellMar>
            <w:top w:w="0" w:type="dxa"/>
            <w:left w:w="108" w:type="dxa"/>
            <w:bottom w:w="0" w:type="dxa"/>
            <w:right w:w="108" w:type="dxa"/>
          </w:tblCellMar>
        </w:tblPrEx>
        <w:trPr>
          <w:trHeight w:val="3608"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3793AC3F">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质量保证措施</w:t>
            </w:r>
          </w:p>
          <w:p w14:paraId="4DC8228B">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（3分）</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A92D375">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%～100%（含9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w:t>
            </w:r>
          </w:p>
          <w:p w14:paraId="10BCC231">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w:t>
            </w:r>
          </w:p>
          <w:p w14:paraId="294EDD3D">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p>
          <w:p w14:paraId="6B551722">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【差】得该项因素分的</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p>
        </w:tc>
        <w:tc>
          <w:tcPr>
            <w:tcW w:w="6279" w:type="dxa"/>
            <w:gridSpan w:val="2"/>
            <w:tcBorders>
              <w:top w:val="single" w:color="auto" w:sz="4" w:space="0"/>
              <w:left w:val="single" w:color="auto" w:sz="4" w:space="0"/>
              <w:bottom w:val="single" w:color="auto" w:sz="4" w:space="0"/>
              <w:right w:val="single" w:color="auto" w:sz="4" w:space="0"/>
            </w:tcBorders>
            <w:noWrap w:val="0"/>
            <w:vAlign w:val="center"/>
          </w:tcPr>
          <w:p w14:paraId="2824C032">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【优】应用新技术、新工艺、新材料、新设备，针对项目实际提出先进、可行、具体的保证措施。超过招标文件的质量要求。</w:t>
            </w:r>
          </w:p>
          <w:p w14:paraId="0278D6A4">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【良】针对项目实际提出先进、可行、具体的保证措施。满足招标文件的质量要求。</w:t>
            </w:r>
          </w:p>
          <w:p w14:paraId="69723D13">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【中】具体措施可行。满足招标文件的质量要求。</w:t>
            </w:r>
          </w:p>
          <w:p w14:paraId="5AD32490">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【差】措施不可行，没有质量违约责任承诺。</w:t>
            </w:r>
          </w:p>
        </w:tc>
      </w:tr>
      <w:tr w14:paraId="594FD191">
        <w:tblPrEx>
          <w:tblCellMar>
            <w:top w:w="0" w:type="dxa"/>
            <w:left w:w="108" w:type="dxa"/>
            <w:bottom w:w="0" w:type="dxa"/>
            <w:right w:w="108" w:type="dxa"/>
          </w:tblCellMar>
        </w:tblPrEx>
        <w:trPr>
          <w:trHeight w:val="1090"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213BD3AE">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施工技术措施</w:t>
            </w:r>
          </w:p>
          <w:p w14:paraId="1C1851AE">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（3分）</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3B1BE676">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%～100%（含9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w:t>
            </w:r>
          </w:p>
          <w:p w14:paraId="7F4B476B">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w:t>
            </w:r>
          </w:p>
          <w:p w14:paraId="4C08F224">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p>
          <w:p w14:paraId="4AEF3E8E">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【差】得该项因素分的</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p>
        </w:tc>
        <w:tc>
          <w:tcPr>
            <w:tcW w:w="6279" w:type="dxa"/>
            <w:gridSpan w:val="2"/>
            <w:tcBorders>
              <w:top w:val="single" w:color="auto" w:sz="4" w:space="0"/>
              <w:left w:val="single" w:color="auto" w:sz="4" w:space="0"/>
              <w:bottom w:val="single" w:color="auto" w:sz="4" w:space="0"/>
              <w:right w:val="single" w:color="auto" w:sz="4" w:space="0"/>
            </w:tcBorders>
            <w:noWrap w:val="0"/>
            <w:vAlign w:val="center"/>
          </w:tcPr>
          <w:p w14:paraId="0A9381FB">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合理。</w:t>
            </w:r>
          </w:p>
          <w:p w14:paraId="3DC79678">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较合理。</w:t>
            </w:r>
          </w:p>
          <w:p w14:paraId="47339E8B">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032D4F1E">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【差】对项目关键技术有表述，对重点、难点有建议，解决方案不可行。采用的新技术针对性不强或验证材料不可靠，对节约投资、工期没有具体收益。无违约责任承诺。</w:t>
            </w:r>
          </w:p>
        </w:tc>
      </w:tr>
      <w:tr w14:paraId="282D00CF">
        <w:tblPrEx>
          <w:tblCellMar>
            <w:top w:w="0" w:type="dxa"/>
            <w:left w:w="108" w:type="dxa"/>
            <w:bottom w:w="0" w:type="dxa"/>
            <w:right w:w="108" w:type="dxa"/>
          </w:tblCellMar>
        </w:tblPrEx>
        <w:trPr>
          <w:trHeight w:val="1600"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6B2CE1BE">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绿色施工、安全防护、文明施工措施计划</w:t>
            </w:r>
          </w:p>
          <w:p w14:paraId="3135B959">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（3分）</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FE3F2FA">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%～100%（含9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w:t>
            </w:r>
          </w:p>
          <w:p w14:paraId="03BDC092">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w:t>
            </w:r>
          </w:p>
          <w:p w14:paraId="5408B48E">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p>
          <w:p w14:paraId="747E9A54">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【差】得该项因素分的</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p>
        </w:tc>
        <w:tc>
          <w:tcPr>
            <w:tcW w:w="6279" w:type="dxa"/>
            <w:gridSpan w:val="2"/>
            <w:tcBorders>
              <w:top w:val="single" w:color="auto" w:sz="4" w:space="0"/>
              <w:left w:val="single" w:color="auto" w:sz="4" w:space="0"/>
              <w:bottom w:val="single" w:color="auto" w:sz="4" w:space="0"/>
              <w:right w:val="single" w:color="auto" w:sz="4" w:space="0"/>
            </w:tcBorders>
            <w:noWrap w:val="0"/>
            <w:vAlign w:val="center"/>
          </w:tcPr>
          <w:p w14:paraId="3EA1D6B8">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【优】针对项目实际情况，有先进、具体、完整、可行的措施，采用规范准确、清晰。</w:t>
            </w:r>
          </w:p>
          <w:p w14:paraId="18AB316A">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【良】针对项目实际情况，有合理的措施且具体、完整，采用规范准确。</w:t>
            </w:r>
          </w:p>
          <w:p w14:paraId="0FBF182F">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【中】有基本合理的措施，采用规范准确。</w:t>
            </w:r>
          </w:p>
          <w:p w14:paraId="389C37FD">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【差】措施不力，采用规范不正确。</w:t>
            </w:r>
          </w:p>
        </w:tc>
      </w:tr>
      <w:tr w14:paraId="474BADA9">
        <w:tblPrEx>
          <w:tblCellMar>
            <w:top w:w="0" w:type="dxa"/>
            <w:left w:w="108" w:type="dxa"/>
            <w:bottom w:w="0" w:type="dxa"/>
            <w:right w:w="108" w:type="dxa"/>
          </w:tblCellMar>
        </w:tblPrEx>
        <w:trPr>
          <w:trHeight w:val="431"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46F7CD9F">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施工平面布置和临时设施布置</w:t>
            </w:r>
          </w:p>
          <w:p w14:paraId="5561C867">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（2分）</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FB41C3E">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%～100%（含9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w:t>
            </w:r>
          </w:p>
          <w:p w14:paraId="23A77591">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w:t>
            </w:r>
          </w:p>
          <w:p w14:paraId="544C4EF9">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p>
          <w:p w14:paraId="4FEF3675">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【差】得该项因素分的</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p>
        </w:tc>
        <w:tc>
          <w:tcPr>
            <w:tcW w:w="6279" w:type="dxa"/>
            <w:gridSpan w:val="2"/>
            <w:tcBorders>
              <w:top w:val="single" w:color="auto" w:sz="4" w:space="0"/>
              <w:left w:val="single" w:color="auto" w:sz="4" w:space="0"/>
              <w:bottom w:val="single" w:color="auto" w:sz="4" w:space="0"/>
              <w:right w:val="single" w:color="auto" w:sz="4" w:space="0"/>
            </w:tcBorders>
            <w:noWrap w:val="0"/>
            <w:vAlign w:val="center"/>
          </w:tcPr>
          <w:p w14:paraId="1A7D34DC">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【优】总体布置有针对性、合理，较好满足施工需要，符合绿色施工、安全防护、文明施工要求。</w:t>
            </w:r>
          </w:p>
          <w:p w14:paraId="77FA9EAB">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【良】总体布置合理，能满足施工需要，基本符合绿色施工、安全防护、文明施工要求。</w:t>
            </w:r>
          </w:p>
          <w:p w14:paraId="53323E10">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【中】总体布置基本合理，基本满足施工需要。</w:t>
            </w:r>
          </w:p>
          <w:p w14:paraId="7ABCBAA9">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【差】总体布置不合理，不符合绿色施工、安全防护、文明施工要求。</w:t>
            </w:r>
          </w:p>
        </w:tc>
      </w:tr>
      <w:tr w14:paraId="26386AD9">
        <w:tblPrEx>
          <w:tblCellMar>
            <w:top w:w="0" w:type="dxa"/>
            <w:left w:w="108" w:type="dxa"/>
            <w:bottom w:w="0" w:type="dxa"/>
            <w:right w:w="108" w:type="dxa"/>
          </w:tblCellMar>
        </w:tblPrEx>
        <w:trPr>
          <w:trHeight w:val="269"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57C9E05A">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项目管理机构</w:t>
            </w:r>
          </w:p>
          <w:p w14:paraId="3FE481E1">
            <w:pPr>
              <w:pStyle w:val="33"/>
              <w:keepNext w:val="0"/>
              <w:keepLines w:val="0"/>
              <w:pageBreakBefore w:val="0"/>
              <w:widowControl w:val="0"/>
              <w:kinsoku/>
              <w:wordWrap w:val="0"/>
              <w:overflowPunct/>
              <w:topLinePunct w:val="0"/>
              <w:autoSpaceDE/>
              <w:autoSpaceDN/>
              <w:bidi w:val="0"/>
              <w:adjustRightInd w:val="0"/>
              <w:snapToGrid w:val="0"/>
              <w:spacing w:line="360" w:lineRule="auto"/>
              <w:ind w:right="84" w:rightChars="4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（3分）</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B0D9CB4">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%～100%（含9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w:t>
            </w:r>
          </w:p>
          <w:p w14:paraId="05BD1F16">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0%～9</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0%）；</w:t>
            </w:r>
          </w:p>
          <w:p w14:paraId="6AF1374C">
            <w:pPr>
              <w:pStyle w:val="32"/>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w:t>
            </w:r>
          </w:p>
          <w:p w14:paraId="7F33A0C1">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【差】得该项因素分的</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r>
              <w:rPr>
                <w:rFonts w:hint="eastAsia" w:ascii="宋体" w:hAnsi="宋体" w:eastAsia="宋体" w:cs="宋体"/>
                <w:color w:val="auto"/>
                <w:kern w:val="0"/>
                <w:sz w:val="24"/>
                <w:szCs w:val="24"/>
                <w:highlight w:val="none"/>
                <w:lang w:val="en-US" w:eastAsia="zh-CN"/>
              </w:rPr>
              <w:t>85</w:t>
            </w:r>
            <w:r>
              <w:rPr>
                <w:rFonts w:hint="eastAsia" w:ascii="宋体" w:hAnsi="宋体" w:eastAsia="宋体" w:cs="宋体"/>
                <w:color w:val="auto"/>
                <w:kern w:val="0"/>
                <w:sz w:val="24"/>
                <w:szCs w:val="24"/>
                <w:highlight w:val="none"/>
              </w:rPr>
              <w:t>%（含</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0%）。</w:t>
            </w:r>
          </w:p>
        </w:tc>
        <w:tc>
          <w:tcPr>
            <w:tcW w:w="6279" w:type="dxa"/>
            <w:gridSpan w:val="2"/>
            <w:tcBorders>
              <w:top w:val="single" w:color="auto" w:sz="4" w:space="0"/>
              <w:left w:val="single" w:color="auto" w:sz="4" w:space="0"/>
              <w:bottom w:val="single" w:color="auto" w:sz="4" w:space="0"/>
              <w:right w:val="single" w:color="auto" w:sz="4" w:space="0"/>
            </w:tcBorders>
            <w:noWrap w:val="0"/>
            <w:vAlign w:val="center"/>
          </w:tcPr>
          <w:p w14:paraId="717CD665">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【优】组织机构形式合理，有完善的指挥系统，生产及质量、绿色施工、安全、文明施工、创优达标监控系统、联络协调系统。</w:t>
            </w:r>
          </w:p>
          <w:p w14:paraId="014B33D8">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【良】组织机构形式合理，指挥系统，生产及质量、绿色施工、安全、文明施工、创优达标监控系统、联络协调系统齐全。</w:t>
            </w:r>
          </w:p>
          <w:p w14:paraId="46A62CB7">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【中】组织机构形式基本合理，有指挥系统，生产及质量、绿色施工、安全、文明施工、创优达标监控系统、联络协调系统。</w:t>
            </w:r>
          </w:p>
          <w:p w14:paraId="0BA28B55">
            <w:pPr>
              <w:pStyle w:val="34"/>
              <w:keepNext w:val="0"/>
              <w:keepLines w:val="0"/>
              <w:pageBreakBefore w:val="0"/>
              <w:widowControl w:val="0"/>
              <w:kinsoku/>
              <w:wordWrap w:val="0"/>
              <w:overflowPunct/>
              <w:topLinePunct w:val="0"/>
              <w:autoSpaceDE/>
              <w:autoSpaceDN/>
              <w:bidi w:val="0"/>
              <w:adjustRightInd w:val="0"/>
              <w:snapToGrid w:val="0"/>
              <w:spacing w:line="360" w:lineRule="auto"/>
              <w:ind w:right="84" w:rightChars="4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【差】组织机构形式合理，指挥系统，生产及质量、绿色施工、安全、文明施工、创优达标监控系统、联络协调系统不齐全。</w:t>
            </w:r>
          </w:p>
        </w:tc>
      </w:tr>
      <w:tr w14:paraId="5603FBB3">
        <w:tblPrEx>
          <w:tblCellMar>
            <w:top w:w="0" w:type="dxa"/>
            <w:left w:w="108" w:type="dxa"/>
            <w:bottom w:w="0" w:type="dxa"/>
            <w:right w:w="108" w:type="dxa"/>
          </w:tblCellMar>
        </w:tblPrEx>
        <w:trPr>
          <w:trHeight w:val="554" w:hRule="exact"/>
          <w:jc w:val="center"/>
        </w:trPr>
        <w:tc>
          <w:tcPr>
            <w:tcW w:w="10042"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5EBAB03A">
            <w:pPr>
              <w:keepNext w:val="0"/>
              <w:keepLines w:val="0"/>
              <w:widowControl w:val="0"/>
              <w:suppressLineNumbers w:val="0"/>
              <w:adjustRightInd w:val="0"/>
              <w:spacing w:before="0" w:beforeAutospacing="0" w:after="0" w:afterAutospacing="0" w:line="360" w:lineRule="auto"/>
              <w:ind w:left="0" w:right="84" w:rightChars="40"/>
              <w:jc w:val="left"/>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投标报价部分，满分：100分。</w:t>
            </w:r>
          </w:p>
        </w:tc>
      </w:tr>
      <w:tr w14:paraId="7609E53B">
        <w:tblPrEx>
          <w:tblCellMar>
            <w:top w:w="0" w:type="dxa"/>
            <w:left w:w="108" w:type="dxa"/>
            <w:bottom w:w="0" w:type="dxa"/>
            <w:right w:w="108" w:type="dxa"/>
          </w:tblCellMar>
        </w:tblPrEx>
        <w:trPr>
          <w:trHeight w:val="494" w:hRule="exac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2A2C5C76">
            <w:pPr>
              <w:keepNext w:val="0"/>
              <w:keepLines w:val="0"/>
              <w:widowControl w:val="0"/>
              <w:suppressLineNumbers w:val="0"/>
              <w:adjustRightInd w:val="0"/>
              <w:spacing w:before="0" w:beforeAutospacing="0" w:after="0" w:afterAutospacing="0" w:line="360" w:lineRule="auto"/>
              <w:ind w:left="0" w:right="84" w:rightChars="40"/>
              <w:jc w:val="center"/>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评分事项</w:t>
            </w:r>
          </w:p>
        </w:tc>
        <w:tc>
          <w:tcPr>
            <w:tcW w:w="8850" w:type="dxa"/>
            <w:gridSpan w:val="3"/>
            <w:tcBorders>
              <w:top w:val="single" w:color="auto" w:sz="4" w:space="0"/>
              <w:left w:val="single" w:color="auto" w:sz="4" w:space="0"/>
              <w:bottom w:val="single" w:color="auto" w:sz="4" w:space="0"/>
              <w:right w:val="single" w:color="auto" w:sz="4" w:space="0"/>
            </w:tcBorders>
            <w:noWrap w:val="0"/>
            <w:vAlign w:val="center"/>
          </w:tcPr>
          <w:p w14:paraId="62CADAC6">
            <w:pPr>
              <w:keepNext w:val="0"/>
              <w:keepLines w:val="0"/>
              <w:widowControl w:val="0"/>
              <w:suppressLineNumbers w:val="0"/>
              <w:adjustRightInd w:val="0"/>
              <w:spacing w:before="0" w:beforeAutospacing="0" w:after="0" w:afterAutospacing="0" w:line="360" w:lineRule="auto"/>
              <w:ind w:left="0" w:right="84" w:rightChars="40"/>
              <w:jc w:val="center"/>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评分方法</w:t>
            </w:r>
          </w:p>
        </w:tc>
      </w:tr>
      <w:tr w14:paraId="5E591A64">
        <w:tblPrEx>
          <w:tblCellMar>
            <w:top w:w="0" w:type="dxa"/>
            <w:left w:w="108" w:type="dxa"/>
            <w:bottom w:w="0" w:type="dxa"/>
            <w:right w:w="108" w:type="dxa"/>
          </w:tblCellMar>
        </w:tblPrEx>
        <w:trPr>
          <w:trHeight w:val="0"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1455E175">
            <w:pPr>
              <w:keepNext w:val="0"/>
              <w:keepLines w:val="0"/>
              <w:widowControl w:val="0"/>
              <w:suppressLineNumbers w:val="0"/>
              <w:adjustRightInd w:val="0"/>
              <w:spacing w:before="0" w:beforeAutospacing="0" w:after="0" w:afterAutospacing="0" w:line="360" w:lineRule="auto"/>
              <w:ind w:left="0" w:right="84" w:rightChars="40"/>
              <w:jc w:val="center"/>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评标基准价D</w:t>
            </w:r>
          </w:p>
        </w:tc>
        <w:tc>
          <w:tcPr>
            <w:tcW w:w="8850" w:type="dxa"/>
            <w:gridSpan w:val="3"/>
            <w:tcBorders>
              <w:top w:val="single" w:color="auto" w:sz="4" w:space="0"/>
              <w:left w:val="single" w:color="auto" w:sz="4" w:space="0"/>
              <w:bottom w:val="single" w:color="auto" w:sz="4" w:space="0"/>
              <w:right w:val="single" w:color="auto" w:sz="4" w:space="0"/>
            </w:tcBorders>
            <w:noWrap w:val="0"/>
            <w:vAlign w:val="center"/>
          </w:tcPr>
          <w:p w14:paraId="43841D47">
            <w:pPr>
              <w:keepNext w:val="0"/>
              <w:keepLines w:val="0"/>
              <w:widowControl/>
              <w:numPr>
                <w:ilvl w:val="0"/>
                <w:numId w:val="3"/>
              </w:numPr>
              <w:suppressLineNumbers w:val="0"/>
              <w:spacing w:line="360" w:lineRule="auto"/>
              <w:ind w:right="84" w:rightChars="4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SA"/>
              </w:rPr>
              <w:t>确定</w:t>
            </w:r>
            <w:r>
              <w:rPr>
                <w:rFonts w:hint="eastAsia" w:ascii="宋体" w:hAnsi="宋体" w:eastAsia="宋体" w:cs="宋体"/>
                <w:b/>
                <w:bCs/>
                <w:color w:val="auto"/>
                <w:kern w:val="0"/>
                <w:sz w:val="24"/>
                <w:szCs w:val="24"/>
                <w:highlight w:val="none"/>
                <w:lang w:val="en-US" w:eastAsia="zh-CN" w:bidi="ar-SA"/>
              </w:rPr>
              <w:t>最高投标限价</w:t>
            </w:r>
            <w:r>
              <w:rPr>
                <w:rFonts w:hint="eastAsia" w:ascii="宋体" w:hAnsi="宋体" w:eastAsia="宋体" w:cs="宋体"/>
                <w:color w:val="auto"/>
                <w:kern w:val="0"/>
                <w:sz w:val="24"/>
                <w:szCs w:val="24"/>
                <w:highlight w:val="none"/>
                <w:lang w:val="en-US" w:eastAsia="zh-CN" w:bidi="ar-SA"/>
              </w:rPr>
              <w:t>下浮系数n：用1～21号球分别代表一个下浮系数，由评委代表从这21个号码中随机抽取</w:t>
            </w:r>
            <w:r>
              <w:rPr>
                <w:rFonts w:hint="eastAsia" w:ascii="宋体" w:hAnsi="宋体" w:eastAsia="宋体" w:cs="宋体"/>
                <w:color w:val="auto"/>
                <w:kern w:val="0"/>
                <w:sz w:val="24"/>
                <w:szCs w:val="24"/>
                <w:highlight w:val="none"/>
                <w:u w:val="single"/>
                <w:lang w:val="en-US" w:eastAsia="zh-CN" w:bidi="ar-SA"/>
              </w:rPr>
              <w:t>3</w:t>
            </w:r>
            <w:r>
              <w:rPr>
                <w:rFonts w:hint="eastAsia" w:ascii="宋体" w:hAnsi="宋体" w:eastAsia="宋体" w:cs="宋体"/>
                <w:color w:val="auto"/>
                <w:kern w:val="0"/>
                <w:sz w:val="24"/>
                <w:szCs w:val="24"/>
                <w:highlight w:val="none"/>
                <w:lang w:val="en-US" w:eastAsia="zh-CN" w:bidi="ar-SA"/>
              </w:rPr>
              <w:t>次，每次抽取1个号码，抽出的号球不参与下次抽取。所抽取的3个号码对应下浮系数的算术平均值作为</w:t>
            </w:r>
            <w:r>
              <w:rPr>
                <w:rFonts w:hint="eastAsia" w:ascii="宋体" w:hAnsi="宋体" w:eastAsia="宋体" w:cs="宋体"/>
                <w:b/>
                <w:bCs/>
                <w:color w:val="auto"/>
                <w:kern w:val="0"/>
                <w:sz w:val="24"/>
                <w:szCs w:val="24"/>
                <w:highlight w:val="none"/>
                <w:lang w:val="en-US" w:eastAsia="zh-CN" w:bidi="ar-SA"/>
              </w:rPr>
              <w:t>最高投标限价</w:t>
            </w:r>
            <w:r>
              <w:rPr>
                <w:rFonts w:hint="eastAsia" w:ascii="宋体" w:hAnsi="宋体" w:eastAsia="宋体" w:cs="宋体"/>
                <w:color w:val="auto"/>
                <w:kern w:val="0"/>
                <w:sz w:val="24"/>
                <w:szCs w:val="24"/>
                <w:highlight w:val="none"/>
                <w:lang w:val="en-US" w:eastAsia="zh-CN" w:bidi="ar-SA"/>
              </w:rPr>
              <w:t>下浮系数n。具体号码对应的下浮系数见下表。</w:t>
            </w:r>
          </w:p>
          <w:tbl>
            <w:tblPr>
              <w:tblStyle w:val="14"/>
              <w:tblW w:w="0" w:type="auto"/>
              <w:tblInd w:w="113" w:type="dxa"/>
              <w:tblLayout w:type="fixed"/>
              <w:tblCellMar>
                <w:top w:w="0" w:type="dxa"/>
                <w:left w:w="108" w:type="dxa"/>
                <w:bottom w:w="0" w:type="dxa"/>
                <w:right w:w="108" w:type="dxa"/>
              </w:tblCellMar>
            </w:tblPr>
            <w:tblGrid>
              <w:gridCol w:w="1725"/>
              <w:gridCol w:w="735"/>
              <w:gridCol w:w="902"/>
              <w:gridCol w:w="940"/>
              <w:gridCol w:w="922"/>
              <w:gridCol w:w="959"/>
              <w:gridCol w:w="901"/>
              <w:gridCol w:w="858"/>
            </w:tblGrid>
            <w:tr w14:paraId="0040A2C9">
              <w:tblPrEx>
                <w:tblCellMar>
                  <w:top w:w="0" w:type="dxa"/>
                  <w:left w:w="108" w:type="dxa"/>
                  <w:bottom w:w="0" w:type="dxa"/>
                  <w:right w:w="108" w:type="dxa"/>
                </w:tblCellMar>
              </w:tblPrEx>
              <w:trPr>
                <w:trHeight w:val="285" w:hRule="atLeast"/>
              </w:trPr>
              <w:tc>
                <w:tcPr>
                  <w:tcW w:w="172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439DFE79">
                  <w:pPr>
                    <w:keepNext w:val="0"/>
                    <w:keepLines w:val="0"/>
                    <w:widowControl w:val="0"/>
                    <w:suppressLineNumbers w:val="0"/>
                    <w:adjustRightInd w:val="0"/>
                    <w:spacing w:before="0" w:beforeAutospacing="0" w:after="0" w:afterAutospacing="0" w:line="360" w:lineRule="auto"/>
                    <w:ind w:left="0" w:right="84" w:rightChars="40"/>
                    <w:jc w:val="center"/>
                    <w:textAlignment w:val="baseline"/>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号球</w:t>
                  </w:r>
                </w:p>
              </w:tc>
              <w:tc>
                <w:tcPr>
                  <w:tcW w:w="73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436D914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1</w:t>
                  </w:r>
                </w:p>
              </w:tc>
              <w:tc>
                <w:tcPr>
                  <w:tcW w:w="902"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058FFE9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2</w:t>
                  </w:r>
                </w:p>
              </w:tc>
              <w:tc>
                <w:tcPr>
                  <w:tcW w:w="94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356FBF1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3</w:t>
                  </w:r>
                </w:p>
              </w:tc>
              <w:tc>
                <w:tcPr>
                  <w:tcW w:w="922"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48E8CCA4">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4</w:t>
                  </w:r>
                </w:p>
              </w:tc>
              <w:tc>
                <w:tcPr>
                  <w:tcW w:w="959"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0AB8AC0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5</w:t>
                  </w:r>
                </w:p>
              </w:tc>
              <w:tc>
                <w:tcPr>
                  <w:tcW w:w="901"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34272A2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6</w:t>
                  </w:r>
                </w:p>
              </w:tc>
              <w:tc>
                <w:tcPr>
                  <w:tcW w:w="858"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0D98EB8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7</w:t>
                  </w:r>
                </w:p>
              </w:tc>
            </w:tr>
            <w:tr w14:paraId="73E22351">
              <w:tblPrEx>
                <w:tblCellMar>
                  <w:top w:w="0" w:type="dxa"/>
                  <w:left w:w="108" w:type="dxa"/>
                  <w:bottom w:w="0" w:type="dxa"/>
                  <w:right w:w="108" w:type="dxa"/>
                </w:tblCellMar>
              </w:tblPrEx>
              <w:trPr>
                <w:trHeight w:val="347" w:hRule="atLeast"/>
              </w:trPr>
              <w:tc>
                <w:tcPr>
                  <w:tcW w:w="1725" w:type="dxa"/>
                  <w:tcBorders>
                    <w:top w:val="single" w:color="000000" w:sz="4" w:space="0"/>
                    <w:left w:val="single" w:color="000000" w:sz="4" w:space="0"/>
                    <w:bottom w:val="single" w:color="000000" w:sz="4" w:space="0"/>
                    <w:right w:val="single" w:color="000000" w:sz="4" w:space="0"/>
                  </w:tcBorders>
                  <w:noWrap w:val="0"/>
                  <w:vAlign w:val="center"/>
                </w:tcPr>
                <w:p w14:paraId="3067C1A4">
                  <w:pPr>
                    <w:keepNext w:val="0"/>
                    <w:keepLines w:val="0"/>
                    <w:widowControl w:val="0"/>
                    <w:suppressLineNumbers w:val="0"/>
                    <w:adjustRightInd w:val="0"/>
                    <w:spacing w:before="0" w:beforeAutospacing="0" w:after="0" w:afterAutospacing="0" w:line="360" w:lineRule="auto"/>
                    <w:ind w:left="0" w:right="84" w:rightChars="40"/>
                    <w:jc w:val="center"/>
                    <w:textAlignment w:val="baseline"/>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下浮系数（%）</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05F015A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1.0</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590B570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1.1</w:t>
                  </w:r>
                </w:p>
              </w:tc>
              <w:tc>
                <w:tcPr>
                  <w:tcW w:w="940" w:type="dxa"/>
                  <w:tcBorders>
                    <w:top w:val="single" w:color="000000" w:sz="4" w:space="0"/>
                    <w:left w:val="single" w:color="000000" w:sz="4" w:space="0"/>
                    <w:bottom w:val="single" w:color="000000" w:sz="4" w:space="0"/>
                    <w:right w:val="single" w:color="000000" w:sz="4" w:space="0"/>
                  </w:tcBorders>
                  <w:noWrap w:val="0"/>
                  <w:vAlign w:val="center"/>
                </w:tcPr>
                <w:p w14:paraId="0E5EAB3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1.2</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34296A6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1.3</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0F5734B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1.4</w:t>
                  </w:r>
                </w:p>
              </w:tc>
              <w:tc>
                <w:tcPr>
                  <w:tcW w:w="901" w:type="dxa"/>
                  <w:tcBorders>
                    <w:top w:val="single" w:color="000000" w:sz="4" w:space="0"/>
                    <w:left w:val="single" w:color="000000" w:sz="4" w:space="0"/>
                    <w:bottom w:val="single" w:color="000000" w:sz="4" w:space="0"/>
                    <w:right w:val="single" w:color="000000" w:sz="4" w:space="0"/>
                  </w:tcBorders>
                  <w:noWrap w:val="0"/>
                  <w:vAlign w:val="center"/>
                </w:tcPr>
                <w:p w14:paraId="090C5E4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1.5</w:t>
                  </w:r>
                </w:p>
              </w:tc>
              <w:tc>
                <w:tcPr>
                  <w:tcW w:w="858" w:type="dxa"/>
                  <w:tcBorders>
                    <w:top w:val="single" w:color="000000" w:sz="4" w:space="0"/>
                    <w:left w:val="single" w:color="000000" w:sz="4" w:space="0"/>
                    <w:bottom w:val="single" w:color="000000" w:sz="4" w:space="0"/>
                    <w:right w:val="single" w:color="000000" w:sz="4" w:space="0"/>
                  </w:tcBorders>
                  <w:noWrap w:val="0"/>
                  <w:vAlign w:val="center"/>
                </w:tcPr>
                <w:p w14:paraId="55CDBEC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1.6</w:t>
                  </w:r>
                </w:p>
              </w:tc>
            </w:tr>
            <w:tr w14:paraId="53FEE63E">
              <w:tblPrEx>
                <w:tblCellMar>
                  <w:top w:w="0" w:type="dxa"/>
                  <w:left w:w="108" w:type="dxa"/>
                  <w:bottom w:w="0" w:type="dxa"/>
                  <w:right w:w="108" w:type="dxa"/>
                </w:tblCellMar>
              </w:tblPrEx>
              <w:trPr>
                <w:trHeight w:val="313" w:hRule="atLeast"/>
              </w:trPr>
              <w:tc>
                <w:tcPr>
                  <w:tcW w:w="172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78C55AA9">
                  <w:pPr>
                    <w:keepNext w:val="0"/>
                    <w:keepLines w:val="0"/>
                    <w:widowControl w:val="0"/>
                    <w:suppressLineNumbers w:val="0"/>
                    <w:adjustRightInd w:val="0"/>
                    <w:spacing w:before="0" w:beforeAutospacing="0" w:after="0" w:afterAutospacing="0" w:line="360" w:lineRule="auto"/>
                    <w:ind w:left="0" w:right="84" w:rightChars="40"/>
                    <w:jc w:val="center"/>
                    <w:textAlignment w:val="baseline"/>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号球</w:t>
                  </w:r>
                </w:p>
              </w:tc>
              <w:tc>
                <w:tcPr>
                  <w:tcW w:w="73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7F06CCF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8</w:t>
                  </w:r>
                </w:p>
              </w:tc>
              <w:tc>
                <w:tcPr>
                  <w:tcW w:w="902"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08ABCEF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9</w:t>
                  </w:r>
                </w:p>
              </w:tc>
              <w:tc>
                <w:tcPr>
                  <w:tcW w:w="94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62343C1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10</w:t>
                  </w:r>
                </w:p>
              </w:tc>
              <w:tc>
                <w:tcPr>
                  <w:tcW w:w="922"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3A4859A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11</w:t>
                  </w:r>
                </w:p>
              </w:tc>
              <w:tc>
                <w:tcPr>
                  <w:tcW w:w="959"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7F71816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12</w:t>
                  </w:r>
                </w:p>
              </w:tc>
              <w:tc>
                <w:tcPr>
                  <w:tcW w:w="901"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1975733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13</w:t>
                  </w:r>
                </w:p>
              </w:tc>
              <w:tc>
                <w:tcPr>
                  <w:tcW w:w="858"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5BEBCD0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14</w:t>
                  </w:r>
                </w:p>
              </w:tc>
            </w:tr>
            <w:tr w14:paraId="5ADE1168">
              <w:tblPrEx>
                <w:tblCellMar>
                  <w:top w:w="0" w:type="dxa"/>
                  <w:left w:w="108" w:type="dxa"/>
                  <w:bottom w:w="0" w:type="dxa"/>
                  <w:right w:w="108" w:type="dxa"/>
                </w:tblCellMar>
              </w:tblPrEx>
              <w:trPr>
                <w:trHeight w:val="313" w:hRule="atLeast"/>
              </w:trPr>
              <w:tc>
                <w:tcPr>
                  <w:tcW w:w="1725" w:type="dxa"/>
                  <w:tcBorders>
                    <w:top w:val="single" w:color="000000" w:sz="4" w:space="0"/>
                    <w:left w:val="single" w:color="000000" w:sz="4" w:space="0"/>
                    <w:bottom w:val="single" w:color="000000" w:sz="4" w:space="0"/>
                    <w:right w:val="single" w:color="000000" w:sz="4" w:space="0"/>
                  </w:tcBorders>
                  <w:noWrap w:val="0"/>
                  <w:vAlign w:val="center"/>
                </w:tcPr>
                <w:p w14:paraId="0B475B85">
                  <w:pPr>
                    <w:keepNext w:val="0"/>
                    <w:keepLines w:val="0"/>
                    <w:widowControl w:val="0"/>
                    <w:suppressLineNumbers w:val="0"/>
                    <w:adjustRightInd w:val="0"/>
                    <w:spacing w:before="0" w:beforeAutospacing="0" w:after="0" w:afterAutospacing="0" w:line="360" w:lineRule="auto"/>
                    <w:ind w:left="0" w:right="84" w:rightChars="40"/>
                    <w:jc w:val="center"/>
                    <w:textAlignment w:val="baseline"/>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下浮系数（%）</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72C77BF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1.7</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74BA0B67">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1.8</w:t>
                  </w:r>
                </w:p>
              </w:tc>
              <w:tc>
                <w:tcPr>
                  <w:tcW w:w="940" w:type="dxa"/>
                  <w:tcBorders>
                    <w:top w:val="single" w:color="000000" w:sz="4" w:space="0"/>
                    <w:left w:val="single" w:color="000000" w:sz="4" w:space="0"/>
                    <w:bottom w:val="single" w:color="000000" w:sz="4" w:space="0"/>
                    <w:right w:val="single" w:color="000000" w:sz="4" w:space="0"/>
                  </w:tcBorders>
                  <w:noWrap w:val="0"/>
                  <w:vAlign w:val="center"/>
                </w:tcPr>
                <w:p w14:paraId="5C59DA6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1.9</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47D8889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2.0</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7101EF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2.1</w:t>
                  </w:r>
                </w:p>
              </w:tc>
              <w:tc>
                <w:tcPr>
                  <w:tcW w:w="901" w:type="dxa"/>
                  <w:tcBorders>
                    <w:top w:val="single" w:color="000000" w:sz="4" w:space="0"/>
                    <w:left w:val="single" w:color="000000" w:sz="4" w:space="0"/>
                    <w:bottom w:val="single" w:color="000000" w:sz="4" w:space="0"/>
                    <w:right w:val="single" w:color="000000" w:sz="4" w:space="0"/>
                  </w:tcBorders>
                  <w:noWrap w:val="0"/>
                  <w:vAlign w:val="center"/>
                </w:tcPr>
                <w:p w14:paraId="08EBD86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2.2</w:t>
                  </w:r>
                </w:p>
              </w:tc>
              <w:tc>
                <w:tcPr>
                  <w:tcW w:w="858" w:type="dxa"/>
                  <w:tcBorders>
                    <w:top w:val="single" w:color="000000" w:sz="4" w:space="0"/>
                    <w:left w:val="single" w:color="000000" w:sz="4" w:space="0"/>
                    <w:bottom w:val="single" w:color="000000" w:sz="4" w:space="0"/>
                    <w:right w:val="single" w:color="000000" w:sz="4" w:space="0"/>
                  </w:tcBorders>
                  <w:noWrap w:val="0"/>
                  <w:vAlign w:val="center"/>
                </w:tcPr>
                <w:p w14:paraId="5A61E34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2.3</w:t>
                  </w:r>
                </w:p>
              </w:tc>
            </w:tr>
            <w:tr w14:paraId="318A5A86">
              <w:tblPrEx>
                <w:tblCellMar>
                  <w:top w:w="0" w:type="dxa"/>
                  <w:left w:w="108" w:type="dxa"/>
                  <w:bottom w:w="0" w:type="dxa"/>
                  <w:right w:w="108" w:type="dxa"/>
                </w:tblCellMar>
              </w:tblPrEx>
              <w:trPr>
                <w:trHeight w:val="288" w:hRule="atLeast"/>
              </w:trPr>
              <w:tc>
                <w:tcPr>
                  <w:tcW w:w="172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540ED43C">
                  <w:pPr>
                    <w:keepNext w:val="0"/>
                    <w:keepLines w:val="0"/>
                    <w:widowControl w:val="0"/>
                    <w:suppressLineNumbers w:val="0"/>
                    <w:adjustRightInd w:val="0"/>
                    <w:spacing w:before="0" w:beforeAutospacing="0" w:after="0" w:afterAutospacing="0" w:line="360" w:lineRule="auto"/>
                    <w:ind w:left="0" w:right="84" w:rightChars="40"/>
                    <w:jc w:val="center"/>
                    <w:textAlignment w:val="baseline"/>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号球</w:t>
                  </w:r>
                </w:p>
              </w:tc>
              <w:tc>
                <w:tcPr>
                  <w:tcW w:w="73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57D0042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15</w:t>
                  </w:r>
                </w:p>
              </w:tc>
              <w:tc>
                <w:tcPr>
                  <w:tcW w:w="902"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7DF10A7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16</w:t>
                  </w:r>
                </w:p>
              </w:tc>
              <w:tc>
                <w:tcPr>
                  <w:tcW w:w="94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73514F4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17</w:t>
                  </w:r>
                </w:p>
              </w:tc>
              <w:tc>
                <w:tcPr>
                  <w:tcW w:w="922"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1F116D7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18</w:t>
                  </w:r>
                </w:p>
              </w:tc>
              <w:tc>
                <w:tcPr>
                  <w:tcW w:w="959"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5D5DDF9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19</w:t>
                  </w:r>
                </w:p>
              </w:tc>
              <w:tc>
                <w:tcPr>
                  <w:tcW w:w="901"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0B87FFC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20</w:t>
                  </w:r>
                </w:p>
              </w:tc>
              <w:tc>
                <w:tcPr>
                  <w:tcW w:w="858"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0CC9FEF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rPr>
                    <w:t>21</w:t>
                  </w:r>
                </w:p>
              </w:tc>
            </w:tr>
            <w:tr w14:paraId="62ECD52A">
              <w:tblPrEx>
                <w:tblCellMar>
                  <w:top w:w="0" w:type="dxa"/>
                  <w:left w:w="108" w:type="dxa"/>
                  <w:bottom w:w="0" w:type="dxa"/>
                  <w:right w:w="108" w:type="dxa"/>
                </w:tblCellMar>
              </w:tblPrEx>
              <w:trPr>
                <w:trHeight w:val="385" w:hRule="atLeast"/>
              </w:trPr>
              <w:tc>
                <w:tcPr>
                  <w:tcW w:w="1725" w:type="dxa"/>
                  <w:tcBorders>
                    <w:top w:val="single" w:color="000000" w:sz="4" w:space="0"/>
                    <w:left w:val="single" w:color="000000" w:sz="4" w:space="0"/>
                    <w:bottom w:val="single" w:color="000000" w:sz="4" w:space="0"/>
                    <w:right w:val="single" w:color="000000" w:sz="4" w:space="0"/>
                  </w:tcBorders>
                  <w:noWrap w:val="0"/>
                  <w:vAlign w:val="center"/>
                </w:tcPr>
                <w:p w14:paraId="72E2D71D">
                  <w:pPr>
                    <w:keepNext w:val="0"/>
                    <w:keepLines w:val="0"/>
                    <w:widowControl w:val="0"/>
                    <w:suppressLineNumbers w:val="0"/>
                    <w:adjustRightInd w:val="0"/>
                    <w:spacing w:before="0" w:beforeAutospacing="0" w:after="0" w:afterAutospacing="0" w:line="360" w:lineRule="auto"/>
                    <w:ind w:left="0" w:right="84" w:rightChars="40"/>
                    <w:jc w:val="center"/>
                    <w:textAlignment w:val="baseline"/>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下浮系数（%）</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752301C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2.4</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764F579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2.5</w:t>
                  </w:r>
                </w:p>
              </w:tc>
              <w:tc>
                <w:tcPr>
                  <w:tcW w:w="940" w:type="dxa"/>
                  <w:tcBorders>
                    <w:top w:val="single" w:color="000000" w:sz="4" w:space="0"/>
                    <w:left w:val="single" w:color="000000" w:sz="4" w:space="0"/>
                    <w:bottom w:val="single" w:color="000000" w:sz="4" w:space="0"/>
                    <w:right w:val="single" w:color="000000" w:sz="4" w:space="0"/>
                  </w:tcBorders>
                  <w:noWrap w:val="0"/>
                  <w:vAlign w:val="center"/>
                </w:tcPr>
                <w:p w14:paraId="5C80492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2.6</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0004BB9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2.7</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43AB03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2.8</w:t>
                  </w:r>
                </w:p>
              </w:tc>
              <w:tc>
                <w:tcPr>
                  <w:tcW w:w="901" w:type="dxa"/>
                  <w:tcBorders>
                    <w:top w:val="single" w:color="000000" w:sz="4" w:space="0"/>
                    <w:left w:val="single" w:color="000000" w:sz="4" w:space="0"/>
                    <w:bottom w:val="single" w:color="000000" w:sz="4" w:space="0"/>
                    <w:right w:val="single" w:color="000000" w:sz="4" w:space="0"/>
                  </w:tcBorders>
                  <w:noWrap w:val="0"/>
                  <w:vAlign w:val="center"/>
                </w:tcPr>
                <w:p w14:paraId="726ACCE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2.9</w:t>
                  </w:r>
                </w:p>
              </w:tc>
              <w:tc>
                <w:tcPr>
                  <w:tcW w:w="858" w:type="dxa"/>
                  <w:tcBorders>
                    <w:top w:val="single" w:color="000000" w:sz="4" w:space="0"/>
                    <w:left w:val="single" w:color="000000" w:sz="4" w:space="0"/>
                    <w:bottom w:val="single" w:color="000000" w:sz="4" w:space="0"/>
                    <w:right w:val="single" w:color="000000" w:sz="4" w:space="0"/>
                  </w:tcBorders>
                  <w:noWrap w:val="0"/>
                  <w:vAlign w:val="center"/>
                </w:tcPr>
                <w:p w14:paraId="4063FB2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84" w:rightChars="4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3.0</w:t>
                  </w:r>
                </w:p>
              </w:tc>
            </w:tr>
          </w:tbl>
          <w:p w14:paraId="1A9E025C">
            <w:pPr>
              <w:keepNext w:val="0"/>
              <w:keepLines w:val="0"/>
              <w:widowControl w:val="0"/>
              <w:suppressLineNumbers w:val="0"/>
              <w:adjustRightInd w:val="0"/>
              <w:spacing w:before="0" w:beforeAutospacing="0" w:after="0" w:afterAutospacing="0" w:line="360" w:lineRule="auto"/>
              <w:ind w:left="0" w:right="84" w:rightChars="40" w:firstLine="480" w:firstLineChars="200"/>
              <w:jc w:val="left"/>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（2）评标基准价D＝</w:t>
            </w:r>
            <w:r>
              <w:rPr>
                <w:rFonts w:hint="eastAsia" w:ascii="宋体" w:hAnsi="宋体" w:eastAsia="宋体" w:cs="宋体"/>
                <w:b/>
                <w:bCs/>
                <w:color w:val="auto"/>
                <w:kern w:val="0"/>
                <w:sz w:val="24"/>
                <w:szCs w:val="24"/>
                <w:highlight w:val="none"/>
                <w:lang w:val="en-US" w:eastAsia="zh-CN" w:bidi="ar-SA"/>
              </w:rPr>
              <w:t>最高投标限价</w:t>
            </w:r>
            <w:r>
              <w:rPr>
                <w:rFonts w:hint="eastAsia" w:ascii="宋体" w:hAnsi="宋体" w:eastAsia="宋体" w:cs="宋体"/>
                <w:color w:val="auto"/>
                <w:kern w:val="0"/>
                <w:sz w:val="24"/>
                <w:szCs w:val="24"/>
                <w:highlight w:val="none"/>
                <w:lang w:val="en-US" w:eastAsia="zh-CN" w:bidi="ar-SA"/>
              </w:rPr>
              <w:t>×（1－n）</w:t>
            </w:r>
          </w:p>
        </w:tc>
      </w:tr>
      <w:tr w14:paraId="0285273E">
        <w:tblPrEx>
          <w:tblCellMar>
            <w:top w:w="0" w:type="dxa"/>
            <w:left w:w="108" w:type="dxa"/>
            <w:bottom w:w="0" w:type="dxa"/>
            <w:right w:w="108" w:type="dxa"/>
          </w:tblCellMar>
        </w:tblPrEx>
        <w:trPr>
          <w:trHeight w:val="1904"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14:paraId="6C60E4FE">
            <w:pPr>
              <w:keepNext w:val="0"/>
              <w:keepLines w:val="0"/>
              <w:widowControl w:val="0"/>
              <w:suppressLineNumbers w:val="0"/>
              <w:adjustRightInd w:val="0"/>
              <w:spacing w:before="0" w:beforeAutospacing="0" w:after="0" w:afterAutospacing="0" w:line="360" w:lineRule="auto"/>
              <w:ind w:left="0" w:right="84" w:rightChars="40"/>
              <w:jc w:val="center"/>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投标报价</w:t>
            </w:r>
          </w:p>
          <w:p w14:paraId="1D6052F0">
            <w:pPr>
              <w:keepNext w:val="0"/>
              <w:keepLines w:val="0"/>
              <w:widowControl w:val="0"/>
              <w:suppressLineNumbers w:val="0"/>
              <w:adjustRightInd w:val="0"/>
              <w:spacing w:before="0" w:beforeAutospacing="0" w:after="0" w:afterAutospacing="0" w:line="360" w:lineRule="auto"/>
              <w:ind w:left="0" w:right="84" w:rightChars="40"/>
              <w:jc w:val="center"/>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得分N</w:t>
            </w:r>
          </w:p>
        </w:tc>
        <w:tc>
          <w:tcPr>
            <w:tcW w:w="8850" w:type="dxa"/>
            <w:gridSpan w:val="3"/>
            <w:tcBorders>
              <w:top w:val="single" w:color="auto" w:sz="4" w:space="0"/>
              <w:left w:val="single" w:color="auto" w:sz="4" w:space="0"/>
              <w:bottom w:val="single" w:color="auto" w:sz="4" w:space="0"/>
              <w:right w:val="single" w:color="auto" w:sz="4" w:space="0"/>
            </w:tcBorders>
            <w:noWrap w:val="0"/>
            <w:vAlign w:val="center"/>
          </w:tcPr>
          <w:p w14:paraId="5525EB19">
            <w:pPr>
              <w:keepNext w:val="0"/>
              <w:keepLines w:val="0"/>
              <w:widowControl w:val="0"/>
              <w:suppressLineNumbers w:val="0"/>
              <w:adjustRightInd w:val="0"/>
              <w:spacing w:before="0" w:beforeAutospacing="0" w:after="0" w:afterAutospacing="0" w:line="360" w:lineRule="auto"/>
              <w:ind w:left="0" w:right="84" w:rightChars="40" w:firstLine="480" w:firstLineChars="200"/>
              <w:jc w:val="left"/>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采用内插法计算某投标人的投标报价得分N，即当投标人的投标总价等于评标基准价时得100分，每高于评标基准价一个百分点扣1分,每低于评标基准价一个百分点扣0.5分，扣完为止。公式如下：</w:t>
            </w:r>
          </w:p>
          <w:p w14:paraId="0947F96C">
            <w:pPr>
              <w:keepNext w:val="0"/>
              <w:keepLines w:val="0"/>
              <w:widowControl w:val="0"/>
              <w:suppressLineNumbers w:val="0"/>
              <w:adjustRightInd w:val="0"/>
              <w:spacing w:before="0" w:beforeAutospacing="0" w:after="0" w:afterAutospacing="0" w:line="360" w:lineRule="auto"/>
              <w:ind w:left="0" w:right="84" w:rightChars="40" w:firstLine="480" w:firstLineChars="200"/>
              <w:jc w:val="left"/>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N＝100－（|Di－D|÷D）×100×E</w:t>
            </w:r>
          </w:p>
          <w:p w14:paraId="29B61649">
            <w:pPr>
              <w:keepNext w:val="0"/>
              <w:keepLines w:val="0"/>
              <w:widowControl w:val="0"/>
              <w:suppressLineNumbers w:val="0"/>
              <w:adjustRightInd w:val="0"/>
              <w:spacing w:before="0" w:beforeAutospacing="0" w:after="0" w:afterAutospacing="0" w:line="360" w:lineRule="auto"/>
              <w:ind w:left="0" w:right="84" w:rightChars="40" w:firstLine="480" w:firstLineChars="200"/>
              <w:jc w:val="left"/>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式中：D为评标基准价；Di为某投标人的投标总价；E为扣分因子，当Di＞D时，E＝1；当Di＜D时，E＝0.5。</w:t>
            </w:r>
          </w:p>
        </w:tc>
      </w:tr>
    </w:tbl>
    <w:p w14:paraId="0A603712">
      <w:pPr>
        <w:keepNext w:val="0"/>
        <w:keepLines w:val="0"/>
        <w:pageBreakBefore w:val="0"/>
        <w:kinsoku/>
        <w:wordWrap w:val="0"/>
        <w:overflowPunct/>
        <w:topLinePunct w:val="0"/>
        <w:bidi w:val="0"/>
        <w:spacing w:before="155" w:line="211" w:lineRule="auto"/>
        <w:ind w:right="84" w:rightChars="40" w:firstLine="482" w:firstLineChars="200"/>
        <w:outlineLvl w:val="9"/>
        <w:rPr>
          <w:rFonts w:hint="eastAsia" w:ascii="宋体" w:hAnsi="宋体" w:eastAsia="宋体" w:cs="宋体"/>
          <w:b/>
          <w:bCs/>
          <w:color w:val="auto"/>
          <w:spacing w:val="0"/>
          <w:sz w:val="24"/>
          <w:szCs w:val="24"/>
          <w:highlight w:val="none"/>
        </w:rPr>
      </w:pPr>
    </w:p>
    <w:p w14:paraId="6EB0991B">
      <w:pPr>
        <w:keepNext w:val="0"/>
        <w:keepLines w:val="0"/>
        <w:pageBreakBefore w:val="0"/>
        <w:kinsoku/>
        <w:wordWrap w:val="0"/>
        <w:overflowPunct/>
        <w:topLinePunct w:val="0"/>
        <w:bidi w:val="0"/>
        <w:spacing w:before="155" w:line="211" w:lineRule="auto"/>
        <w:ind w:right="84" w:rightChars="40" w:firstLine="482" w:firstLineChars="200"/>
        <w:outlineLvl w:val="9"/>
        <w:rPr>
          <w:rFonts w:hint="eastAsia" w:ascii="宋体" w:hAnsi="宋体" w:eastAsia="宋体" w:cs="宋体"/>
          <w:b/>
          <w:bCs/>
          <w:color w:val="auto"/>
          <w:spacing w:val="0"/>
          <w:sz w:val="24"/>
          <w:szCs w:val="24"/>
          <w:highlight w:val="none"/>
        </w:rPr>
      </w:pPr>
    </w:p>
    <w:p w14:paraId="3E3DF6AC">
      <w:pPr>
        <w:keepNext w:val="0"/>
        <w:keepLines w:val="0"/>
        <w:pageBreakBefore w:val="0"/>
        <w:kinsoku/>
        <w:wordWrap w:val="0"/>
        <w:overflowPunct/>
        <w:topLinePunct w:val="0"/>
        <w:bidi w:val="0"/>
        <w:spacing w:before="155" w:line="211" w:lineRule="auto"/>
        <w:ind w:right="84" w:rightChars="40" w:firstLine="482" w:firstLineChars="200"/>
        <w:outlineLvl w:val="9"/>
        <w:rPr>
          <w:rFonts w:hint="eastAsia" w:ascii="宋体" w:hAnsi="宋体" w:eastAsia="宋体" w:cs="宋体"/>
          <w:color w:val="auto"/>
          <w:spacing w:val="0"/>
          <w:sz w:val="25"/>
          <w:szCs w:val="25"/>
          <w:highlight w:val="none"/>
        </w:rPr>
      </w:pPr>
      <w:r>
        <w:rPr>
          <w:rFonts w:hint="eastAsia" w:ascii="宋体" w:hAnsi="宋体" w:eastAsia="宋体" w:cs="宋体"/>
          <w:b/>
          <w:bCs/>
          <w:color w:val="auto"/>
          <w:spacing w:val="0"/>
          <w:sz w:val="24"/>
          <w:szCs w:val="24"/>
          <w:highlight w:val="none"/>
        </w:rPr>
        <w:t xml:space="preserve">15.5.2  </w:t>
      </w:r>
      <w:r>
        <w:rPr>
          <w:rFonts w:hint="eastAsia" w:ascii="宋体" w:hAnsi="宋体" w:eastAsia="宋体" w:cs="宋体"/>
          <w:color w:val="auto"/>
          <w:spacing w:val="0"/>
          <w:sz w:val="24"/>
          <w:szCs w:val="24"/>
          <w:highlight w:val="none"/>
        </w:rPr>
        <w:t>否决投标说明</w:t>
      </w:r>
      <w:bookmarkEnd w:id="131"/>
      <w:bookmarkEnd w:id="132"/>
      <w:bookmarkEnd w:id="133"/>
      <w:bookmarkEnd w:id="134"/>
    </w:p>
    <w:p w14:paraId="7A2EE53E">
      <w:pPr>
        <w:keepNext w:val="0"/>
        <w:keepLines w:val="0"/>
        <w:pageBreakBefore w:val="0"/>
        <w:kinsoku/>
        <w:wordWrap w:val="0"/>
        <w:overflowPunct/>
        <w:topLinePunct w:val="0"/>
        <w:bidi w:val="0"/>
        <w:spacing w:before="150" w:line="332" w:lineRule="auto"/>
        <w:ind w:left="10" w:right="84" w:rightChars="40" w:firstLine="56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详细评审阶段否决投标的全部条件，在本章第四节“否决投标条件 ”第 4 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3E787E43">
      <w:pPr>
        <w:keepNext w:val="0"/>
        <w:keepLines w:val="0"/>
        <w:pageBreakBefore w:val="0"/>
        <w:kinsoku/>
        <w:wordWrap w:val="0"/>
        <w:overflowPunct/>
        <w:topLinePunct w:val="0"/>
        <w:bidi w:val="0"/>
        <w:spacing w:before="59" w:line="330" w:lineRule="auto"/>
        <w:ind w:left="10" w:right="84" w:rightChars="40" w:firstLine="48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lang w:val="en-US" w:eastAsia="zh-CN"/>
        </w:rPr>
        <w:t>温馨提示</w:t>
      </w:r>
      <w:r>
        <w:rPr>
          <w:rFonts w:hint="eastAsia" w:ascii="宋体" w:hAnsi="宋体" w:eastAsia="宋体" w:cs="宋体"/>
          <w:b/>
          <w:bCs/>
          <w:color w:val="auto"/>
          <w:spacing w:val="0"/>
          <w:sz w:val="24"/>
          <w:szCs w:val="24"/>
          <w:highlight w:val="none"/>
        </w:rPr>
        <w:t>：投标人在详细评审阶段根据评分方法提供的佐证材料，其合法性、有效性和准确性不符合要求的，有关量化因素（或评分因素）的折算、调整（或评分）按相应量化标准（或评分标准）处理，但不否决投标。</w:t>
      </w:r>
    </w:p>
    <w:p w14:paraId="354AC629">
      <w:pPr>
        <w:keepNext w:val="0"/>
        <w:keepLines w:val="0"/>
        <w:pageBreakBefore w:val="0"/>
        <w:kinsoku/>
        <w:wordWrap w:val="0"/>
        <w:bidi w:val="0"/>
        <w:spacing w:before="78" w:line="220" w:lineRule="auto"/>
        <w:ind w:left="496" w:right="84" w:rightChars="40"/>
        <w:outlineLvl w:val="2"/>
        <w:rPr>
          <w:rFonts w:hint="eastAsia" w:ascii="宋体" w:hAnsi="宋体" w:eastAsia="宋体" w:cs="宋体"/>
          <w:color w:val="auto"/>
          <w:sz w:val="24"/>
          <w:szCs w:val="24"/>
          <w:highlight w:val="none"/>
          <w:lang w:eastAsia="zh-CN"/>
        </w:rPr>
      </w:pPr>
      <w:bookmarkStart w:id="135" w:name="bookmark137"/>
      <w:bookmarkEnd w:id="135"/>
      <w:bookmarkStart w:id="136" w:name="_Toc16384"/>
      <w:bookmarkStart w:id="137" w:name="_Toc18006"/>
      <w:bookmarkStart w:id="138" w:name="_Toc13265"/>
      <w:bookmarkStart w:id="139" w:name="_Toc23079"/>
      <w:r>
        <w:rPr>
          <w:rFonts w:hint="eastAsia" w:ascii="宋体" w:hAnsi="宋体" w:eastAsia="宋体" w:cs="宋体"/>
          <w:b/>
          <w:bCs/>
          <w:color w:val="auto"/>
          <w:sz w:val="24"/>
          <w:szCs w:val="24"/>
          <w:highlight w:val="none"/>
          <w:lang w:eastAsia="zh-CN"/>
        </w:rPr>
        <w:t>16 ．</w:t>
      </w:r>
      <w:bookmarkEnd w:id="136"/>
      <w:r>
        <w:rPr>
          <w:rFonts w:hint="eastAsia" w:ascii="宋体" w:hAnsi="宋体" w:eastAsia="宋体" w:cs="宋体"/>
          <w:b/>
          <w:bCs/>
          <w:color w:val="auto"/>
          <w:sz w:val="24"/>
          <w:szCs w:val="24"/>
          <w:highlight w:val="none"/>
          <w:lang w:eastAsia="zh-CN"/>
        </w:rPr>
        <w:t>评标结果公示</w:t>
      </w:r>
      <w:bookmarkEnd w:id="137"/>
      <w:bookmarkEnd w:id="138"/>
      <w:bookmarkEnd w:id="139"/>
    </w:p>
    <w:p w14:paraId="031C9164">
      <w:pPr>
        <w:keepNext w:val="0"/>
        <w:keepLines w:val="0"/>
        <w:pageBreakBefore w:val="0"/>
        <w:kinsoku/>
        <w:wordWrap w:val="0"/>
        <w:bidi w:val="0"/>
        <w:spacing w:before="135" w:line="360" w:lineRule="auto"/>
        <w:ind w:left="479" w:leftChars="228" w:right="84" w:rightChars="40"/>
        <w:jc w:val="both"/>
        <w:rPr>
          <w:rFonts w:hint="eastAsia" w:ascii="宋体" w:hAnsi="宋体" w:eastAsia="宋体" w:cs="宋体"/>
          <w:b w:val="0"/>
          <w:bCs w:val="0"/>
          <w:color w:val="auto"/>
          <w:sz w:val="24"/>
          <w:szCs w:val="24"/>
          <w:highlight w:val="none"/>
          <w:lang w:eastAsia="zh-CN"/>
        </w:rPr>
      </w:pPr>
      <w:r>
        <w:rPr>
          <w:rFonts w:hint="eastAsia" w:ascii="宋体" w:hAnsi="宋体" w:eastAsia="宋体" w:cs="宋体"/>
          <w:b/>
          <w:bCs/>
          <w:color w:val="auto"/>
          <w:sz w:val="24"/>
          <w:szCs w:val="24"/>
          <w:highlight w:val="none"/>
          <w:lang w:eastAsia="zh-CN"/>
        </w:rPr>
        <w:t xml:space="preserve">16.1 </w:t>
      </w:r>
      <w:r>
        <w:rPr>
          <w:rFonts w:hint="eastAsia" w:ascii="宋体" w:hAnsi="宋体" w:eastAsia="宋体" w:cs="宋体"/>
          <w:b w:val="0"/>
          <w:bCs w:val="0"/>
          <w:color w:val="auto"/>
          <w:sz w:val="24"/>
          <w:szCs w:val="24"/>
          <w:highlight w:val="none"/>
          <w:lang w:eastAsia="zh-CN"/>
        </w:rPr>
        <w:t xml:space="preserve"> 评标委员会按照投标人评审综合总得分由高到低的原则,向招标人推荐</w:t>
      </w:r>
      <w:r>
        <w:rPr>
          <w:rFonts w:hint="eastAsia" w:ascii="宋体" w:hAnsi="宋体" w:eastAsia="宋体" w:cs="宋体"/>
          <w:b w:val="0"/>
          <w:bCs w:val="0"/>
          <w:color w:val="auto"/>
          <w:sz w:val="24"/>
          <w:szCs w:val="24"/>
          <w:highlight w:val="none"/>
          <w:lang w:val="en-US" w:eastAsia="zh-CN"/>
        </w:rPr>
        <w:t>已明确的</w:t>
      </w:r>
      <w:r>
        <w:rPr>
          <w:rFonts w:hint="eastAsia" w:ascii="宋体" w:hAnsi="宋体" w:eastAsia="宋体" w:cs="宋体"/>
          <w:b w:val="0"/>
          <w:bCs w:val="0"/>
          <w:color w:val="auto"/>
          <w:sz w:val="24"/>
          <w:szCs w:val="24"/>
          <w:highlight w:val="none"/>
          <w:lang w:eastAsia="zh-CN"/>
        </w:rPr>
        <w:t>定标候选人数量（不</w:t>
      </w:r>
      <w:r>
        <w:rPr>
          <w:rFonts w:hint="eastAsia" w:ascii="宋体" w:hAnsi="宋体" w:eastAsia="宋体" w:cs="宋体"/>
          <w:b w:val="0"/>
          <w:bCs w:val="0"/>
          <w:color w:val="auto"/>
          <w:sz w:val="24"/>
          <w:szCs w:val="24"/>
          <w:highlight w:val="none"/>
          <w:lang w:val="en-US" w:eastAsia="zh-CN"/>
        </w:rPr>
        <w:t>标明</w:t>
      </w:r>
      <w:r>
        <w:rPr>
          <w:rFonts w:hint="eastAsia" w:ascii="宋体" w:hAnsi="宋体" w:eastAsia="宋体" w:cs="宋体"/>
          <w:b w:val="0"/>
          <w:bCs w:val="0"/>
          <w:color w:val="auto"/>
          <w:sz w:val="24"/>
          <w:szCs w:val="24"/>
          <w:highlight w:val="none"/>
          <w:lang w:eastAsia="zh-CN"/>
        </w:rPr>
        <w:t>排序）。</w:t>
      </w:r>
      <w:r>
        <w:rPr>
          <w:rFonts w:hint="eastAsia" w:ascii="宋体" w:hAnsi="宋体" w:eastAsia="宋体" w:cs="宋体"/>
          <w:b w:val="0"/>
          <w:bCs w:val="0"/>
          <w:color w:val="auto"/>
          <w:sz w:val="24"/>
          <w:szCs w:val="24"/>
          <w:highlight w:val="none"/>
          <w:lang w:val="en-US" w:eastAsia="zh-CN"/>
        </w:rPr>
        <w:t>评标委员会推荐定标候选人后，</w:t>
      </w:r>
      <w:r>
        <w:rPr>
          <w:rFonts w:hint="eastAsia" w:ascii="宋体" w:hAnsi="宋体" w:eastAsia="宋体" w:cs="宋体"/>
          <w:b w:val="0"/>
          <w:bCs w:val="0"/>
          <w:color w:val="auto"/>
          <w:sz w:val="24"/>
          <w:szCs w:val="24"/>
          <w:highlight w:val="none"/>
          <w:lang w:eastAsia="zh-CN"/>
        </w:rPr>
        <w:t>招标人应于评标会结束后</w:t>
      </w:r>
      <w:r>
        <w:rPr>
          <w:rFonts w:hint="eastAsia" w:ascii="宋体" w:hAnsi="宋体" w:eastAsia="宋体" w:cs="宋体"/>
          <w:b w:val="0"/>
          <w:bCs w:val="0"/>
          <w:color w:val="auto"/>
          <w:sz w:val="24"/>
          <w:szCs w:val="24"/>
          <w:highlight w:val="none"/>
          <w:lang w:val="en-US" w:eastAsia="zh-CN"/>
        </w:rPr>
        <w:t>3日内将</w:t>
      </w:r>
      <w:r>
        <w:rPr>
          <w:rFonts w:hint="eastAsia" w:ascii="宋体" w:hAnsi="宋体" w:eastAsia="宋体" w:cs="宋体"/>
          <w:b w:val="0"/>
          <w:bCs w:val="0"/>
          <w:color w:val="auto"/>
          <w:sz w:val="24"/>
          <w:szCs w:val="24"/>
          <w:highlight w:val="none"/>
          <w:lang w:eastAsia="zh-CN"/>
        </w:rPr>
        <w:t>定标候选人和评标情况</w:t>
      </w:r>
      <w:r>
        <w:rPr>
          <w:rFonts w:hint="eastAsia" w:ascii="宋体" w:hAnsi="宋体" w:eastAsia="宋体" w:cs="宋体"/>
          <w:b w:val="0"/>
          <w:bCs w:val="0"/>
          <w:color w:val="auto"/>
          <w:sz w:val="24"/>
          <w:szCs w:val="24"/>
          <w:highlight w:val="none"/>
          <w:lang w:val="en-US" w:eastAsia="zh-CN"/>
        </w:rPr>
        <w:t>在广东省招标投标监管网和</w:t>
      </w:r>
      <w:r>
        <w:rPr>
          <w:rFonts w:hint="eastAsia" w:ascii="宋体" w:hAnsi="宋体" w:eastAsia="宋体" w:cs="宋体"/>
          <w:b w:val="0"/>
          <w:bCs w:val="0"/>
          <w:color w:val="auto"/>
          <w:sz w:val="24"/>
          <w:szCs w:val="24"/>
          <w:highlight w:val="none"/>
          <w:lang w:eastAsia="zh-CN"/>
        </w:rPr>
        <w:t>韶关市公共资源交易中心建设工程交易系统</w:t>
      </w:r>
      <w:r>
        <w:rPr>
          <w:rFonts w:hint="eastAsia" w:ascii="宋体" w:hAnsi="宋体" w:eastAsia="宋体" w:cs="宋体"/>
          <w:b w:val="0"/>
          <w:bCs w:val="0"/>
          <w:color w:val="auto"/>
          <w:sz w:val="24"/>
          <w:szCs w:val="24"/>
          <w:highlight w:val="none"/>
          <w:lang w:val="en-US" w:eastAsia="zh-CN"/>
        </w:rPr>
        <w:t>上</w:t>
      </w:r>
      <w:r>
        <w:rPr>
          <w:rFonts w:hint="eastAsia" w:ascii="宋体" w:hAnsi="宋体" w:eastAsia="宋体" w:cs="宋体"/>
          <w:b w:val="0"/>
          <w:bCs w:val="0"/>
          <w:color w:val="auto"/>
          <w:sz w:val="24"/>
          <w:szCs w:val="24"/>
          <w:highlight w:val="none"/>
          <w:lang w:eastAsia="zh-CN"/>
        </w:rPr>
        <w:t>公示，</w:t>
      </w:r>
      <w:r>
        <w:rPr>
          <w:rFonts w:hint="eastAsia" w:ascii="宋体" w:hAnsi="宋体" w:eastAsia="宋体" w:cs="宋体"/>
          <w:b w:val="0"/>
          <w:bCs w:val="0"/>
          <w:color w:val="auto"/>
          <w:sz w:val="24"/>
          <w:szCs w:val="24"/>
          <w:highlight w:val="none"/>
          <w:lang w:val="en-US" w:eastAsia="zh-CN"/>
        </w:rPr>
        <w:t>公示时间不少于3日。</w:t>
      </w:r>
      <w:r>
        <w:rPr>
          <w:rFonts w:hint="eastAsia" w:ascii="宋体" w:hAnsi="宋体" w:eastAsia="宋体" w:cs="宋体"/>
          <w:b w:val="0"/>
          <w:bCs w:val="0"/>
          <w:color w:val="auto"/>
          <w:sz w:val="24"/>
          <w:szCs w:val="24"/>
          <w:highlight w:val="none"/>
          <w:lang w:eastAsia="zh-CN"/>
        </w:rPr>
        <w:t>公示主要内容包括：（</w:t>
      </w:r>
      <w:r>
        <w:rPr>
          <w:rFonts w:hint="eastAsia" w:ascii="宋体" w:hAnsi="宋体" w:eastAsia="宋体" w:cs="宋体"/>
          <w:b w:val="0"/>
          <w:bCs w:val="0"/>
          <w:color w:val="auto"/>
          <w:sz w:val="24"/>
          <w:szCs w:val="24"/>
          <w:highlight w:val="none"/>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r>
        <w:rPr>
          <w:rFonts w:hint="eastAsia" w:ascii="宋体" w:hAnsi="宋体" w:eastAsia="宋体" w:cs="宋体"/>
          <w:b w:val="0"/>
          <w:bCs w:val="0"/>
          <w:color w:val="auto"/>
          <w:sz w:val="24"/>
          <w:szCs w:val="24"/>
          <w:highlight w:val="none"/>
          <w:lang w:eastAsia="zh-CN"/>
        </w:rPr>
        <w:t>。</w:t>
      </w:r>
    </w:p>
    <w:p w14:paraId="0F1389C7">
      <w:pPr>
        <w:keepNext w:val="0"/>
        <w:keepLines w:val="0"/>
        <w:pageBreakBefore w:val="0"/>
        <w:kinsoku/>
        <w:wordWrap w:val="0"/>
        <w:overflowPunct/>
        <w:topLinePunct w:val="0"/>
        <w:bidi w:val="0"/>
        <w:spacing w:line="309" w:lineRule="auto"/>
        <w:ind w:right="84" w:rightChars="40"/>
        <w:rPr>
          <w:rFonts w:hint="eastAsia" w:ascii="宋体" w:hAnsi="宋体" w:eastAsia="宋体" w:cs="宋体"/>
          <w:color w:val="auto"/>
          <w:spacing w:val="0"/>
          <w:sz w:val="24"/>
          <w:szCs w:val="24"/>
          <w:highlight w:val="none"/>
        </w:rPr>
        <w:sectPr>
          <w:headerReference r:id="rId8" w:type="default"/>
          <w:footerReference r:id="rId9" w:type="default"/>
          <w:pgSz w:w="11906" w:h="16839"/>
          <w:pgMar w:top="1440" w:right="1253" w:bottom="1440" w:left="1253" w:header="0" w:footer="1020" w:gutter="0"/>
          <w:pgBorders>
            <w:top w:val="none" w:sz="0" w:space="0"/>
            <w:left w:val="none" w:sz="0" w:space="0"/>
            <w:bottom w:val="none" w:sz="0" w:space="0"/>
            <w:right w:val="none" w:sz="0" w:space="0"/>
          </w:pgBorders>
          <w:pgNumType w:fmt="decimal"/>
          <w:cols w:space="720" w:num="1"/>
          <w:rtlGutter w:val="0"/>
          <w:docGrid w:linePitch="0" w:charSpace="0"/>
        </w:sectPr>
      </w:pPr>
    </w:p>
    <w:p w14:paraId="4598D3DD">
      <w:pPr>
        <w:keepNext w:val="0"/>
        <w:keepLines w:val="0"/>
        <w:pageBreakBefore w:val="0"/>
        <w:kinsoku/>
        <w:wordWrap w:val="0"/>
        <w:overflowPunct/>
        <w:topLinePunct w:val="0"/>
        <w:bidi w:val="0"/>
        <w:spacing w:before="78" w:line="220" w:lineRule="auto"/>
        <w:ind w:left="9" w:right="84" w:rightChars="40"/>
        <w:jc w:val="center"/>
        <w:outlineLvl w:val="1"/>
        <w:rPr>
          <w:rFonts w:hint="eastAsia" w:ascii="宋体" w:hAnsi="宋体" w:eastAsia="宋体" w:cs="宋体"/>
          <w:color w:val="auto"/>
          <w:spacing w:val="0"/>
          <w:sz w:val="24"/>
          <w:szCs w:val="24"/>
          <w:highlight w:val="none"/>
        </w:rPr>
      </w:pPr>
      <w:bookmarkStart w:id="140" w:name="bookmark138"/>
      <w:bookmarkEnd w:id="140"/>
      <w:bookmarkStart w:id="141" w:name="_Toc17075"/>
      <w:r>
        <w:rPr>
          <w:rFonts w:hint="eastAsia" w:ascii="宋体" w:hAnsi="宋体" w:eastAsia="宋体" w:cs="宋体"/>
          <w:b/>
          <w:bCs/>
          <w:color w:val="auto"/>
          <w:spacing w:val="0"/>
          <w:sz w:val="24"/>
          <w:szCs w:val="24"/>
          <w:highlight w:val="none"/>
        </w:rPr>
        <w:t>第四节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否决投标条件</w:t>
      </w:r>
      <w:bookmarkEnd w:id="141"/>
    </w:p>
    <w:p w14:paraId="46F7EEA7">
      <w:pPr>
        <w:pStyle w:val="5"/>
        <w:keepNext w:val="0"/>
        <w:keepLines w:val="0"/>
        <w:pageBreakBefore w:val="0"/>
        <w:kinsoku/>
        <w:wordWrap w:val="0"/>
        <w:overflowPunct/>
        <w:topLinePunct w:val="0"/>
        <w:bidi w:val="0"/>
        <w:spacing w:line="256" w:lineRule="auto"/>
        <w:ind w:right="84" w:rightChars="40"/>
        <w:rPr>
          <w:rFonts w:hint="eastAsia" w:ascii="宋体" w:hAnsi="宋体" w:eastAsia="宋体" w:cs="宋体"/>
          <w:color w:val="auto"/>
          <w:spacing w:val="0"/>
          <w:highlight w:val="none"/>
        </w:rPr>
      </w:pPr>
    </w:p>
    <w:p w14:paraId="602D2B7C">
      <w:pPr>
        <w:keepNext w:val="0"/>
        <w:keepLines w:val="0"/>
        <w:pageBreakBefore w:val="0"/>
        <w:kinsoku/>
        <w:wordWrap w:val="0"/>
        <w:overflowPunct/>
        <w:topLinePunct w:val="0"/>
        <w:bidi w:val="0"/>
        <w:spacing w:before="78" w:line="330" w:lineRule="auto"/>
        <w:ind w:left="10" w:right="84" w:rightChars="40"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本节所集中列示的否决投标条件，是本章第三节“投标人须知正文 ”的组成部分，是对本章第三节所规定的否决投标条件的总结和补充。</w:t>
      </w:r>
      <w:r>
        <w:rPr>
          <w:rFonts w:hint="eastAsia" w:ascii="宋体" w:hAnsi="宋体" w:eastAsia="宋体" w:cs="宋体"/>
          <w:b/>
          <w:bCs/>
          <w:color w:val="auto"/>
          <w:spacing w:val="0"/>
          <w:sz w:val="24"/>
          <w:szCs w:val="24"/>
          <w:highlight w:val="none"/>
        </w:rPr>
        <w:t>投标人未有列入本节情形的，评标时一律不得否决其投标。</w:t>
      </w:r>
      <w:r>
        <w:rPr>
          <w:rFonts w:hint="eastAsia" w:ascii="宋体" w:hAnsi="宋体" w:eastAsia="宋体" w:cs="宋体"/>
          <w:color w:val="auto"/>
          <w:spacing w:val="0"/>
          <w:sz w:val="24"/>
          <w:szCs w:val="24"/>
          <w:highlight w:val="none"/>
        </w:rPr>
        <w:t>本节所称“规定 ”均指招标文件的规定。</w:t>
      </w:r>
    </w:p>
    <w:p w14:paraId="112C2E94">
      <w:pPr>
        <w:keepNext w:val="0"/>
        <w:keepLines w:val="0"/>
        <w:pageBreakBefore w:val="0"/>
        <w:kinsoku/>
        <w:wordWrap w:val="0"/>
        <w:overflowPunct/>
        <w:topLinePunct w:val="0"/>
        <w:bidi w:val="0"/>
        <w:spacing w:before="34" w:line="220" w:lineRule="auto"/>
        <w:ind w:left="495" w:right="84" w:rightChars="40"/>
        <w:outlineLvl w:val="2"/>
        <w:rPr>
          <w:rFonts w:hint="eastAsia" w:ascii="宋体" w:hAnsi="宋体" w:eastAsia="宋体" w:cs="宋体"/>
          <w:color w:val="auto"/>
          <w:spacing w:val="0"/>
          <w:sz w:val="24"/>
          <w:szCs w:val="24"/>
          <w:highlight w:val="none"/>
        </w:rPr>
      </w:pPr>
      <w:bookmarkStart w:id="142" w:name="_Toc22869"/>
      <w:r>
        <w:rPr>
          <w:rFonts w:hint="eastAsia" w:ascii="宋体" w:hAnsi="宋体" w:eastAsia="宋体" w:cs="宋体"/>
          <w:b/>
          <w:bCs/>
          <w:color w:val="auto"/>
          <w:spacing w:val="0"/>
          <w:sz w:val="24"/>
          <w:szCs w:val="24"/>
          <w:highlight w:val="none"/>
        </w:rPr>
        <w:t>1 ．资格评审环节</w:t>
      </w:r>
      <w:bookmarkEnd w:id="142"/>
    </w:p>
    <w:p w14:paraId="74FEF03C">
      <w:pPr>
        <w:keepNext w:val="0"/>
        <w:keepLines w:val="0"/>
        <w:pageBreakBefore w:val="0"/>
        <w:kinsoku/>
        <w:wordWrap w:val="0"/>
        <w:overflowPunct/>
        <w:topLinePunct w:val="0"/>
        <w:bidi w:val="0"/>
        <w:spacing w:before="152" w:line="327" w:lineRule="auto"/>
        <w:ind w:left="13" w:right="84" w:rightChars="40" w:firstLine="47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投标人有下列情形之一的，评标委员会应否决其投标。被否决的投标人，不进入形式评审环节。</w:t>
      </w:r>
    </w:p>
    <w:p w14:paraId="45FE5554">
      <w:pPr>
        <w:keepNext w:val="0"/>
        <w:keepLines w:val="0"/>
        <w:pageBreakBefore w:val="0"/>
        <w:kinsoku/>
        <w:wordWrap w:val="0"/>
        <w:overflowPunct/>
        <w:topLinePunct w:val="0"/>
        <w:bidi w:val="0"/>
        <w:spacing w:before="32" w:line="219" w:lineRule="auto"/>
        <w:ind w:left="50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（1）有本章第三节第 </w:t>
      </w:r>
      <w:r>
        <w:rPr>
          <w:rFonts w:hint="eastAsia" w:ascii="宋体" w:hAnsi="宋体" w:eastAsia="宋体" w:cs="宋体"/>
          <w:b/>
          <w:bCs/>
          <w:color w:val="auto"/>
          <w:spacing w:val="0"/>
          <w:sz w:val="24"/>
          <w:szCs w:val="24"/>
          <w:highlight w:val="none"/>
        </w:rPr>
        <w:t xml:space="preserve">2.4 </w:t>
      </w:r>
      <w:r>
        <w:rPr>
          <w:rFonts w:hint="eastAsia" w:ascii="宋体" w:hAnsi="宋体" w:eastAsia="宋体" w:cs="宋体"/>
          <w:color w:val="auto"/>
          <w:spacing w:val="0"/>
          <w:sz w:val="24"/>
          <w:szCs w:val="24"/>
          <w:highlight w:val="none"/>
        </w:rPr>
        <w:t>条“禁止投标条款 ”规定的任何一种情形；</w:t>
      </w:r>
    </w:p>
    <w:p w14:paraId="03414978">
      <w:pPr>
        <w:keepNext w:val="0"/>
        <w:keepLines w:val="0"/>
        <w:pageBreakBefore w:val="0"/>
        <w:kinsoku/>
        <w:wordWrap w:val="0"/>
        <w:overflowPunct/>
        <w:topLinePunct w:val="0"/>
        <w:bidi w:val="0"/>
        <w:spacing w:before="154" w:line="220" w:lineRule="auto"/>
        <w:ind w:left="50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（2）投标人资质不符合规定的；</w:t>
      </w:r>
    </w:p>
    <w:p w14:paraId="32EED32B">
      <w:pPr>
        <w:keepNext w:val="0"/>
        <w:keepLines w:val="0"/>
        <w:pageBreakBefore w:val="0"/>
        <w:kinsoku/>
        <w:wordWrap w:val="0"/>
        <w:overflowPunct/>
        <w:topLinePunct w:val="0"/>
        <w:bidi w:val="0"/>
        <w:spacing w:before="153" w:line="315" w:lineRule="auto"/>
        <w:ind w:right="84" w:rightChars="40" w:firstLine="5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0F2A74BC">
      <w:pPr>
        <w:keepNext w:val="0"/>
        <w:keepLines w:val="0"/>
        <w:pageBreakBefore w:val="0"/>
        <w:kinsoku/>
        <w:wordWrap w:val="0"/>
        <w:overflowPunct/>
        <w:topLinePunct w:val="0"/>
        <w:bidi w:val="0"/>
        <w:spacing w:before="153" w:line="330" w:lineRule="auto"/>
        <w:ind w:left="9" w:right="84" w:rightChars="40" w:firstLine="48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43462506">
      <w:pPr>
        <w:keepNext w:val="0"/>
        <w:keepLines w:val="0"/>
        <w:pageBreakBefore w:val="0"/>
        <w:kinsoku/>
        <w:wordWrap w:val="0"/>
        <w:overflowPunct/>
        <w:topLinePunct w:val="0"/>
        <w:bidi w:val="0"/>
        <w:spacing w:before="32" w:line="325" w:lineRule="auto"/>
        <w:ind w:left="10" w:right="84" w:rightChars="40" w:firstLine="490"/>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（4）拟派项目经理、项目技术负责人、专职安全员的条件不符合规定的；拟派专职安全员数量不符合规定的；项目技术负责人未在投标文件《项目技术负责人简历表》中签</w:t>
      </w:r>
      <w:r>
        <w:rPr>
          <w:rFonts w:hint="eastAsia" w:ascii="宋体" w:hAnsi="宋体" w:eastAsia="宋体" w:cs="宋体"/>
          <w:color w:val="auto"/>
          <w:spacing w:val="0"/>
          <w:sz w:val="24"/>
          <w:szCs w:val="24"/>
          <w:highlight w:val="none"/>
          <w:lang w:eastAsia="zh-CN"/>
        </w:rPr>
        <w:t>字确认。</w:t>
      </w:r>
    </w:p>
    <w:p w14:paraId="1444556B">
      <w:pPr>
        <w:keepNext w:val="0"/>
        <w:keepLines w:val="0"/>
        <w:pageBreakBefore w:val="0"/>
        <w:kinsoku/>
        <w:wordWrap w:val="0"/>
        <w:overflowPunct/>
        <w:topLinePunct w:val="0"/>
        <w:bidi w:val="0"/>
        <w:spacing w:before="34" w:line="334" w:lineRule="auto"/>
        <w:ind w:left="8" w:right="84" w:rightChars="40" w:firstLine="492"/>
        <w:jc w:val="both"/>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温馨提示：建造师打印电子证书后，应在个人签名处手写本人签名，未手写签名或与签名图像笔迹不一致的，该电子证书无效。</w:t>
      </w:r>
    </w:p>
    <w:p w14:paraId="4C6FF416">
      <w:pPr>
        <w:keepNext w:val="0"/>
        <w:keepLines w:val="0"/>
        <w:pageBreakBefore w:val="0"/>
        <w:kinsoku/>
        <w:wordWrap w:val="0"/>
        <w:overflowPunct/>
        <w:topLinePunct w:val="0"/>
        <w:bidi w:val="0"/>
        <w:spacing w:before="34" w:line="334" w:lineRule="auto"/>
        <w:ind w:left="8" w:right="84" w:rightChars="40"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w:t>
      </w:r>
      <w:r>
        <w:rPr>
          <w:rFonts w:hint="eastAsia" w:ascii="宋体" w:hAnsi="宋体" w:eastAsia="宋体" w:cs="宋体"/>
          <w:b/>
          <w:bCs/>
          <w:color w:val="auto"/>
          <w:spacing w:val="0"/>
          <w:sz w:val="24"/>
          <w:szCs w:val="24"/>
          <w:highlight w:val="none"/>
        </w:rPr>
        <w:t>建造师注册证书不在使用有效期内的</w:t>
      </w:r>
      <w:r>
        <w:rPr>
          <w:rFonts w:hint="eastAsia" w:ascii="宋体" w:hAnsi="宋体" w:eastAsia="宋体" w:cs="宋体"/>
          <w:color w:val="auto"/>
          <w:spacing w:val="0"/>
          <w:sz w:val="24"/>
          <w:szCs w:val="24"/>
          <w:highlight w:val="none"/>
        </w:rPr>
        <w:t>）；擅自修改、遗漏《项目经理任职声明》实质性内容的；</w:t>
      </w:r>
    </w:p>
    <w:p w14:paraId="798C8207">
      <w:pPr>
        <w:keepNext w:val="0"/>
        <w:keepLines w:val="0"/>
        <w:pageBreakBefore w:val="0"/>
        <w:kinsoku/>
        <w:wordWrap w:val="0"/>
        <w:overflowPunct/>
        <w:topLinePunct w:val="0"/>
        <w:bidi w:val="0"/>
        <w:spacing w:before="1" w:line="293" w:lineRule="auto"/>
        <w:ind w:left="28" w:right="84" w:rightChars="40" w:firstLine="462"/>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注：投标人已经工商变更，但其员工执业资格注册证书的注册单位名称未完成变更的，不得否决其投标。</w:t>
      </w:r>
    </w:p>
    <w:p w14:paraId="4F7B3592">
      <w:pPr>
        <w:keepNext w:val="0"/>
        <w:keepLines w:val="0"/>
        <w:pageBreakBefore w:val="0"/>
        <w:kinsoku/>
        <w:wordWrap w:val="0"/>
        <w:overflowPunct/>
        <w:topLinePunct w:val="0"/>
        <w:bidi w:val="0"/>
        <w:spacing w:before="153" w:line="330" w:lineRule="auto"/>
        <w:ind w:left="9" w:right="84" w:rightChars="40" w:firstLine="480"/>
        <w:jc w:val="both"/>
        <w:rPr>
          <w:rFonts w:hint="eastAsia" w:ascii="宋体" w:hAnsi="宋体" w:eastAsia="宋体" w:cs="宋体"/>
          <w:b/>
          <w:bCs/>
          <w:color w:val="auto"/>
          <w:spacing w:val="0"/>
          <w:sz w:val="24"/>
          <w:szCs w:val="24"/>
          <w:highlight w:val="none"/>
        </w:rPr>
      </w:pPr>
      <w:bookmarkStart w:id="143" w:name="OLE_LINK27"/>
      <w:r>
        <w:rPr>
          <w:rFonts w:hint="eastAsia" w:ascii="宋体" w:hAnsi="宋体" w:eastAsia="宋体" w:cs="宋体"/>
          <w:b/>
          <w:bCs/>
          <w:color w:val="auto"/>
          <w:spacing w:val="0"/>
          <w:sz w:val="24"/>
          <w:szCs w:val="24"/>
          <w:highlight w:val="none"/>
        </w:rPr>
        <w:t>鉴于目前继续教育开展的实际情况，建筑和市政工程施工现场专业人员（例如：施</w:t>
      </w:r>
      <w:bookmarkStart w:id="144" w:name="bookmark139"/>
      <w:bookmarkEnd w:id="144"/>
      <w:r>
        <w:rPr>
          <w:rFonts w:hint="eastAsia" w:ascii="宋体" w:hAnsi="宋体" w:eastAsia="宋体" w:cs="宋体"/>
          <w:b/>
          <w:bCs/>
          <w:color w:val="auto"/>
          <w:spacing w:val="0"/>
          <w:sz w:val="24"/>
          <w:szCs w:val="24"/>
          <w:highlight w:val="none"/>
        </w:rPr>
        <w:t>工员、质量员、材料员、资料员）的岗位证书或培训证书不审查其证书的有效期。</w:t>
      </w:r>
      <w:bookmarkEnd w:id="143"/>
    </w:p>
    <w:p w14:paraId="0F791476">
      <w:pPr>
        <w:keepNext w:val="0"/>
        <w:keepLines w:val="0"/>
        <w:pageBreakBefore w:val="0"/>
        <w:kinsoku/>
        <w:wordWrap w:val="0"/>
        <w:overflowPunct/>
        <w:topLinePunct w:val="0"/>
        <w:bidi w:val="0"/>
        <w:spacing w:before="146" w:line="220" w:lineRule="auto"/>
        <w:ind w:left="492"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（6）招标文件规定不接受联合体投标，但以联合体投标的；</w:t>
      </w:r>
    </w:p>
    <w:p w14:paraId="2C69257C">
      <w:pPr>
        <w:keepNext w:val="0"/>
        <w:keepLines w:val="0"/>
        <w:pageBreakBefore w:val="0"/>
        <w:kinsoku/>
        <w:wordWrap w:val="0"/>
        <w:overflowPunct/>
        <w:topLinePunct w:val="0"/>
        <w:bidi w:val="0"/>
        <w:spacing w:before="34" w:line="334" w:lineRule="auto"/>
        <w:ind w:left="8" w:right="84" w:rightChars="40"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（7）联合体投标，未提交《联合体协议书》的；擅自修改、遗漏《联合体协议书》实质性内容的；联合体成员的数量、资质不符合规定的；联合体成员同时以自己名义单独投标或者参加其他联合体投标的；</w:t>
      </w:r>
    </w:p>
    <w:p w14:paraId="50011199">
      <w:pPr>
        <w:keepNext w:val="0"/>
        <w:keepLines w:val="0"/>
        <w:pageBreakBefore w:val="0"/>
        <w:kinsoku/>
        <w:wordWrap w:val="0"/>
        <w:overflowPunct/>
        <w:topLinePunct w:val="0"/>
        <w:bidi w:val="0"/>
        <w:spacing w:before="34" w:line="334" w:lineRule="auto"/>
        <w:ind w:left="8" w:right="84" w:rightChars="40"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8</w:t>
      </w:r>
      <w:r>
        <w:rPr>
          <w:rFonts w:hint="eastAsia" w:ascii="宋体" w:hAnsi="宋体" w:eastAsia="宋体" w:cs="宋体"/>
          <w:color w:val="auto"/>
          <w:spacing w:val="0"/>
          <w:sz w:val="24"/>
          <w:szCs w:val="24"/>
          <w:highlight w:val="none"/>
        </w:rPr>
        <w:t>）投标人为外省建筑企业，但未提供“进粤企业和人员诚信信息登记平台 ”企业和拟派人员信息情况打印页或网页截图的。</w:t>
      </w:r>
    </w:p>
    <w:p w14:paraId="4A7BFED6">
      <w:pPr>
        <w:keepNext w:val="0"/>
        <w:keepLines w:val="0"/>
        <w:pageBreakBefore w:val="0"/>
        <w:kinsoku/>
        <w:wordWrap w:val="0"/>
        <w:overflowPunct/>
        <w:topLinePunct w:val="0"/>
        <w:bidi w:val="0"/>
        <w:spacing w:before="154" w:line="221" w:lineRule="auto"/>
        <w:ind w:left="477" w:right="84" w:rightChars="40"/>
        <w:outlineLvl w:val="2"/>
        <w:rPr>
          <w:rFonts w:hint="eastAsia" w:ascii="宋体" w:hAnsi="宋体" w:eastAsia="宋体" w:cs="宋体"/>
          <w:color w:val="auto"/>
          <w:spacing w:val="0"/>
          <w:sz w:val="24"/>
          <w:szCs w:val="24"/>
          <w:highlight w:val="none"/>
        </w:rPr>
      </w:pPr>
      <w:bookmarkStart w:id="145" w:name="_Toc14160"/>
      <w:r>
        <w:rPr>
          <w:rFonts w:hint="eastAsia" w:ascii="宋体" w:hAnsi="宋体" w:eastAsia="宋体" w:cs="宋体"/>
          <w:b/>
          <w:bCs/>
          <w:color w:val="auto"/>
          <w:spacing w:val="0"/>
          <w:sz w:val="24"/>
          <w:szCs w:val="24"/>
          <w:highlight w:val="none"/>
        </w:rPr>
        <w:t>2 ．形式评审环节</w:t>
      </w:r>
      <w:bookmarkEnd w:id="145"/>
    </w:p>
    <w:p w14:paraId="33654F10">
      <w:pPr>
        <w:keepNext w:val="0"/>
        <w:keepLines w:val="0"/>
        <w:pageBreakBefore w:val="0"/>
        <w:kinsoku/>
        <w:wordWrap w:val="0"/>
        <w:overflowPunct/>
        <w:topLinePunct w:val="0"/>
        <w:bidi w:val="0"/>
        <w:spacing w:before="151" w:line="327" w:lineRule="auto"/>
        <w:ind w:right="84" w:rightChars="40" w:firstLine="48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投标人有下列情形之一的，评标委员会应否决其投标。被否决的投标人，不进入响应性评审环节。</w:t>
      </w:r>
    </w:p>
    <w:p w14:paraId="4BAC9BEA">
      <w:pPr>
        <w:keepNext w:val="0"/>
        <w:keepLines w:val="0"/>
        <w:pageBreakBefore w:val="0"/>
        <w:kinsoku/>
        <w:wordWrap w:val="0"/>
        <w:overflowPunct/>
        <w:topLinePunct w:val="0"/>
        <w:bidi w:val="0"/>
        <w:spacing w:before="34" w:line="334" w:lineRule="auto"/>
        <w:ind w:left="8" w:right="84" w:rightChars="40"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（1）各分册没按招标文件规定加盖电子印章；</w:t>
      </w:r>
    </w:p>
    <w:p w14:paraId="6E2B21D1">
      <w:pPr>
        <w:keepNext w:val="0"/>
        <w:keepLines w:val="0"/>
        <w:pageBreakBefore w:val="0"/>
        <w:kinsoku/>
        <w:wordWrap w:val="0"/>
        <w:overflowPunct/>
        <w:topLinePunct w:val="0"/>
        <w:bidi w:val="0"/>
        <w:spacing w:before="34" w:line="334" w:lineRule="auto"/>
        <w:ind w:left="8" w:right="84" w:rightChars="40"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（2）本章第三节第 </w:t>
      </w:r>
      <w:r>
        <w:rPr>
          <w:rFonts w:hint="eastAsia" w:ascii="宋体" w:hAnsi="宋体" w:eastAsia="宋体" w:cs="宋体"/>
          <w:b/>
          <w:bCs/>
          <w:color w:val="auto"/>
          <w:spacing w:val="0"/>
          <w:sz w:val="24"/>
          <w:szCs w:val="24"/>
          <w:highlight w:val="none"/>
        </w:rPr>
        <w:t>10.2.2</w:t>
      </w:r>
      <w:r>
        <w:rPr>
          <w:rFonts w:hint="eastAsia" w:ascii="宋体" w:hAnsi="宋体" w:eastAsia="宋体" w:cs="宋体"/>
          <w:color w:val="auto"/>
          <w:spacing w:val="0"/>
          <w:sz w:val="24"/>
          <w:szCs w:val="24"/>
          <w:highlight w:val="none"/>
        </w:rPr>
        <w:t xml:space="preserve"> 目、第 </w:t>
      </w:r>
      <w:r>
        <w:rPr>
          <w:rFonts w:hint="eastAsia" w:ascii="宋体" w:hAnsi="宋体" w:eastAsia="宋体" w:cs="宋体"/>
          <w:b/>
          <w:bCs/>
          <w:color w:val="auto"/>
          <w:spacing w:val="0"/>
          <w:sz w:val="24"/>
          <w:szCs w:val="24"/>
          <w:highlight w:val="none"/>
        </w:rPr>
        <w:t>10.3.2</w:t>
      </w:r>
      <w:r>
        <w:rPr>
          <w:rFonts w:hint="eastAsia" w:ascii="宋体" w:hAnsi="宋体" w:eastAsia="宋体" w:cs="宋体"/>
          <w:color w:val="auto"/>
          <w:spacing w:val="0"/>
          <w:sz w:val="24"/>
          <w:szCs w:val="24"/>
          <w:highlight w:val="none"/>
        </w:rPr>
        <w:t xml:space="preserve"> 目、第 </w:t>
      </w:r>
      <w:r>
        <w:rPr>
          <w:rFonts w:hint="eastAsia" w:ascii="宋体" w:hAnsi="宋体" w:eastAsia="宋体" w:cs="宋体"/>
          <w:b/>
          <w:bCs/>
          <w:color w:val="auto"/>
          <w:spacing w:val="0"/>
          <w:sz w:val="24"/>
          <w:szCs w:val="24"/>
          <w:highlight w:val="none"/>
        </w:rPr>
        <w:t>10.4.3</w:t>
      </w:r>
      <w:r>
        <w:rPr>
          <w:rFonts w:hint="eastAsia" w:ascii="宋体" w:hAnsi="宋体" w:eastAsia="宋体" w:cs="宋体"/>
          <w:color w:val="auto"/>
          <w:spacing w:val="0"/>
          <w:sz w:val="24"/>
          <w:szCs w:val="24"/>
          <w:highlight w:val="none"/>
        </w:rPr>
        <w:t xml:space="preserve"> 目</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8"/>
          <w:sz w:val="24"/>
          <w:szCs w:val="24"/>
          <w:highlight w:val="none"/>
          <w:lang w:eastAsia="zh-CN"/>
        </w:rPr>
        <w:t>第</w:t>
      </w:r>
      <w:r>
        <w:rPr>
          <w:rFonts w:hint="eastAsia" w:ascii="宋体" w:hAnsi="宋体" w:eastAsia="宋体" w:cs="宋体"/>
          <w:b/>
          <w:bCs/>
          <w:color w:val="auto"/>
          <w:spacing w:val="-8"/>
          <w:sz w:val="24"/>
          <w:szCs w:val="24"/>
          <w:highlight w:val="none"/>
          <w:lang w:val="en-US" w:eastAsia="zh-CN"/>
        </w:rPr>
        <w:t>10.5.2</w:t>
      </w:r>
      <w:r>
        <w:rPr>
          <w:rFonts w:hint="eastAsia" w:ascii="宋体" w:hAnsi="宋体" w:eastAsia="宋体" w:cs="宋体"/>
          <w:color w:val="auto"/>
          <w:spacing w:val="-8"/>
          <w:sz w:val="24"/>
          <w:szCs w:val="24"/>
          <w:highlight w:val="none"/>
          <w:lang w:val="en-US" w:eastAsia="zh-CN"/>
        </w:rPr>
        <w:t>目</w:t>
      </w:r>
      <w:r>
        <w:rPr>
          <w:rFonts w:hint="eastAsia" w:ascii="宋体" w:hAnsi="宋体" w:eastAsia="宋体" w:cs="宋体"/>
          <w:color w:val="auto"/>
          <w:spacing w:val="0"/>
          <w:sz w:val="24"/>
          <w:szCs w:val="24"/>
          <w:highlight w:val="none"/>
        </w:rPr>
        <w:t>中规定的“所有投标人均应提供 ”的组成内容（包括该组成内容的所附资料）中，任何一项有缺漏的；</w:t>
      </w:r>
    </w:p>
    <w:p w14:paraId="36D3CEC6">
      <w:pPr>
        <w:keepNext w:val="0"/>
        <w:keepLines w:val="0"/>
        <w:pageBreakBefore w:val="0"/>
        <w:kinsoku/>
        <w:wordWrap w:val="0"/>
        <w:overflowPunct/>
        <w:topLinePunct w:val="0"/>
        <w:bidi w:val="0"/>
        <w:spacing w:before="34" w:line="334" w:lineRule="auto"/>
        <w:ind w:left="8" w:right="84" w:rightChars="40"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关键字迹模糊、无法辨认，且该种过错将导致评标委员会无法判断投标文件是否响应招标文件实质性要求的；有涂改、行间插字或删除，但未加盖单位章或由投标人的法定代表人或其委托代理人签字确认的；</w:t>
      </w:r>
    </w:p>
    <w:p w14:paraId="5FFF89B9">
      <w:pPr>
        <w:keepNext w:val="0"/>
        <w:keepLines w:val="0"/>
        <w:pageBreakBefore w:val="0"/>
        <w:kinsoku/>
        <w:wordWrap w:val="0"/>
        <w:overflowPunct/>
        <w:topLinePunct w:val="0"/>
        <w:bidi w:val="0"/>
        <w:spacing w:before="34" w:line="334" w:lineRule="auto"/>
        <w:ind w:left="8" w:right="84" w:rightChars="40"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（4）投标文件未按规定签字、盖章的。</w:t>
      </w:r>
    </w:p>
    <w:p w14:paraId="707E04F7">
      <w:pPr>
        <w:keepNext w:val="0"/>
        <w:keepLines w:val="0"/>
        <w:pageBreakBefore w:val="0"/>
        <w:kinsoku/>
        <w:wordWrap w:val="0"/>
        <w:overflowPunct/>
        <w:topLinePunct w:val="0"/>
        <w:bidi w:val="0"/>
        <w:spacing w:before="34" w:line="334" w:lineRule="auto"/>
        <w:ind w:left="8" w:right="84" w:rightChars="40"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（5）招标文件规定施工组织设计采用“暗标 ”方式进行评审，但施工组织设计的规格颜色、文字排版、正文篇幅（若有）不符合规定的；其任何部位出现手写以及涂改、 行间插字或删除痕迹的；其任何部位出现投标人的名称和其它可识别投标人身份的字符、徽标、人员名称以及其他特殊标记的。</w:t>
      </w:r>
      <w:r>
        <w:rPr>
          <w:rFonts w:hint="eastAsia" w:ascii="宋体" w:hAnsi="宋体" w:eastAsia="宋体" w:cs="宋体"/>
          <w:b/>
          <w:bCs/>
          <w:color w:val="auto"/>
          <w:spacing w:val="0"/>
          <w:sz w:val="24"/>
          <w:szCs w:val="24"/>
          <w:highlight w:val="none"/>
          <w:lang w:val="en-US" w:eastAsia="zh-CN"/>
        </w:rPr>
        <w:t>（本次招标项目不适用）</w:t>
      </w:r>
    </w:p>
    <w:p w14:paraId="1C64F3A3">
      <w:pPr>
        <w:keepNext w:val="0"/>
        <w:keepLines w:val="0"/>
        <w:pageBreakBefore w:val="0"/>
        <w:kinsoku/>
        <w:wordWrap w:val="0"/>
        <w:overflowPunct/>
        <w:topLinePunct w:val="0"/>
        <w:bidi w:val="0"/>
        <w:spacing w:before="227" w:line="221" w:lineRule="auto"/>
        <w:ind w:left="475" w:right="84" w:rightChars="40"/>
        <w:outlineLvl w:val="2"/>
        <w:rPr>
          <w:rFonts w:hint="eastAsia" w:ascii="宋体" w:hAnsi="宋体" w:eastAsia="宋体" w:cs="宋体"/>
          <w:color w:val="auto"/>
          <w:spacing w:val="0"/>
          <w:sz w:val="24"/>
          <w:szCs w:val="24"/>
          <w:highlight w:val="none"/>
        </w:rPr>
      </w:pPr>
      <w:bookmarkStart w:id="146" w:name="_Toc16300"/>
      <w:r>
        <w:rPr>
          <w:rFonts w:hint="eastAsia" w:ascii="宋体" w:hAnsi="宋体" w:eastAsia="宋体" w:cs="宋体"/>
          <w:b/>
          <w:bCs/>
          <w:color w:val="auto"/>
          <w:spacing w:val="0"/>
          <w:sz w:val="24"/>
          <w:szCs w:val="24"/>
          <w:highlight w:val="none"/>
        </w:rPr>
        <w:t>3 ．响应性评审环节</w:t>
      </w:r>
      <w:bookmarkEnd w:id="146"/>
    </w:p>
    <w:p w14:paraId="023371C4">
      <w:pPr>
        <w:keepNext w:val="0"/>
        <w:keepLines w:val="0"/>
        <w:pageBreakBefore w:val="0"/>
        <w:kinsoku/>
        <w:wordWrap w:val="0"/>
        <w:overflowPunct/>
        <w:topLinePunct w:val="0"/>
        <w:bidi w:val="0"/>
        <w:spacing w:before="151" w:line="327" w:lineRule="auto"/>
        <w:ind w:left="1" w:right="84" w:rightChars="40"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投标人有下列情形之一的，评标委员会应否决其投标。被否决的投标人，不进入详细评审阶段。</w:t>
      </w:r>
    </w:p>
    <w:p w14:paraId="039432FC">
      <w:pPr>
        <w:keepNext w:val="0"/>
        <w:keepLines w:val="0"/>
        <w:pageBreakBefore w:val="0"/>
        <w:kinsoku/>
        <w:wordWrap w:val="0"/>
        <w:overflowPunct/>
        <w:topLinePunct w:val="0"/>
        <w:bidi w:val="0"/>
        <w:spacing w:before="34" w:line="334" w:lineRule="auto"/>
        <w:ind w:left="8" w:right="84" w:rightChars="40"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（1）承诺的投标有效期短于规定的；质量标准低于规定的；工期超出规定的；擅自修改、遗漏《投标函》《各项承诺一览表》实质性内容的；</w:t>
      </w:r>
    </w:p>
    <w:p w14:paraId="3A9ED79E">
      <w:pPr>
        <w:keepNext w:val="0"/>
        <w:keepLines w:val="0"/>
        <w:pageBreakBefore w:val="0"/>
        <w:kinsoku/>
        <w:wordWrap w:val="0"/>
        <w:overflowPunct/>
        <w:topLinePunct w:val="0"/>
        <w:bidi w:val="0"/>
        <w:spacing w:before="34" w:line="334" w:lineRule="auto"/>
        <w:ind w:left="8" w:right="84" w:rightChars="40"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（2）编制《投标总价》的造价工程师，其注册证书不是</w:t>
      </w:r>
      <w:r>
        <w:rPr>
          <w:rFonts w:hint="eastAsia" w:ascii="宋体" w:hAnsi="宋体" w:eastAsia="宋体" w:cs="宋体"/>
          <w:b/>
          <w:bCs/>
          <w:color w:val="auto"/>
          <w:spacing w:val="0"/>
          <w:sz w:val="24"/>
          <w:szCs w:val="24"/>
          <w:highlight w:val="none"/>
        </w:rPr>
        <w:t>住建部门</w:t>
      </w:r>
      <w:r>
        <w:rPr>
          <w:rFonts w:hint="eastAsia" w:ascii="宋体" w:hAnsi="宋体" w:eastAsia="宋体" w:cs="宋体"/>
          <w:color w:val="auto"/>
          <w:spacing w:val="0"/>
          <w:sz w:val="24"/>
          <w:szCs w:val="24"/>
          <w:highlight w:val="none"/>
        </w:rPr>
        <w:t>颁发的；其注册单位与投标人（或造价咨询人）不一致的；其注册证书不在有效期内的。</w:t>
      </w:r>
    </w:p>
    <w:p w14:paraId="7EBE7469">
      <w:pPr>
        <w:keepNext w:val="0"/>
        <w:keepLines w:val="0"/>
        <w:pageBreakBefore w:val="0"/>
        <w:kinsoku/>
        <w:wordWrap w:val="0"/>
        <w:overflowPunct/>
        <w:topLinePunct w:val="0"/>
        <w:bidi w:val="0"/>
        <w:spacing w:before="156" w:line="329" w:lineRule="auto"/>
        <w:ind w:right="84" w:rightChars="40" w:firstLine="48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注：投标人（或造价咨询人）已经工商变更，但其员工的执业资格注册证书的注册单位名称未完成变更的，不得否决其投标。</w:t>
      </w:r>
    </w:p>
    <w:p w14:paraId="70E2ADFC">
      <w:pPr>
        <w:keepNext w:val="0"/>
        <w:keepLines w:val="0"/>
        <w:pageBreakBefore w:val="0"/>
        <w:kinsoku/>
        <w:wordWrap w:val="0"/>
        <w:overflowPunct/>
        <w:topLinePunct w:val="0"/>
        <w:bidi w:val="0"/>
        <w:spacing w:before="78" w:line="299" w:lineRule="auto"/>
        <w:ind w:left="2" w:right="84" w:rightChars="40"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（3）投标人委托造价咨询单位编制《投标总价》，但未在《投标总价扉页》“投标人”栏目加盖造价咨询人公章的；未提供造价咨询人的营业执照彩色扫描件；</w:t>
      </w:r>
    </w:p>
    <w:p w14:paraId="05BC2C53">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（4）出现两个或两个以上投标总价的（同一个投标总价大、小写不一致的除外）；投标总价超出</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少于规定的；暂列金额、暂估价未按照招标工程量清单统一报价的；投标总价下浮率超过 15%，又未提供相应书面说明和佐证材料或提供的书面说明和佐证材料不能令人信服，被评标委员会认定以低于成本报价竞标的；擅自修改、增减招标工程量清单项目（包括措施项目）的；</w:t>
      </w:r>
    </w:p>
    <w:p w14:paraId="62906720">
      <w:pPr>
        <w:keepNext w:val="0"/>
        <w:keepLines w:val="0"/>
        <w:pageBreakBefore w:val="0"/>
        <w:kinsoku/>
        <w:wordWrap w:val="0"/>
        <w:overflowPunct/>
        <w:topLinePunct w:val="0"/>
        <w:bidi w:val="0"/>
        <w:spacing w:before="156" w:line="299"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（5）在施工组织设计评审中，评标委员会认定质量、进度保障措施与国家和省市现行有关规范、规定、标准有重大偏差，</w:t>
      </w:r>
      <w:r>
        <w:rPr>
          <w:rFonts w:hint="eastAsia" w:ascii="宋体" w:hAnsi="宋体" w:eastAsia="宋体" w:cs="宋体"/>
          <w:b/>
          <w:bCs/>
          <w:color w:val="auto"/>
          <w:spacing w:val="0"/>
          <w:sz w:val="24"/>
          <w:szCs w:val="24"/>
          <w:highlight w:val="none"/>
        </w:rPr>
        <w:t>且该种过错将导致工程质量、进度管理目标无法实现的</w:t>
      </w:r>
      <w:r>
        <w:rPr>
          <w:rFonts w:hint="eastAsia" w:ascii="宋体" w:hAnsi="宋体" w:eastAsia="宋体" w:cs="宋体"/>
          <w:color w:val="auto"/>
          <w:spacing w:val="0"/>
          <w:sz w:val="24"/>
          <w:szCs w:val="24"/>
          <w:highlight w:val="none"/>
        </w:rPr>
        <w:t>。</w:t>
      </w:r>
    </w:p>
    <w:p w14:paraId="0DBFDD7A">
      <w:pPr>
        <w:keepNext w:val="0"/>
        <w:keepLines w:val="0"/>
        <w:pageBreakBefore w:val="0"/>
        <w:kinsoku/>
        <w:wordWrap w:val="0"/>
        <w:overflowPunct/>
        <w:topLinePunct w:val="0"/>
        <w:bidi w:val="0"/>
        <w:spacing w:before="151" w:line="221" w:lineRule="auto"/>
        <w:ind w:left="476" w:right="84" w:rightChars="40"/>
        <w:outlineLvl w:val="2"/>
        <w:rPr>
          <w:rFonts w:hint="eastAsia" w:ascii="宋体" w:hAnsi="宋体" w:eastAsia="宋体" w:cs="宋体"/>
          <w:color w:val="auto"/>
          <w:spacing w:val="0"/>
          <w:sz w:val="24"/>
          <w:szCs w:val="24"/>
          <w:highlight w:val="none"/>
        </w:rPr>
      </w:pPr>
      <w:bookmarkStart w:id="147" w:name="_Toc26594"/>
      <w:r>
        <w:rPr>
          <w:rFonts w:hint="eastAsia" w:ascii="宋体" w:hAnsi="宋体" w:eastAsia="宋体" w:cs="宋体"/>
          <w:b/>
          <w:bCs/>
          <w:color w:val="auto"/>
          <w:spacing w:val="0"/>
          <w:sz w:val="24"/>
          <w:szCs w:val="24"/>
          <w:highlight w:val="none"/>
        </w:rPr>
        <w:t>4 ．其他</w:t>
      </w:r>
      <w:bookmarkEnd w:id="147"/>
    </w:p>
    <w:p w14:paraId="1DB8C9BB">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在任何评标环节（或阶段），投标人有下列情形之一的，评标委员会应否决其投标。 被否决的投标人，不进入下一环节（或阶段）。</w:t>
      </w:r>
    </w:p>
    <w:p w14:paraId="0CA58726">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（1）不按评标委员会要求澄清、说明或补正的；</w:t>
      </w:r>
    </w:p>
    <w:p w14:paraId="0D1C3C0F">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（2）有下列情形之一，被评标委员会认定属于串通投标的：</w:t>
      </w:r>
    </w:p>
    <w:p w14:paraId="66C929C2">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①不同投标人的投标文件两处以上（含两处）错、漏一致；</w:t>
      </w:r>
    </w:p>
    <w:p w14:paraId="6D5FB77A">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②不同投标人的投标总价相近且各分项报价、综合单价分析表内容混乱不能相互对应、乱调乱压或乱抬的，而在询标时没有合理的解释或者不能提供计算依据和报价依据；</w:t>
      </w:r>
    </w:p>
    <w:p w14:paraId="22325080">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③不同投标人的投标各项报价存在异常一致或者呈规律性变化；</w:t>
      </w:r>
    </w:p>
    <w:p w14:paraId="36C4CB17">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④不同投标人的投标文件由同一单位或者同一个人编制；</w:t>
      </w:r>
    </w:p>
    <w:p w14:paraId="1A519F59">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⑤不同投标人的投标文件中投标资料（包括电子资料）相互混装或项目班子成员出现同一人；</w:t>
      </w:r>
    </w:p>
    <w:p w14:paraId="2D971149">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⑥不同投标人的投标文件由同一电脑编制或同一台附属设备打印，或投标报价用同一个预算编制软件密码锁制作或出自同一电子文档；</w:t>
      </w:r>
    </w:p>
    <w:p w14:paraId="3D4E49BC">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⑦不同投标人的投标保证由同一企业或同一账户资金缴纳；</w:t>
      </w:r>
    </w:p>
    <w:p w14:paraId="16BEF131">
      <w:pPr>
        <w:keepNext w:val="0"/>
        <w:keepLines w:val="0"/>
        <w:pageBreakBefore w:val="0"/>
        <w:kinsoku/>
        <w:wordWrap w:val="0"/>
        <w:overflowPunct/>
        <w:topLinePunct w:val="0"/>
        <w:bidi w:val="0"/>
        <w:spacing w:before="151" w:line="360" w:lineRule="auto"/>
        <w:ind w:right="84" w:rightChars="40"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⑧不同投标人委托同一个人或注册在同一家企业的注册人员或同一家企业为其投标提供投标咨询、商务报价、技术咨询（招标项目本身要求采用专有技术的除外）等服务。</w:t>
      </w:r>
    </w:p>
    <w:p w14:paraId="454FBBF0">
      <w:pPr>
        <w:keepNext w:val="0"/>
        <w:keepLines w:val="0"/>
        <w:pageBreakBefore w:val="0"/>
        <w:widowControl/>
        <w:kinsoku/>
        <w:wordWrap w:val="0"/>
        <w:overflowPunct/>
        <w:topLinePunct/>
        <w:autoSpaceDE w:val="0"/>
        <w:autoSpaceDN w:val="0"/>
        <w:bidi w:val="0"/>
        <w:adjustRightInd w:val="0"/>
        <w:snapToGrid w:val="0"/>
        <w:spacing w:before="157" w:line="299" w:lineRule="auto"/>
        <w:ind w:right="84" w:rightChars="40" w:firstLine="477"/>
        <w:textAlignment w:val="baseline"/>
        <w:rPr>
          <w:rFonts w:hint="eastAsia" w:ascii="宋体" w:hAnsi="宋体" w:eastAsia="宋体" w:cs="宋体"/>
          <w:color w:val="auto"/>
          <w:spacing w:val="-2"/>
          <w:sz w:val="24"/>
          <w:szCs w:val="24"/>
          <w:highlight w:val="none"/>
          <w:lang w:eastAsia="zh-CN"/>
        </w:rPr>
        <w:sectPr>
          <w:headerReference r:id="rId10" w:type="default"/>
          <w:footerReference r:id="rId11" w:type="default"/>
          <w:pgSz w:w="11906" w:h="16839"/>
          <w:pgMar w:top="1020" w:right="946" w:bottom="899" w:left="1500" w:header="0" w:footer="680" w:gutter="0"/>
          <w:pgBorders>
            <w:top w:val="none" w:sz="0" w:space="0"/>
            <w:left w:val="none" w:sz="0" w:space="0"/>
            <w:bottom w:val="none" w:sz="0" w:space="0"/>
            <w:right w:val="none" w:sz="0" w:space="0"/>
          </w:pgBorders>
          <w:cols w:space="720" w:num="1"/>
        </w:sectPr>
      </w:pPr>
      <w:r>
        <w:rPr>
          <w:rFonts w:hint="eastAsia" w:ascii="宋体" w:hAnsi="宋体" w:eastAsia="宋体" w:cs="宋体"/>
          <w:color w:val="auto"/>
          <w:spacing w:val="-2"/>
          <w:sz w:val="24"/>
          <w:szCs w:val="24"/>
          <w:highlight w:val="none"/>
        </w:rPr>
        <w:t>⑨监督部门于韶关市公共交易一体化平台发现系统提示风险预警，如提示投标单位上传投标文件使用的电脑IP地址一致等</w:t>
      </w:r>
      <w:r>
        <w:rPr>
          <w:rFonts w:hint="eastAsia" w:ascii="宋体" w:hAnsi="宋体" w:eastAsia="宋体" w:cs="宋体"/>
          <w:color w:val="auto"/>
          <w:spacing w:val="-2"/>
          <w:sz w:val="24"/>
          <w:szCs w:val="24"/>
          <w:highlight w:val="none"/>
          <w:lang w:eastAsia="zh-CN"/>
        </w:rPr>
        <w:t>。</w:t>
      </w:r>
    </w:p>
    <w:p w14:paraId="7F20CA48">
      <w:pPr>
        <w:keepNext w:val="0"/>
        <w:keepLines w:val="0"/>
        <w:pageBreakBefore w:val="0"/>
        <w:tabs>
          <w:tab w:val="left" w:pos="885"/>
        </w:tabs>
        <w:kinsoku/>
        <w:autoSpaceDE/>
        <w:autoSpaceDN/>
        <w:bidi w:val="0"/>
        <w:adjustRightInd/>
        <w:spacing w:line="360" w:lineRule="auto"/>
        <w:ind w:right="84" w:rightChars="40"/>
        <w:jc w:val="center"/>
        <w:outlineLvl w:val="1"/>
        <w:rPr>
          <w:rStyle w:val="26"/>
          <w:rFonts w:hint="eastAsia" w:ascii="宋体" w:hAnsi="宋体" w:eastAsia="宋体" w:cs="宋体"/>
          <w:b/>
          <w:bCs/>
          <w:snapToGrid/>
          <w:color w:val="auto"/>
          <w:kern w:val="2"/>
          <w:sz w:val="24"/>
          <w:szCs w:val="24"/>
          <w:highlight w:val="none"/>
          <w:lang w:eastAsia="zh-CN"/>
        </w:rPr>
      </w:pPr>
      <w:bookmarkStart w:id="148" w:name="bookmark57"/>
      <w:bookmarkEnd w:id="148"/>
      <w:bookmarkStart w:id="149" w:name="_Toc366"/>
      <w:bookmarkStart w:id="150" w:name="_Toc29390"/>
      <w:bookmarkStart w:id="151" w:name="_Toc28716"/>
      <w:r>
        <w:rPr>
          <w:rStyle w:val="26"/>
          <w:rFonts w:hint="eastAsia" w:ascii="宋体" w:hAnsi="宋体" w:eastAsia="宋体" w:cs="宋体"/>
          <w:b/>
          <w:bCs/>
          <w:snapToGrid/>
          <w:color w:val="auto"/>
          <w:kern w:val="2"/>
          <w:sz w:val="24"/>
          <w:szCs w:val="24"/>
          <w:highlight w:val="none"/>
          <w:lang w:eastAsia="zh-CN"/>
        </w:rPr>
        <w:t>第五节 定标规定及细则（本项目采用票决数量法定标）</w:t>
      </w:r>
      <w:bookmarkEnd w:id="149"/>
      <w:bookmarkEnd w:id="150"/>
      <w:bookmarkEnd w:id="151"/>
    </w:p>
    <w:p w14:paraId="140003FA">
      <w:pPr>
        <w:keepNext w:val="0"/>
        <w:keepLines w:val="0"/>
        <w:pageBreakBefore w:val="0"/>
        <w:kinsoku/>
        <w:autoSpaceDE/>
        <w:autoSpaceDN/>
        <w:bidi w:val="0"/>
        <w:adjustRightInd/>
        <w:snapToGrid/>
        <w:spacing w:line="360" w:lineRule="auto"/>
        <w:ind w:right="84" w:rightChars="40" w:firstLine="482" w:firstLineChars="200"/>
        <w:jc w:val="both"/>
        <w:rPr>
          <w:rStyle w:val="26"/>
          <w:rFonts w:hint="eastAsia" w:ascii="宋体" w:hAnsi="宋体" w:eastAsia="宋体" w:cs="宋体"/>
          <w:b/>
          <w:bCs/>
          <w:snapToGrid/>
          <w:color w:val="auto"/>
          <w:sz w:val="24"/>
          <w:szCs w:val="24"/>
          <w:highlight w:val="none"/>
          <w:lang w:eastAsia="zh-CN"/>
        </w:rPr>
      </w:pPr>
      <w:r>
        <w:rPr>
          <w:rStyle w:val="26"/>
          <w:rFonts w:hint="eastAsia" w:ascii="宋体" w:hAnsi="宋体" w:eastAsia="宋体" w:cs="宋体"/>
          <w:b/>
          <w:bCs/>
          <w:snapToGrid/>
          <w:color w:val="auto"/>
          <w:sz w:val="24"/>
          <w:szCs w:val="24"/>
          <w:highlight w:val="none"/>
          <w:lang w:eastAsia="zh-CN"/>
        </w:rPr>
        <w:t>1.确定定标会时间</w:t>
      </w:r>
    </w:p>
    <w:p w14:paraId="34D97AFA">
      <w:pPr>
        <w:keepNext w:val="0"/>
        <w:keepLines w:val="0"/>
        <w:pageBreakBefore w:val="0"/>
        <w:kinsoku/>
        <w:autoSpaceDE/>
        <w:autoSpaceDN/>
        <w:bidi w:val="0"/>
        <w:adjustRightInd/>
        <w:snapToGrid/>
        <w:spacing w:line="360" w:lineRule="auto"/>
        <w:ind w:right="84" w:rightChars="40" w:firstLine="480" w:firstLineChars="200"/>
        <w:jc w:val="both"/>
        <w:rPr>
          <w:rStyle w:val="26"/>
          <w:rFonts w:hint="eastAsia" w:ascii="宋体" w:hAnsi="宋体" w:eastAsia="宋体" w:cs="宋体"/>
          <w:snapToGrid/>
          <w:color w:val="auto"/>
          <w:sz w:val="24"/>
          <w:szCs w:val="24"/>
          <w:highlight w:val="none"/>
          <w:lang w:eastAsia="zh-CN"/>
        </w:rPr>
      </w:pPr>
      <w:r>
        <w:rPr>
          <w:rStyle w:val="26"/>
          <w:rFonts w:hint="eastAsia" w:ascii="宋体" w:hAnsi="宋体" w:eastAsia="宋体" w:cs="宋体"/>
          <w:snapToGrid/>
          <w:color w:val="auto"/>
          <w:sz w:val="24"/>
          <w:szCs w:val="24"/>
          <w:highlight w:val="none"/>
          <w:lang w:eastAsia="zh-CN"/>
        </w:rPr>
        <w:t>定标会由招标人组织，原则上应当在定标候选人公示结束后5个工作日内进入韶关市公共资源交易中心召开定标会议。定标会议全过程录音录像。不能按时定标的，应通过广东省招标投标监管网和全国公共资源交易平台（广东省·韶关市）公布延期原因和最终定标时间。若招标人需要对定标候选人或拟派项目负责人进行考察的，定标时间可以适当延迟，但延迟一般不超过 3 个工作日。</w:t>
      </w:r>
    </w:p>
    <w:p w14:paraId="7E570950">
      <w:pPr>
        <w:keepNext w:val="0"/>
        <w:keepLines w:val="0"/>
        <w:pageBreakBefore w:val="0"/>
        <w:kinsoku/>
        <w:autoSpaceDE/>
        <w:autoSpaceDN/>
        <w:bidi w:val="0"/>
        <w:adjustRightInd/>
        <w:snapToGrid/>
        <w:spacing w:line="360" w:lineRule="auto"/>
        <w:ind w:right="84" w:rightChars="40" w:firstLine="482" w:firstLineChars="200"/>
        <w:jc w:val="both"/>
        <w:rPr>
          <w:rStyle w:val="26"/>
          <w:rFonts w:hint="eastAsia" w:ascii="宋体" w:hAnsi="宋体" w:eastAsia="宋体" w:cs="宋体"/>
          <w:b/>
          <w:bCs/>
          <w:snapToGrid/>
          <w:color w:val="auto"/>
          <w:sz w:val="24"/>
          <w:szCs w:val="24"/>
          <w:highlight w:val="none"/>
          <w:lang w:eastAsia="zh-CN"/>
        </w:rPr>
      </w:pPr>
      <w:r>
        <w:rPr>
          <w:rStyle w:val="26"/>
          <w:rFonts w:hint="eastAsia" w:ascii="宋体" w:hAnsi="宋体" w:eastAsia="宋体" w:cs="宋体"/>
          <w:b/>
          <w:bCs/>
          <w:snapToGrid/>
          <w:color w:val="auto"/>
          <w:sz w:val="24"/>
          <w:szCs w:val="24"/>
          <w:highlight w:val="none"/>
          <w:lang w:eastAsia="zh-CN"/>
        </w:rPr>
        <w:t>2.定标委员会</w:t>
      </w:r>
    </w:p>
    <w:p w14:paraId="53C3C234">
      <w:pPr>
        <w:keepNext w:val="0"/>
        <w:keepLines w:val="0"/>
        <w:pageBreakBefore w:val="0"/>
        <w:kinsoku/>
        <w:autoSpaceDE/>
        <w:autoSpaceDN/>
        <w:bidi w:val="0"/>
        <w:adjustRightInd/>
        <w:snapToGrid/>
        <w:spacing w:line="360" w:lineRule="auto"/>
        <w:ind w:right="84" w:rightChars="40" w:firstLine="480" w:firstLineChars="200"/>
        <w:jc w:val="both"/>
        <w:rPr>
          <w:rStyle w:val="26"/>
          <w:rFonts w:hint="eastAsia" w:ascii="宋体" w:hAnsi="宋体" w:eastAsia="宋体" w:cs="宋体"/>
          <w:snapToGrid/>
          <w:color w:val="auto"/>
          <w:sz w:val="24"/>
          <w:szCs w:val="24"/>
          <w:highlight w:val="none"/>
          <w:lang w:eastAsia="zh-CN"/>
        </w:rPr>
      </w:pPr>
      <w:r>
        <w:rPr>
          <w:rStyle w:val="26"/>
          <w:rFonts w:hint="eastAsia" w:ascii="宋体" w:hAnsi="宋体" w:eastAsia="宋体" w:cs="宋体"/>
          <w:snapToGrid/>
          <w:color w:val="auto"/>
          <w:sz w:val="24"/>
          <w:szCs w:val="24"/>
          <w:highlight w:val="none"/>
          <w:lang w:eastAsia="zh-CN"/>
        </w:rPr>
        <w:t>2.1</w:t>
      </w:r>
      <w:r>
        <w:rPr>
          <w:rStyle w:val="26"/>
          <w:rFonts w:hint="eastAsia" w:ascii="宋体" w:hAnsi="宋体" w:eastAsia="宋体" w:cs="宋体"/>
          <w:snapToGrid/>
          <w:color w:val="auto"/>
          <w:sz w:val="24"/>
          <w:szCs w:val="24"/>
          <w:highlight w:val="none"/>
          <w:lang w:val="en-US" w:eastAsia="zh-CN"/>
        </w:rPr>
        <w:t>定标委员会实行招标人负责制，由招标人的法定代表人或者主要负责人负责组建和管理。定标委员会的组成方式和人员由招标人自行确定，成员原则上从招标人、项目业主、代建管理机构或者使用单位的领导班子成员、经营管理人员，或具备中级及以上职称、具有注册职业资格证的工程技术（经济）人员中产生，以上人员难以满足时也可从广东省综合评标评审专家库抽取补足（从广东省综合评标评审专家库抽取补足的专家人数最多为2人），成员数量为7人以上单数，定标委员会成员数量在本投标人须知前附表中约定。定标委员会应当推荐定标组长，招标人（不含代理机构）的法定代表人或者主要负责人参加定标委员会的，由其直接担任定标委员会组长。定标委员会名单在中标结果公告前应当保密。</w:t>
      </w:r>
    </w:p>
    <w:p w14:paraId="74FF2747">
      <w:pPr>
        <w:keepNext w:val="0"/>
        <w:keepLines w:val="0"/>
        <w:pageBreakBefore w:val="0"/>
        <w:kinsoku/>
        <w:autoSpaceDE/>
        <w:autoSpaceDN/>
        <w:bidi w:val="0"/>
        <w:adjustRightInd/>
        <w:snapToGrid/>
        <w:spacing w:line="360" w:lineRule="auto"/>
        <w:ind w:right="84" w:rightChars="40" w:firstLine="480" w:firstLineChars="200"/>
        <w:jc w:val="both"/>
        <w:rPr>
          <w:rFonts w:hint="eastAsia" w:ascii="宋体" w:hAnsi="宋体" w:eastAsia="宋体" w:cs="宋体"/>
          <w:snapToGrid/>
          <w:color w:val="auto"/>
          <w:kern w:val="2"/>
          <w:sz w:val="24"/>
          <w:szCs w:val="24"/>
          <w:highlight w:val="none"/>
          <w:lang w:val="en-US" w:eastAsia="zh-CN"/>
        </w:rPr>
      </w:pPr>
      <w:r>
        <w:rPr>
          <w:rFonts w:hint="eastAsia" w:ascii="宋体" w:hAnsi="宋体" w:eastAsia="宋体" w:cs="宋体"/>
          <w:snapToGrid/>
          <w:color w:val="auto"/>
          <w:kern w:val="2"/>
          <w:sz w:val="24"/>
          <w:szCs w:val="24"/>
          <w:highlight w:val="none"/>
          <w:lang w:val="en-US" w:eastAsia="zh-CN"/>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0E760EF2">
      <w:pPr>
        <w:keepNext w:val="0"/>
        <w:keepLines w:val="0"/>
        <w:pageBreakBefore w:val="0"/>
        <w:kinsoku/>
        <w:autoSpaceDE/>
        <w:autoSpaceDN/>
        <w:bidi w:val="0"/>
        <w:adjustRightInd/>
        <w:snapToGrid/>
        <w:spacing w:line="360" w:lineRule="auto"/>
        <w:ind w:right="84" w:rightChars="40" w:firstLine="480" w:firstLineChars="200"/>
        <w:jc w:val="both"/>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val="en-US" w:eastAsia="zh-CN"/>
        </w:rPr>
        <w:t>2</w:t>
      </w:r>
      <w:r>
        <w:rPr>
          <w:rFonts w:hint="eastAsia" w:ascii="宋体" w:hAnsi="宋体" w:eastAsia="宋体" w:cs="宋体"/>
          <w:snapToGrid/>
          <w:color w:val="auto"/>
          <w:kern w:val="2"/>
          <w:sz w:val="24"/>
          <w:szCs w:val="24"/>
          <w:highlight w:val="none"/>
          <w:lang w:eastAsia="zh-CN"/>
        </w:rPr>
        <w:t>.</w:t>
      </w:r>
      <w:r>
        <w:rPr>
          <w:rFonts w:hint="eastAsia" w:ascii="宋体" w:hAnsi="宋体" w:eastAsia="宋体" w:cs="宋体"/>
          <w:snapToGrid/>
          <w:color w:val="auto"/>
          <w:kern w:val="2"/>
          <w:sz w:val="24"/>
          <w:szCs w:val="24"/>
          <w:highlight w:val="none"/>
          <w:lang w:val="en-US" w:eastAsia="zh-CN"/>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6E17EF85">
      <w:pPr>
        <w:keepNext w:val="0"/>
        <w:keepLines w:val="0"/>
        <w:pageBreakBefore w:val="0"/>
        <w:kinsoku/>
        <w:autoSpaceDE/>
        <w:autoSpaceDN/>
        <w:bidi w:val="0"/>
        <w:adjustRightInd/>
        <w:snapToGrid/>
        <w:spacing w:line="360" w:lineRule="auto"/>
        <w:ind w:right="84" w:rightChars="40" w:firstLine="482" w:firstLineChars="200"/>
        <w:jc w:val="both"/>
        <w:rPr>
          <w:rStyle w:val="26"/>
          <w:rFonts w:hint="eastAsia" w:ascii="宋体" w:hAnsi="宋体" w:eastAsia="宋体" w:cs="宋体"/>
          <w:b/>
          <w:bCs/>
          <w:snapToGrid/>
          <w:color w:val="auto"/>
          <w:sz w:val="24"/>
          <w:szCs w:val="24"/>
          <w:highlight w:val="none"/>
          <w:lang w:eastAsia="zh-CN"/>
        </w:rPr>
      </w:pPr>
      <w:r>
        <w:rPr>
          <w:rStyle w:val="26"/>
          <w:rFonts w:hint="eastAsia" w:ascii="宋体" w:hAnsi="宋体" w:eastAsia="宋体" w:cs="宋体"/>
          <w:b/>
          <w:bCs/>
          <w:snapToGrid/>
          <w:color w:val="auto"/>
          <w:sz w:val="24"/>
          <w:szCs w:val="24"/>
          <w:highlight w:val="none"/>
          <w:lang w:eastAsia="zh-CN"/>
        </w:rPr>
        <w:t>3.组建招标监督小组</w:t>
      </w:r>
    </w:p>
    <w:p w14:paraId="720AAF51">
      <w:pPr>
        <w:keepNext w:val="0"/>
        <w:keepLines w:val="0"/>
        <w:pageBreakBefore w:val="0"/>
        <w:kinsoku/>
        <w:autoSpaceDE/>
        <w:autoSpaceDN/>
        <w:bidi w:val="0"/>
        <w:adjustRightInd/>
        <w:snapToGrid/>
        <w:spacing w:line="360" w:lineRule="auto"/>
        <w:ind w:right="84" w:rightChars="40" w:firstLine="480" w:firstLineChars="200"/>
        <w:jc w:val="both"/>
        <w:rPr>
          <w:rStyle w:val="26"/>
          <w:rFonts w:hint="eastAsia" w:ascii="宋体" w:hAnsi="宋体" w:eastAsia="宋体" w:cs="宋体"/>
          <w:snapToGrid/>
          <w:color w:val="auto"/>
          <w:sz w:val="24"/>
          <w:szCs w:val="24"/>
          <w:highlight w:val="none"/>
          <w:lang w:eastAsia="zh-CN"/>
        </w:rPr>
      </w:pPr>
      <w:r>
        <w:rPr>
          <w:rStyle w:val="26"/>
          <w:rFonts w:hint="eastAsia" w:ascii="宋体" w:hAnsi="宋体" w:eastAsia="宋体" w:cs="宋体"/>
          <w:snapToGrid/>
          <w:color w:val="auto"/>
          <w:sz w:val="24"/>
          <w:szCs w:val="24"/>
          <w:highlight w:val="none"/>
          <w:lang w:eastAsia="zh-CN"/>
        </w:rPr>
        <w:t>招标人应及时组建招标监督小组，招标监督小组原则上由不少于3人组成，人员可由招标人直接委派，也可以从招标人的上级主管单位、项目业主单位、使用单位等补充委派，并确定一名组长负责统筹监督工作。同一人不得同时担任定标委员会成员和招标监督小组成员中的两个角色。招标监督小组的职责是对定标委员会的组建、定标过程及招标人在定标前的清标环节和对定标候选人的考察等进行全程监督，确保定标过程公正、公平。发现异常情况及时提醒、进行纠正，但不得就定标涉及的实质内容发表意见或者参与定标讨论。</w:t>
      </w:r>
    </w:p>
    <w:p w14:paraId="684CB560">
      <w:pPr>
        <w:keepNext w:val="0"/>
        <w:keepLines w:val="0"/>
        <w:pageBreakBefore w:val="0"/>
        <w:kinsoku/>
        <w:autoSpaceDE/>
        <w:autoSpaceDN/>
        <w:bidi w:val="0"/>
        <w:adjustRightInd/>
        <w:snapToGrid/>
        <w:spacing w:line="360" w:lineRule="auto"/>
        <w:ind w:right="84" w:rightChars="40" w:firstLine="482" w:firstLineChars="200"/>
        <w:rPr>
          <w:rStyle w:val="26"/>
          <w:rFonts w:hint="eastAsia" w:ascii="宋体" w:hAnsi="宋体" w:eastAsia="宋体" w:cs="宋体"/>
          <w:snapToGrid/>
          <w:color w:val="auto"/>
          <w:sz w:val="24"/>
          <w:szCs w:val="24"/>
          <w:highlight w:val="none"/>
          <w:lang w:eastAsia="zh-CN"/>
        </w:rPr>
      </w:pPr>
      <w:r>
        <w:rPr>
          <w:rStyle w:val="26"/>
          <w:rFonts w:hint="eastAsia" w:ascii="宋体" w:hAnsi="宋体" w:eastAsia="宋体" w:cs="宋体"/>
          <w:b/>
          <w:bCs/>
          <w:snapToGrid/>
          <w:color w:val="auto"/>
          <w:sz w:val="24"/>
          <w:szCs w:val="24"/>
          <w:highlight w:val="none"/>
          <w:lang w:eastAsia="zh-CN"/>
        </w:rPr>
        <w:t>4.定标办法</w:t>
      </w:r>
    </w:p>
    <w:p w14:paraId="3A8DFE5F">
      <w:pPr>
        <w:keepNext w:val="0"/>
        <w:keepLines w:val="0"/>
        <w:pageBreakBefore w:val="0"/>
        <w:kinsoku/>
        <w:autoSpaceDE/>
        <w:autoSpaceDN/>
        <w:bidi w:val="0"/>
        <w:adjustRightInd/>
        <w:snapToGrid/>
        <w:spacing w:line="360" w:lineRule="auto"/>
        <w:ind w:right="84" w:rightChars="40" w:firstLine="482" w:firstLineChars="200"/>
        <w:jc w:val="both"/>
        <w:rPr>
          <w:rFonts w:hint="eastAsia" w:ascii="宋体" w:hAnsi="宋体" w:eastAsia="宋体" w:cs="宋体"/>
          <w:snapToGrid/>
          <w:color w:val="auto"/>
          <w:kern w:val="2"/>
          <w:sz w:val="24"/>
          <w:szCs w:val="24"/>
          <w:highlight w:val="none"/>
          <w:lang w:eastAsia="zh-CN"/>
        </w:rPr>
      </w:pPr>
      <w:bookmarkStart w:id="152" w:name="OLE_LINK3"/>
      <w:r>
        <w:rPr>
          <w:rFonts w:hint="eastAsia" w:ascii="宋体" w:hAnsi="宋体" w:eastAsia="宋体" w:cs="宋体"/>
          <w:b/>
          <w:bCs/>
          <w:snapToGrid/>
          <w:color w:val="auto"/>
          <w:kern w:val="2"/>
          <w:sz w:val="24"/>
          <w:szCs w:val="24"/>
          <w:highlight w:val="none"/>
          <w:lang w:eastAsia="zh-CN"/>
        </w:rPr>
        <w:t>本项目</w:t>
      </w:r>
      <w:bookmarkEnd w:id="152"/>
      <w:r>
        <w:rPr>
          <w:rFonts w:hint="eastAsia" w:ascii="宋体" w:hAnsi="宋体" w:eastAsia="宋体" w:cs="宋体"/>
          <w:b/>
          <w:bCs/>
          <w:snapToGrid/>
          <w:color w:val="auto"/>
          <w:kern w:val="2"/>
          <w:sz w:val="24"/>
          <w:szCs w:val="24"/>
          <w:highlight w:val="none"/>
          <w:lang w:eastAsia="zh-CN"/>
        </w:rPr>
        <w:t>采用票决数量法定标。</w:t>
      </w:r>
    </w:p>
    <w:p w14:paraId="5693A3B1">
      <w:pPr>
        <w:keepNext w:val="0"/>
        <w:keepLines w:val="0"/>
        <w:pageBreakBefore w:val="0"/>
        <w:kinsoku/>
        <w:autoSpaceDE/>
        <w:autoSpaceDN/>
        <w:bidi w:val="0"/>
        <w:adjustRightInd/>
        <w:snapToGrid/>
        <w:spacing w:line="360" w:lineRule="auto"/>
        <w:ind w:right="84" w:rightChars="40" w:firstLine="482" w:firstLineChars="200"/>
        <w:jc w:val="both"/>
        <w:rPr>
          <w:rStyle w:val="26"/>
          <w:rFonts w:hint="eastAsia" w:ascii="宋体" w:hAnsi="宋体" w:eastAsia="宋体" w:cs="宋体"/>
          <w:b/>
          <w:bCs/>
          <w:snapToGrid/>
          <w:color w:val="auto"/>
          <w:sz w:val="24"/>
          <w:szCs w:val="24"/>
          <w:highlight w:val="none"/>
          <w:lang w:eastAsia="zh-CN"/>
        </w:rPr>
      </w:pPr>
      <w:r>
        <w:rPr>
          <w:rStyle w:val="26"/>
          <w:rFonts w:hint="eastAsia" w:ascii="宋体" w:hAnsi="宋体" w:eastAsia="宋体" w:cs="宋体"/>
          <w:b/>
          <w:bCs/>
          <w:snapToGrid/>
          <w:color w:val="auto"/>
          <w:sz w:val="24"/>
          <w:szCs w:val="24"/>
          <w:highlight w:val="none"/>
          <w:lang w:eastAsia="zh-CN"/>
        </w:rPr>
        <w:t>5.定标细则</w:t>
      </w:r>
    </w:p>
    <w:p w14:paraId="345E502E">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b/>
          <w:bCs/>
          <w:snapToGrid/>
          <w:color w:val="auto"/>
          <w:kern w:val="2"/>
          <w:sz w:val="24"/>
          <w:szCs w:val="24"/>
          <w:highlight w:val="none"/>
          <w:lang w:eastAsia="zh-CN"/>
        </w:rPr>
      </w:pPr>
      <w:r>
        <w:rPr>
          <w:rFonts w:hint="eastAsia" w:ascii="宋体" w:hAnsi="宋体" w:eastAsia="宋体" w:cs="宋体"/>
          <w:b/>
          <w:bCs/>
          <w:snapToGrid/>
          <w:color w:val="auto"/>
          <w:kern w:val="2"/>
          <w:sz w:val="24"/>
          <w:szCs w:val="24"/>
          <w:highlight w:val="none"/>
          <w:lang w:eastAsia="zh-CN"/>
        </w:rPr>
        <w:t>5.1票决数量法程序</w:t>
      </w:r>
    </w:p>
    <w:p w14:paraId="704CC2EF">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shd w:val="clear" w:color="auto" w:fill="FFFFFF"/>
          <w:lang w:eastAsia="zh-CN"/>
        </w:rPr>
        <w:t>定标委员会根据定标因素对定标候选人进行评审比较后，每名定标委员会成员</w:t>
      </w:r>
      <w:r>
        <w:rPr>
          <w:rFonts w:hint="eastAsia" w:ascii="宋体" w:hAnsi="宋体" w:eastAsia="宋体" w:cs="宋体"/>
          <w:snapToGrid/>
          <w:color w:val="auto"/>
          <w:kern w:val="2"/>
          <w:sz w:val="24"/>
          <w:szCs w:val="24"/>
          <w:highlight w:val="none"/>
          <w:shd w:val="clear" w:color="auto" w:fill="FFFFFF"/>
          <w:lang w:val="en-US" w:eastAsia="zh-CN"/>
        </w:rPr>
        <w:t>有且仅有投出1票的权利，1票只能投1名定标候选人，根据</w:t>
      </w:r>
      <w:r>
        <w:rPr>
          <w:rFonts w:hint="eastAsia" w:ascii="宋体" w:hAnsi="宋体" w:eastAsia="宋体" w:cs="宋体"/>
          <w:snapToGrid/>
          <w:color w:val="auto"/>
          <w:kern w:val="2"/>
          <w:sz w:val="24"/>
          <w:szCs w:val="24"/>
          <w:highlight w:val="none"/>
          <w:shd w:val="clear" w:color="auto" w:fill="FFFFFF"/>
          <w:lang w:eastAsia="zh-CN"/>
        </w:rPr>
        <w:t>票决</w:t>
      </w:r>
      <w:r>
        <w:rPr>
          <w:rFonts w:hint="eastAsia" w:ascii="宋体" w:hAnsi="宋体" w:eastAsia="宋体" w:cs="宋体"/>
          <w:snapToGrid/>
          <w:color w:val="auto"/>
          <w:kern w:val="2"/>
          <w:sz w:val="24"/>
          <w:szCs w:val="24"/>
          <w:highlight w:val="none"/>
          <w:shd w:val="clear" w:color="auto" w:fill="FFFFFF"/>
          <w:lang w:val="en-US" w:eastAsia="zh-CN"/>
        </w:rPr>
        <w:t>数量</w:t>
      </w:r>
      <w:r>
        <w:rPr>
          <w:rFonts w:hint="eastAsia" w:ascii="宋体" w:hAnsi="宋体" w:eastAsia="宋体" w:cs="宋体"/>
          <w:snapToGrid/>
          <w:color w:val="auto"/>
          <w:kern w:val="2"/>
          <w:sz w:val="24"/>
          <w:szCs w:val="24"/>
          <w:highlight w:val="none"/>
          <w:shd w:val="clear" w:color="auto" w:fill="FFFFFF"/>
          <w:lang w:eastAsia="zh-CN"/>
        </w:rPr>
        <w:t>排名确定中标候选人</w:t>
      </w:r>
      <w:r>
        <w:rPr>
          <w:rFonts w:hint="eastAsia" w:ascii="宋体" w:hAnsi="宋体" w:eastAsia="宋体" w:cs="宋体"/>
          <w:snapToGrid/>
          <w:color w:val="auto"/>
          <w:kern w:val="2"/>
          <w:sz w:val="24"/>
          <w:szCs w:val="24"/>
          <w:highlight w:val="none"/>
          <w:shd w:val="clear" w:color="auto" w:fill="FFFFFF"/>
          <w:lang w:val="en-US" w:eastAsia="zh-CN"/>
        </w:rPr>
        <w:t>的</w:t>
      </w:r>
      <w:r>
        <w:rPr>
          <w:rFonts w:hint="eastAsia" w:ascii="宋体" w:hAnsi="宋体" w:eastAsia="宋体" w:cs="宋体"/>
          <w:snapToGrid/>
          <w:color w:val="auto"/>
          <w:kern w:val="2"/>
          <w:sz w:val="24"/>
          <w:szCs w:val="24"/>
          <w:highlight w:val="none"/>
          <w:shd w:val="clear" w:color="auto" w:fill="FFFFFF"/>
          <w:lang w:eastAsia="zh-CN"/>
        </w:rPr>
        <w:t>排序。即各定标委员会成员对定标候选人进行投票，按得票高低排序的前三名</w:t>
      </w:r>
      <w:r>
        <w:rPr>
          <w:rFonts w:hint="eastAsia" w:ascii="宋体" w:hAnsi="宋体" w:eastAsia="宋体" w:cs="宋体"/>
          <w:snapToGrid/>
          <w:color w:val="auto"/>
          <w:kern w:val="2"/>
          <w:sz w:val="24"/>
          <w:szCs w:val="24"/>
          <w:highlight w:val="none"/>
          <w:shd w:val="clear" w:color="auto" w:fill="FFFFFF"/>
          <w:lang w:val="en-US" w:eastAsia="zh-CN"/>
        </w:rPr>
        <w:t>确定</w:t>
      </w:r>
      <w:r>
        <w:rPr>
          <w:rFonts w:hint="eastAsia" w:ascii="宋体" w:hAnsi="宋体" w:eastAsia="宋体" w:cs="宋体"/>
          <w:snapToGrid/>
          <w:color w:val="auto"/>
          <w:kern w:val="2"/>
          <w:sz w:val="24"/>
          <w:szCs w:val="24"/>
          <w:highlight w:val="none"/>
          <w:shd w:val="clear" w:color="auto" w:fill="FFFFFF"/>
          <w:lang w:eastAsia="zh-CN"/>
        </w:rPr>
        <w:t>中标候选人</w:t>
      </w:r>
      <w:r>
        <w:rPr>
          <w:rFonts w:hint="eastAsia" w:ascii="宋体" w:hAnsi="宋体" w:eastAsia="宋体" w:cs="宋体"/>
          <w:snapToGrid/>
          <w:color w:val="auto"/>
          <w:kern w:val="2"/>
          <w:sz w:val="24"/>
          <w:szCs w:val="24"/>
          <w:highlight w:val="none"/>
          <w:shd w:val="clear" w:color="auto" w:fill="FFFFFF"/>
          <w:lang w:val="en-US" w:eastAsia="zh-CN"/>
        </w:rPr>
        <w:t>的排序</w:t>
      </w:r>
      <w:r>
        <w:rPr>
          <w:rFonts w:hint="eastAsia" w:ascii="宋体" w:hAnsi="宋体" w:eastAsia="宋体" w:cs="宋体"/>
          <w:snapToGrid/>
          <w:color w:val="auto"/>
          <w:kern w:val="2"/>
          <w:sz w:val="24"/>
          <w:szCs w:val="24"/>
          <w:highlight w:val="none"/>
          <w:shd w:val="clear" w:color="auto" w:fill="FFFFFF"/>
          <w:lang w:eastAsia="zh-CN"/>
        </w:rPr>
        <w:t>。</w:t>
      </w:r>
      <w:r>
        <w:rPr>
          <w:rFonts w:hint="eastAsia" w:ascii="宋体" w:hAnsi="宋体" w:eastAsia="宋体" w:cs="宋体"/>
          <w:snapToGrid/>
          <w:color w:val="auto"/>
          <w:kern w:val="2"/>
          <w:sz w:val="24"/>
          <w:szCs w:val="24"/>
          <w:highlight w:val="none"/>
          <w:shd w:val="clear" w:color="auto" w:fill="FFFFFF"/>
          <w:lang w:val="en-US" w:eastAsia="zh-CN"/>
        </w:rPr>
        <w:t>若第一轮投票中有得票相同且影响中标候选人排序确定的，由定标委员会对总票数相同的单位进行再次票决确定排序,直至决出排序的前三名中标候选人。</w:t>
      </w:r>
    </w:p>
    <w:p w14:paraId="0440E13F">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shd w:val="clear" w:color="auto" w:fill="FFFFFF"/>
          <w:lang w:eastAsia="zh-CN"/>
        </w:rPr>
        <w:t>票决采用</w:t>
      </w:r>
      <w:r>
        <w:rPr>
          <w:rFonts w:hint="eastAsia" w:ascii="宋体" w:hAnsi="宋体" w:eastAsia="宋体" w:cs="宋体"/>
          <w:b/>
          <w:bCs/>
          <w:snapToGrid/>
          <w:color w:val="auto"/>
          <w:kern w:val="2"/>
          <w:sz w:val="24"/>
          <w:szCs w:val="24"/>
          <w:highlight w:val="none"/>
          <w:shd w:val="clear" w:color="auto" w:fill="FFFFFF"/>
          <w:lang w:eastAsia="zh-CN"/>
        </w:rPr>
        <w:t>记名方式</w:t>
      </w:r>
      <w:r>
        <w:rPr>
          <w:rFonts w:hint="eastAsia" w:ascii="宋体" w:hAnsi="宋体" w:eastAsia="宋体" w:cs="宋体"/>
          <w:snapToGrid/>
          <w:color w:val="auto"/>
          <w:kern w:val="2"/>
          <w:sz w:val="24"/>
          <w:szCs w:val="24"/>
          <w:highlight w:val="none"/>
          <w:shd w:val="clear" w:color="auto" w:fill="FFFFFF"/>
          <w:lang w:eastAsia="zh-CN"/>
        </w:rPr>
        <w:t>并注明</w:t>
      </w:r>
      <w:r>
        <w:rPr>
          <w:rFonts w:hint="eastAsia" w:ascii="宋体" w:hAnsi="宋体" w:eastAsia="宋体" w:cs="宋体"/>
          <w:b/>
          <w:bCs/>
          <w:snapToGrid/>
          <w:color w:val="auto"/>
          <w:kern w:val="2"/>
          <w:sz w:val="24"/>
          <w:szCs w:val="24"/>
          <w:highlight w:val="none"/>
          <w:shd w:val="clear" w:color="auto" w:fill="FFFFFF"/>
          <w:lang w:eastAsia="zh-CN"/>
        </w:rPr>
        <w:t>投票理由</w:t>
      </w:r>
      <w:r>
        <w:rPr>
          <w:rFonts w:hint="eastAsia" w:ascii="宋体" w:hAnsi="宋体" w:eastAsia="宋体" w:cs="宋体"/>
          <w:snapToGrid/>
          <w:color w:val="auto"/>
          <w:kern w:val="2"/>
          <w:sz w:val="24"/>
          <w:szCs w:val="24"/>
          <w:highlight w:val="none"/>
          <w:shd w:val="clear" w:color="auto" w:fill="FFFFFF"/>
          <w:lang w:eastAsia="zh-CN"/>
        </w:rPr>
        <w:t>。</w:t>
      </w:r>
    </w:p>
    <w:p w14:paraId="69B9C108">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b/>
          <w:bCs/>
          <w:snapToGrid/>
          <w:color w:val="auto"/>
          <w:kern w:val="2"/>
          <w:sz w:val="24"/>
          <w:szCs w:val="24"/>
          <w:highlight w:val="none"/>
          <w:shd w:val="clear" w:color="auto" w:fill="FFFFFF"/>
          <w:lang w:eastAsia="zh-CN"/>
        </w:rPr>
      </w:pPr>
      <w:r>
        <w:rPr>
          <w:rFonts w:hint="eastAsia" w:ascii="宋体" w:hAnsi="宋体" w:eastAsia="宋体" w:cs="宋体"/>
          <w:b/>
          <w:bCs/>
          <w:snapToGrid/>
          <w:color w:val="auto"/>
          <w:kern w:val="2"/>
          <w:sz w:val="24"/>
          <w:szCs w:val="24"/>
          <w:highlight w:val="none"/>
          <w:lang w:eastAsia="zh-CN"/>
        </w:rPr>
        <w:t>5.1.1.</w:t>
      </w:r>
      <w:r>
        <w:rPr>
          <w:rFonts w:hint="eastAsia" w:ascii="宋体" w:hAnsi="宋体" w:eastAsia="宋体" w:cs="宋体"/>
          <w:b/>
          <w:bCs/>
          <w:snapToGrid/>
          <w:color w:val="auto"/>
          <w:kern w:val="2"/>
          <w:sz w:val="24"/>
          <w:szCs w:val="24"/>
          <w:highlight w:val="none"/>
          <w:shd w:val="clear" w:color="auto" w:fill="FFFFFF"/>
          <w:lang w:eastAsia="zh-CN"/>
        </w:rPr>
        <w:t>项目情况介绍</w:t>
      </w:r>
    </w:p>
    <w:p w14:paraId="500EA449">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招标人代表介绍项目的概况及招标要求，以及定标方法与定标工作规则，不得发表具有倾向性的言论。</w:t>
      </w:r>
    </w:p>
    <w:p w14:paraId="32132C59">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b/>
          <w:bCs/>
          <w:snapToGrid/>
          <w:color w:val="auto"/>
          <w:kern w:val="2"/>
          <w:sz w:val="24"/>
          <w:szCs w:val="24"/>
          <w:highlight w:val="none"/>
          <w:lang w:eastAsia="zh-CN"/>
        </w:rPr>
      </w:pPr>
      <w:r>
        <w:rPr>
          <w:rFonts w:hint="eastAsia" w:ascii="宋体" w:hAnsi="宋体" w:eastAsia="宋体" w:cs="宋体"/>
          <w:b/>
          <w:bCs/>
          <w:snapToGrid/>
          <w:color w:val="auto"/>
          <w:kern w:val="2"/>
          <w:sz w:val="24"/>
          <w:szCs w:val="24"/>
          <w:highlight w:val="none"/>
          <w:lang w:eastAsia="zh-CN"/>
        </w:rPr>
        <w:t>5.1.2.</w:t>
      </w:r>
      <w:r>
        <w:rPr>
          <w:rFonts w:hint="eastAsia" w:ascii="宋体" w:hAnsi="宋体" w:eastAsia="宋体" w:cs="宋体"/>
          <w:b/>
          <w:bCs/>
          <w:snapToGrid/>
          <w:color w:val="auto"/>
          <w:kern w:val="2"/>
          <w:sz w:val="24"/>
          <w:szCs w:val="24"/>
          <w:highlight w:val="none"/>
          <w:shd w:val="clear" w:color="auto" w:fill="FFFFFF"/>
          <w:lang w:eastAsia="zh-CN"/>
        </w:rPr>
        <w:t>审阅定标资料</w:t>
      </w:r>
    </w:p>
    <w:p w14:paraId="44EFA81D">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定标委员会成员对各定标候选人的投标文件进行审阅，审阅内容主要是定标工作规则所规定的定标因素，聚焦于项目需求与候选人能力的匹配度</w:t>
      </w:r>
      <w:r>
        <w:rPr>
          <w:rFonts w:hint="eastAsia" w:ascii="宋体" w:hAnsi="宋体" w:eastAsia="宋体" w:cs="宋体"/>
          <w:snapToGrid/>
          <w:color w:val="auto"/>
          <w:kern w:val="2"/>
          <w:sz w:val="24"/>
          <w:szCs w:val="24"/>
          <w:highlight w:val="none"/>
          <w:shd w:val="clear" w:color="auto" w:fill="FFFFFF"/>
          <w:lang w:eastAsia="zh-CN"/>
        </w:rPr>
        <w:t>。</w:t>
      </w:r>
    </w:p>
    <w:p w14:paraId="1B34CBBC">
      <w:pPr>
        <w:keepNext w:val="0"/>
        <w:keepLines w:val="0"/>
        <w:pageBreakBefore w:val="0"/>
        <w:shd w:val="clear" w:color="auto" w:fill="FFFFFF"/>
        <w:kinsoku/>
        <w:autoSpaceDE/>
        <w:autoSpaceDN/>
        <w:bidi w:val="0"/>
        <w:adjustRightInd/>
        <w:snapToGrid/>
        <w:spacing w:line="360" w:lineRule="exact"/>
        <w:ind w:right="84" w:rightChars="40" w:firstLine="482" w:firstLineChars="200"/>
        <w:jc w:val="both"/>
        <w:textAlignment w:val="auto"/>
        <w:rPr>
          <w:rFonts w:hint="eastAsia" w:ascii="宋体" w:hAnsi="宋体" w:eastAsia="宋体" w:cs="宋体"/>
          <w:b/>
          <w:bCs/>
          <w:color w:val="auto"/>
          <w:sz w:val="24"/>
          <w:szCs w:val="24"/>
          <w:highlight w:val="none"/>
          <w:shd w:val="clear" w:color="auto" w:fill="FFFFFF"/>
          <w:lang w:eastAsia="zh-CN"/>
        </w:rPr>
      </w:pPr>
      <w:r>
        <w:rPr>
          <w:rFonts w:hint="eastAsia" w:ascii="宋体" w:hAnsi="宋体" w:eastAsia="宋体" w:cs="宋体"/>
          <w:b/>
          <w:bCs/>
          <w:color w:val="auto"/>
          <w:sz w:val="24"/>
          <w:szCs w:val="24"/>
          <w:highlight w:val="none"/>
          <w:lang w:eastAsia="zh-CN"/>
        </w:rPr>
        <w:t>5.1.3.</w:t>
      </w:r>
      <w:r>
        <w:rPr>
          <w:rFonts w:hint="eastAsia" w:ascii="宋体" w:hAnsi="宋体" w:eastAsia="宋体" w:cs="宋体"/>
          <w:b/>
          <w:bCs/>
          <w:color w:val="auto"/>
          <w:sz w:val="24"/>
          <w:szCs w:val="24"/>
          <w:highlight w:val="none"/>
          <w:shd w:val="clear" w:color="auto" w:fill="FFFFFF"/>
          <w:lang w:eastAsia="zh-CN"/>
        </w:rPr>
        <w:t>疑问澄清</w:t>
      </w:r>
    </w:p>
    <w:p w14:paraId="79AB07BE">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shd w:val="clear" w:color="auto" w:fill="FFFFFF"/>
          <w:lang w:eastAsia="zh-CN"/>
        </w:rPr>
        <w:t>定标会议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6424A569">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b/>
          <w:bCs/>
          <w:snapToGrid/>
          <w:color w:val="auto"/>
          <w:sz w:val="24"/>
          <w:szCs w:val="24"/>
          <w:highlight w:val="none"/>
          <w:shd w:val="clear" w:color="auto" w:fill="FFFFFF"/>
          <w:lang w:eastAsia="zh-CN"/>
        </w:rPr>
      </w:pPr>
      <w:r>
        <w:rPr>
          <w:rFonts w:hint="eastAsia" w:ascii="宋体" w:hAnsi="宋体" w:eastAsia="宋体" w:cs="宋体"/>
          <w:b/>
          <w:bCs/>
          <w:snapToGrid/>
          <w:color w:val="auto"/>
          <w:sz w:val="24"/>
          <w:szCs w:val="24"/>
          <w:highlight w:val="none"/>
          <w:shd w:val="clear" w:color="auto" w:fill="FFFFFF"/>
          <w:lang w:eastAsia="zh-CN"/>
        </w:rPr>
        <w:t>5.1.4.投票，收票，点票和汇总</w:t>
      </w:r>
    </w:p>
    <w:p w14:paraId="38692718">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定标委员会成员按照</w:t>
      </w:r>
      <w:r>
        <w:rPr>
          <w:rFonts w:hint="eastAsia" w:ascii="宋体" w:hAnsi="宋体" w:eastAsia="宋体" w:cs="宋体"/>
          <w:snapToGrid/>
          <w:color w:val="auto"/>
          <w:kern w:val="2"/>
          <w:sz w:val="24"/>
          <w:szCs w:val="24"/>
          <w:highlight w:val="none"/>
          <w:lang w:val="en-US" w:eastAsia="zh-CN"/>
        </w:rPr>
        <w:t>票决数量法</w:t>
      </w:r>
      <w:r>
        <w:rPr>
          <w:rFonts w:hint="eastAsia" w:ascii="宋体" w:hAnsi="宋体" w:eastAsia="宋体" w:cs="宋体"/>
          <w:snapToGrid/>
          <w:color w:val="auto"/>
          <w:kern w:val="2"/>
          <w:sz w:val="24"/>
          <w:szCs w:val="24"/>
          <w:highlight w:val="none"/>
          <w:lang w:eastAsia="zh-CN"/>
        </w:rPr>
        <w:t>定标</w:t>
      </w:r>
      <w:r>
        <w:rPr>
          <w:rFonts w:hint="eastAsia" w:ascii="宋体" w:hAnsi="宋体" w:eastAsia="宋体" w:cs="宋体"/>
          <w:snapToGrid/>
          <w:color w:val="auto"/>
          <w:kern w:val="2"/>
          <w:sz w:val="24"/>
          <w:szCs w:val="24"/>
          <w:highlight w:val="none"/>
          <w:lang w:val="en-US" w:eastAsia="zh-CN"/>
        </w:rPr>
        <w:t>办</w:t>
      </w:r>
      <w:r>
        <w:rPr>
          <w:rFonts w:hint="eastAsia" w:ascii="宋体" w:hAnsi="宋体" w:eastAsia="宋体" w:cs="宋体"/>
          <w:snapToGrid/>
          <w:color w:val="auto"/>
          <w:kern w:val="2"/>
          <w:sz w:val="24"/>
          <w:szCs w:val="24"/>
          <w:highlight w:val="none"/>
          <w:lang w:eastAsia="zh-CN"/>
        </w:rPr>
        <w:t>法程序，根据公平、公正、择优原则，独立完成票决后，统一由定标工作人员收集、清点，并对票数进行汇总排名。得票相同且影响中标候选人排序确定的，可由定标委员会对总票数相同的单位进行再次票决确定排序。</w:t>
      </w:r>
    </w:p>
    <w:p w14:paraId="2FEF72FF">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bCs/>
          <w:snapToGrid/>
          <w:color w:val="auto"/>
          <w:kern w:val="2"/>
          <w:sz w:val="24"/>
          <w:szCs w:val="24"/>
          <w:highlight w:val="none"/>
          <w:lang w:eastAsia="zh-CN"/>
        </w:rPr>
      </w:pPr>
      <w:r>
        <w:rPr>
          <w:rFonts w:hint="eastAsia" w:ascii="宋体" w:hAnsi="宋体" w:eastAsia="宋体" w:cs="宋体"/>
          <w:b/>
          <w:bCs/>
          <w:snapToGrid/>
          <w:color w:val="auto"/>
          <w:sz w:val="24"/>
          <w:szCs w:val="24"/>
          <w:highlight w:val="none"/>
          <w:shd w:val="clear" w:color="auto" w:fill="FFFFFF"/>
          <w:lang w:eastAsia="zh-CN"/>
        </w:rPr>
        <w:t>5.1.5.公布结果和出具定标报告</w:t>
      </w:r>
    </w:p>
    <w:p w14:paraId="59162899">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bCs/>
          <w:snapToGrid/>
          <w:color w:val="auto"/>
          <w:kern w:val="2"/>
          <w:sz w:val="24"/>
          <w:szCs w:val="24"/>
          <w:highlight w:val="none"/>
          <w:lang w:eastAsia="zh-CN"/>
        </w:rPr>
        <w:t>点票工作完成后，定标委员会组长汇总定标结果，编制定标报告，确定中标候选人，全体成员签名。</w:t>
      </w:r>
    </w:p>
    <w:p w14:paraId="4155CD7C">
      <w:pPr>
        <w:keepNext w:val="0"/>
        <w:keepLines w:val="0"/>
        <w:pageBreakBefore w:val="0"/>
        <w:shd w:val="clear" w:color="auto" w:fill="FFFFFF"/>
        <w:kinsoku/>
        <w:autoSpaceDE/>
        <w:autoSpaceDN/>
        <w:bidi w:val="0"/>
        <w:adjustRightInd/>
        <w:snapToGrid/>
        <w:spacing w:line="360" w:lineRule="exact"/>
        <w:ind w:left="420" w:leftChars="200" w:right="84" w:rightChars="40"/>
        <w:jc w:val="both"/>
        <w:textAlignment w:val="auto"/>
        <w:rPr>
          <w:rFonts w:hint="eastAsia" w:ascii="宋体" w:hAnsi="宋体" w:eastAsia="宋体" w:cs="宋体"/>
          <w:b/>
          <w:bCs/>
          <w:color w:val="auto"/>
          <w:sz w:val="24"/>
          <w:szCs w:val="24"/>
          <w:highlight w:val="none"/>
          <w:shd w:val="clear" w:color="auto" w:fill="FFFFFF"/>
          <w:lang w:eastAsia="zh-CN"/>
        </w:rPr>
      </w:pPr>
      <w:r>
        <w:rPr>
          <w:rFonts w:hint="eastAsia" w:ascii="宋体" w:hAnsi="宋体" w:eastAsia="宋体" w:cs="宋体"/>
          <w:b/>
          <w:bCs/>
          <w:color w:val="auto"/>
          <w:sz w:val="24"/>
          <w:szCs w:val="24"/>
          <w:highlight w:val="none"/>
          <w:lang w:eastAsia="zh-CN"/>
        </w:rPr>
        <w:t>5.1.6.</w:t>
      </w:r>
      <w:r>
        <w:rPr>
          <w:rFonts w:hint="eastAsia" w:ascii="宋体" w:hAnsi="宋体" w:eastAsia="宋体" w:cs="宋体"/>
          <w:b/>
          <w:bCs/>
          <w:color w:val="auto"/>
          <w:sz w:val="24"/>
          <w:szCs w:val="24"/>
          <w:highlight w:val="none"/>
          <w:shd w:val="clear" w:color="auto" w:fill="FFFFFF"/>
          <w:lang w:eastAsia="zh-CN"/>
        </w:rPr>
        <w:t>全程监督</w:t>
      </w:r>
    </w:p>
    <w:p w14:paraId="4F73540D">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bCs/>
          <w:snapToGrid/>
          <w:color w:val="auto"/>
          <w:kern w:val="2"/>
          <w:sz w:val="24"/>
          <w:szCs w:val="24"/>
          <w:highlight w:val="none"/>
          <w:lang w:eastAsia="zh-CN"/>
        </w:rPr>
      </w:pPr>
      <w:r>
        <w:rPr>
          <w:rFonts w:hint="eastAsia" w:ascii="宋体" w:hAnsi="宋体" w:eastAsia="宋体" w:cs="宋体"/>
          <w:bCs/>
          <w:snapToGrid/>
          <w:color w:val="auto"/>
          <w:kern w:val="2"/>
          <w:sz w:val="24"/>
          <w:szCs w:val="24"/>
          <w:highlight w:val="none"/>
          <w:lang w:eastAsia="zh-CN"/>
        </w:rPr>
        <w:t>招标监督小组对定标会议的全过程进行监督，确保程序合规、记录完整，结论形成过程公正、透明。</w:t>
      </w:r>
    </w:p>
    <w:p w14:paraId="157B35CE">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b/>
          <w:bCs/>
          <w:snapToGrid/>
          <w:color w:val="auto"/>
          <w:kern w:val="2"/>
          <w:sz w:val="24"/>
          <w:szCs w:val="24"/>
          <w:highlight w:val="none"/>
          <w:lang w:eastAsia="zh-CN"/>
        </w:rPr>
      </w:pPr>
      <w:r>
        <w:rPr>
          <w:rFonts w:hint="eastAsia" w:ascii="宋体" w:hAnsi="宋体" w:eastAsia="宋体" w:cs="宋体"/>
          <w:b/>
          <w:bCs/>
          <w:snapToGrid/>
          <w:color w:val="auto"/>
          <w:kern w:val="2"/>
          <w:sz w:val="24"/>
          <w:szCs w:val="24"/>
          <w:highlight w:val="none"/>
          <w:lang w:eastAsia="zh-CN"/>
        </w:rPr>
        <w:t>5.2定标因素</w:t>
      </w:r>
    </w:p>
    <w:p w14:paraId="72CF9F9A">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i/>
          <w:iCs/>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在同等条件下，择优的定标因素和相对标准有以下几个方面：</w:t>
      </w:r>
    </w:p>
    <w:p w14:paraId="4496004D">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b/>
          <w:bCs/>
          <w:snapToGrid/>
          <w:color w:val="auto"/>
          <w:kern w:val="2"/>
          <w:sz w:val="24"/>
          <w:szCs w:val="24"/>
          <w:highlight w:val="none"/>
          <w:lang w:eastAsia="zh-CN"/>
        </w:rPr>
        <w:t>（1）拟派团队管理能力与水平（履约能力）</w:t>
      </w:r>
    </w:p>
    <w:p w14:paraId="66B68022">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相对标准：拟派团队管理能力与水平（履约能力）强的定标候选人优于拟派团队管理能力与水平（履约能力）一般的定标候选人。</w:t>
      </w:r>
    </w:p>
    <w:p w14:paraId="4A0B512F">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b/>
          <w:bCs/>
          <w:snapToGrid/>
          <w:color w:val="auto"/>
          <w:kern w:val="2"/>
          <w:sz w:val="24"/>
          <w:szCs w:val="24"/>
          <w:highlight w:val="none"/>
          <w:lang w:eastAsia="zh-CN"/>
        </w:rPr>
        <w:t>（2）企业信誉</w:t>
      </w:r>
    </w:p>
    <w:p w14:paraId="7D6987F2">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相对标准：企业信誉评价好的定标候选人优于企业信誉评价一般的定标候选人。</w:t>
      </w:r>
    </w:p>
    <w:p w14:paraId="72003E28">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b/>
          <w:bCs/>
          <w:snapToGrid/>
          <w:color w:val="auto"/>
          <w:kern w:val="2"/>
          <w:sz w:val="24"/>
          <w:szCs w:val="24"/>
          <w:highlight w:val="none"/>
          <w:lang w:eastAsia="zh-CN"/>
        </w:rPr>
      </w:pPr>
      <w:r>
        <w:rPr>
          <w:rFonts w:hint="eastAsia" w:ascii="宋体" w:hAnsi="宋体" w:eastAsia="宋体" w:cs="宋体"/>
          <w:b/>
          <w:bCs/>
          <w:snapToGrid/>
          <w:color w:val="auto"/>
          <w:kern w:val="2"/>
          <w:sz w:val="24"/>
          <w:szCs w:val="24"/>
          <w:highlight w:val="none"/>
          <w:lang w:eastAsia="zh-CN"/>
        </w:rPr>
        <w:t>（3）企业实力</w:t>
      </w:r>
    </w:p>
    <w:p w14:paraId="7F5DD8C9">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b/>
          <w:bCs/>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相对标准：企业实力强的定标候选人优于企业实力弱的定标候选人（结合定标候选人提交的证明材料进行评审）。</w:t>
      </w:r>
    </w:p>
    <w:p w14:paraId="7B4A332C">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b/>
          <w:bCs/>
          <w:snapToGrid/>
          <w:color w:val="auto"/>
          <w:kern w:val="2"/>
          <w:sz w:val="24"/>
          <w:szCs w:val="24"/>
          <w:highlight w:val="none"/>
          <w:lang w:eastAsia="zh-CN"/>
        </w:rPr>
      </w:pPr>
      <w:r>
        <w:rPr>
          <w:rFonts w:hint="eastAsia" w:ascii="宋体" w:hAnsi="宋体" w:eastAsia="宋体" w:cs="宋体"/>
          <w:b/>
          <w:bCs/>
          <w:snapToGrid/>
          <w:color w:val="auto"/>
          <w:kern w:val="2"/>
          <w:sz w:val="24"/>
          <w:szCs w:val="24"/>
          <w:highlight w:val="none"/>
          <w:lang w:eastAsia="zh-CN"/>
        </w:rPr>
        <w:t>（4）评标报告</w:t>
      </w:r>
    </w:p>
    <w:p w14:paraId="0D2CE095">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0DCAD98F">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b/>
          <w:bCs/>
          <w:snapToGrid/>
          <w:color w:val="auto"/>
          <w:kern w:val="2"/>
          <w:sz w:val="24"/>
          <w:szCs w:val="24"/>
          <w:highlight w:val="none"/>
          <w:lang w:eastAsia="zh-CN"/>
        </w:rPr>
        <w:t>（5）农民工工资保障情况</w:t>
      </w:r>
    </w:p>
    <w:p w14:paraId="70264F51">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Fonts w:hint="eastAsia" w:ascii="宋体" w:hAnsi="宋体" w:eastAsia="宋体" w:cs="宋体"/>
          <w:b/>
          <w:bCs/>
          <w:snapToGrid/>
          <w:color w:val="auto"/>
          <w:sz w:val="24"/>
          <w:szCs w:val="24"/>
          <w:highlight w:val="none"/>
          <w:shd w:val="clear" w:color="auto" w:fill="FFFFFF"/>
          <w:lang w:eastAsia="zh-CN"/>
        </w:rPr>
      </w:pPr>
      <w:r>
        <w:rPr>
          <w:rFonts w:hint="eastAsia" w:ascii="宋体" w:hAnsi="宋体" w:eastAsia="宋体" w:cs="宋体"/>
          <w:snapToGrid/>
          <w:color w:val="auto"/>
          <w:kern w:val="2"/>
          <w:sz w:val="24"/>
          <w:szCs w:val="24"/>
          <w:highlight w:val="none"/>
          <w:lang w:eastAsia="zh-CN"/>
        </w:rPr>
        <w:t>相对标准：农民工工资保障情况好的定标候选人优于农民工工资保障情况差的定标候选人（结合</w:t>
      </w:r>
      <w:r>
        <w:rPr>
          <w:rFonts w:hint="eastAsia" w:ascii="宋体" w:hAnsi="宋体" w:eastAsia="宋体" w:cs="宋体"/>
          <w:snapToGrid/>
          <w:color w:val="auto"/>
          <w:sz w:val="24"/>
          <w:szCs w:val="24"/>
          <w:highlight w:val="none"/>
          <w:shd w:val="clear" w:color="auto" w:fill="FFFFFF"/>
          <w:lang w:eastAsia="zh-CN"/>
        </w:rPr>
        <w:t>定标候选人提交的证明材料和招标人查询的材料进行评审）。</w:t>
      </w:r>
    </w:p>
    <w:p w14:paraId="57A215DA">
      <w:pPr>
        <w:keepNext w:val="0"/>
        <w:keepLines w:val="0"/>
        <w:pageBreakBefore w:val="0"/>
        <w:widowControl w:val="0"/>
        <w:kinsoku/>
        <w:autoSpaceDE/>
        <w:autoSpaceDN/>
        <w:bidi w:val="0"/>
        <w:adjustRightInd/>
        <w:snapToGrid/>
        <w:spacing w:line="400" w:lineRule="exact"/>
        <w:ind w:right="84" w:rightChars="40" w:firstLine="482" w:firstLineChars="200"/>
        <w:jc w:val="both"/>
        <w:textAlignment w:val="auto"/>
        <w:rPr>
          <w:rFonts w:hint="eastAsia" w:ascii="宋体" w:hAnsi="宋体" w:eastAsia="宋体" w:cs="宋体"/>
          <w:b/>
          <w:bCs/>
          <w:snapToGrid/>
          <w:color w:val="auto"/>
          <w:sz w:val="24"/>
          <w:szCs w:val="24"/>
          <w:highlight w:val="none"/>
          <w:shd w:val="clear" w:color="auto" w:fill="FFFFFF"/>
          <w:lang w:eastAsia="zh-CN"/>
        </w:rPr>
      </w:pPr>
      <w:r>
        <w:rPr>
          <w:rFonts w:hint="eastAsia" w:ascii="宋体" w:hAnsi="宋体" w:eastAsia="宋体" w:cs="宋体"/>
          <w:b/>
          <w:bCs/>
          <w:snapToGrid/>
          <w:color w:val="auto"/>
          <w:sz w:val="24"/>
          <w:szCs w:val="24"/>
          <w:highlight w:val="none"/>
          <w:shd w:val="clear" w:color="auto" w:fill="FFFFFF"/>
          <w:lang w:eastAsia="zh-CN"/>
        </w:rPr>
        <w:t>6.定标结果公示</w:t>
      </w:r>
    </w:p>
    <w:p w14:paraId="28860487">
      <w:pPr>
        <w:keepNext w:val="0"/>
        <w:keepLines w:val="0"/>
        <w:pageBreakBefore w:val="0"/>
        <w:widowControl w:val="0"/>
        <w:kinsoku/>
        <w:autoSpaceDE/>
        <w:autoSpaceDN/>
        <w:bidi w:val="0"/>
        <w:adjustRightInd/>
        <w:snapToGrid/>
        <w:spacing w:line="400" w:lineRule="exact"/>
        <w:ind w:right="84" w:rightChars="40" w:firstLine="480" w:firstLineChars="200"/>
        <w:jc w:val="both"/>
        <w:textAlignment w:val="auto"/>
        <w:rPr>
          <w:rStyle w:val="26"/>
          <w:rFonts w:hint="eastAsia" w:ascii="宋体" w:hAnsi="宋体" w:eastAsia="宋体" w:cs="宋体"/>
          <w:snapToGrid/>
          <w:color w:val="auto"/>
          <w:sz w:val="24"/>
          <w:szCs w:val="24"/>
          <w:highlight w:val="none"/>
          <w:lang w:eastAsia="zh-CN"/>
        </w:rPr>
      </w:pPr>
      <w:r>
        <w:rPr>
          <w:rStyle w:val="26"/>
          <w:rFonts w:hint="eastAsia" w:ascii="宋体" w:hAnsi="宋体" w:eastAsia="宋体" w:cs="宋体"/>
          <w:snapToGrid/>
          <w:color w:val="auto"/>
          <w:sz w:val="24"/>
          <w:szCs w:val="24"/>
          <w:highlight w:val="none"/>
          <w:lang w:eastAsia="zh-CN"/>
        </w:rPr>
        <w:t>招标人应当自收到定标报告之日起3个日历天内，在广东省招标投标监管网和全国公共资源交易平台（广东省·韶关市）上公示，公示时间不少于3个日历天，招标人及行政监督主管部门按照有关法律法规处理有关异议投诉。公示主要内容包括：定标报告（定标成员信息除外）、</w:t>
      </w:r>
      <w:r>
        <w:rPr>
          <w:rStyle w:val="26"/>
          <w:rFonts w:hint="eastAsia" w:ascii="宋体" w:hAnsi="宋体" w:eastAsia="宋体" w:cs="宋体"/>
          <w:snapToGrid/>
          <w:color w:val="auto"/>
          <w:sz w:val="24"/>
          <w:szCs w:val="24"/>
          <w:highlight w:val="none"/>
          <w:lang w:val="en-US" w:eastAsia="zh-CN"/>
        </w:rPr>
        <w:t>中标候选人名单</w:t>
      </w:r>
      <w:r>
        <w:rPr>
          <w:rStyle w:val="26"/>
          <w:rFonts w:hint="eastAsia" w:ascii="宋体" w:hAnsi="宋体" w:eastAsia="宋体" w:cs="宋体"/>
          <w:snapToGrid/>
          <w:color w:val="auto"/>
          <w:sz w:val="24"/>
          <w:szCs w:val="24"/>
          <w:highlight w:val="none"/>
          <w:lang w:eastAsia="zh-CN"/>
        </w:rPr>
        <w:t>、</w:t>
      </w:r>
      <w:r>
        <w:rPr>
          <w:rStyle w:val="26"/>
          <w:rFonts w:hint="eastAsia" w:ascii="宋体" w:hAnsi="宋体" w:eastAsia="宋体" w:cs="宋体"/>
          <w:snapToGrid/>
          <w:color w:val="auto"/>
          <w:sz w:val="24"/>
          <w:szCs w:val="24"/>
          <w:highlight w:val="none"/>
          <w:lang w:val="en-US" w:eastAsia="zh-CN"/>
        </w:rPr>
        <w:t>投标报</w:t>
      </w:r>
      <w:r>
        <w:rPr>
          <w:rStyle w:val="26"/>
          <w:rFonts w:hint="eastAsia" w:ascii="宋体" w:hAnsi="宋体" w:eastAsia="宋体" w:cs="宋体"/>
          <w:snapToGrid/>
          <w:color w:val="auto"/>
          <w:sz w:val="24"/>
          <w:szCs w:val="24"/>
          <w:highlight w:val="none"/>
          <w:lang w:eastAsia="zh-CN"/>
        </w:rPr>
        <w:t>价和拟投入本项目的项目负责人、技术负责人及各专业负责人（如有）等内容。</w:t>
      </w:r>
    </w:p>
    <w:p w14:paraId="0B89A205">
      <w:pPr>
        <w:keepNext w:val="0"/>
        <w:keepLines w:val="0"/>
        <w:pageBreakBefore w:val="0"/>
        <w:tabs>
          <w:tab w:val="left" w:pos="885"/>
        </w:tabs>
        <w:kinsoku/>
        <w:autoSpaceDE/>
        <w:autoSpaceDN/>
        <w:bidi w:val="0"/>
        <w:adjustRightInd/>
        <w:spacing w:line="360" w:lineRule="auto"/>
        <w:ind w:right="84" w:rightChars="40"/>
        <w:jc w:val="both"/>
        <w:rPr>
          <w:rStyle w:val="26"/>
          <w:rFonts w:hint="eastAsia" w:ascii="宋体" w:hAnsi="宋体" w:eastAsia="宋体" w:cs="宋体"/>
          <w:b/>
          <w:bCs/>
          <w:snapToGrid/>
          <w:color w:val="auto"/>
          <w:kern w:val="2"/>
          <w:sz w:val="24"/>
          <w:szCs w:val="24"/>
          <w:highlight w:val="none"/>
          <w:lang w:eastAsia="zh-CN"/>
        </w:rPr>
      </w:pPr>
      <w:bookmarkStart w:id="153" w:name="_Toc209"/>
      <w:bookmarkStart w:id="154" w:name="_Toc13023"/>
    </w:p>
    <w:p w14:paraId="3DDD828E">
      <w:pPr>
        <w:ind w:right="84" w:rightChars="40"/>
        <w:rPr>
          <w:rStyle w:val="26"/>
          <w:rFonts w:hint="eastAsia" w:ascii="宋体" w:hAnsi="宋体" w:eastAsia="宋体" w:cs="宋体"/>
          <w:b/>
          <w:bCs/>
          <w:snapToGrid/>
          <w:color w:val="auto"/>
          <w:kern w:val="2"/>
          <w:sz w:val="24"/>
          <w:szCs w:val="24"/>
          <w:highlight w:val="none"/>
          <w:lang w:eastAsia="zh-CN"/>
        </w:rPr>
      </w:pPr>
      <w:bookmarkStart w:id="155" w:name="_Toc5550"/>
      <w:r>
        <w:rPr>
          <w:rStyle w:val="26"/>
          <w:rFonts w:hint="eastAsia" w:ascii="宋体" w:hAnsi="宋体" w:eastAsia="宋体" w:cs="宋体"/>
          <w:b/>
          <w:bCs/>
          <w:snapToGrid/>
          <w:color w:val="auto"/>
          <w:kern w:val="2"/>
          <w:sz w:val="24"/>
          <w:szCs w:val="24"/>
          <w:highlight w:val="none"/>
          <w:lang w:eastAsia="zh-CN"/>
        </w:rPr>
        <w:br w:type="page"/>
      </w:r>
    </w:p>
    <w:p w14:paraId="522A5B12">
      <w:pPr>
        <w:keepNext w:val="0"/>
        <w:keepLines w:val="0"/>
        <w:pageBreakBefore w:val="0"/>
        <w:tabs>
          <w:tab w:val="left" w:pos="885"/>
        </w:tabs>
        <w:kinsoku/>
        <w:autoSpaceDE/>
        <w:autoSpaceDN/>
        <w:bidi w:val="0"/>
        <w:adjustRightInd/>
        <w:spacing w:line="360" w:lineRule="auto"/>
        <w:ind w:right="84" w:rightChars="40"/>
        <w:jc w:val="center"/>
        <w:outlineLvl w:val="1"/>
        <w:rPr>
          <w:rStyle w:val="26"/>
          <w:rFonts w:hint="eastAsia" w:ascii="宋体" w:hAnsi="宋体" w:eastAsia="宋体" w:cs="宋体"/>
          <w:b/>
          <w:bCs/>
          <w:snapToGrid/>
          <w:color w:val="auto"/>
          <w:kern w:val="2"/>
          <w:sz w:val="24"/>
          <w:szCs w:val="24"/>
          <w:highlight w:val="none"/>
          <w:lang w:eastAsia="zh-CN"/>
        </w:rPr>
      </w:pPr>
      <w:bookmarkStart w:id="156" w:name="_Toc12559"/>
      <w:r>
        <w:rPr>
          <w:rStyle w:val="26"/>
          <w:rFonts w:hint="eastAsia" w:ascii="宋体" w:hAnsi="宋体" w:eastAsia="宋体" w:cs="宋体"/>
          <w:b/>
          <w:bCs/>
          <w:snapToGrid/>
          <w:color w:val="auto"/>
          <w:kern w:val="2"/>
          <w:sz w:val="24"/>
          <w:szCs w:val="24"/>
          <w:highlight w:val="none"/>
          <w:lang w:eastAsia="zh-CN"/>
        </w:rPr>
        <w:t>第六节 中标确认</w:t>
      </w:r>
      <w:bookmarkEnd w:id="153"/>
      <w:bookmarkEnd w:id="154"/>
      <w:bookmarkEnd w:id="155"/>
      <w:bookmarkEnd w:id="156"/>
    </w:p>
    <w:p w14:paraId="07849D18">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1.中标人确定</w:t>
      </w:r>
    </w:p>
    <w:p w14:paraId="3C5DE581">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1.1中标人确定。中标结果公示期满无异议的，招标人确认排名第一的中标候选人为中标人，中标人的投标报价即为中标价。</w:t>
      </w:r>
    </w:p>
    <w:p w14:paraId="7CCF52B3">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1.2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4"/>
          <w:szCs w:val="24"/>
          <w:highlight w:val="none"/>
        </w:rPr>
        <w:t>在中标通知书发出后5个工作日内，韶关市公共资源交易中心将投标保证金（或银行保函）退还给中标候选人以外的投标人。</w:t>
      </w:r>
    </w:p>
    <w:p w14:paraId="499E0429">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1.3招标人应当自中标通知书发出之日起15日内，通过广东省招标投标监管网和公共资源交易平台发布中标结果公示。招标人应当自确定中标人之日起15日内，在线向有关招标管理部门提交招标投标情况的书面报告。</w:t>
      </w:r>
    </w:p>
    <w:p w14:paraId="5572FBF6">
      <w:pPr>
        <w:keepNext w:val="0"/>
        <w:keepLines w:val="0"/>
        <w:pageBreakBefore w:val="0"/>
        <w:widowControl w:val="0"/>
        <w:shd w:val="clear" w:color="auto" w:fill="auto"/>
        <w:kinsoku/>
        <w:wordWrap w:val="0"/>
        <w:overflowPunct/>
        <w:topLinePunct/>
        <w:autoSpaceDE/>
        <w:autoSpaceDN/>
        <w:bidi w:val="0"/>
        <w:adjustRightInd/>
        <w:snapToGrid/>
        <w:spacing w:line="360" w:lineRule="auto"/>
        <w:ind w:left="0" w:leftChars="0" w:right="84" w:rightChars="4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异议和投诉</w:t>
      </w:r>
    </w:p>
    <w:p w14:paraId="466D90B4">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2.1投标人或者其他利害关系人对招标项目的评标和中标结果有异议的，应当在定标候选人和中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5283D041">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14:paraId="6D48D0D9">
      <w:pPr>
        <w:keepNext w:val="0"/>
        <w:keepLines w:val="0"/>
        <w:pageBreakBefore w:val="0"/>
        <w:widowControl w:val="0"/>
        <w:kinsoku/>
        <w:wordWrap w:val="0"/>
        <w:overflowPunct/>
        <w:topLinePunct/>
        <w:autoSpaceDE/>
        <w:autoSpaceDN/>
        <w:bidi w:val="0"/>
        <w:adjustRightInd/>
        <w:snapToGrid/>
        <w:spacing w:beforeAutospacing="0" w:afterAutospacing="0" w:line="360" w:lineRule="auto"/>
        <w:ind w:left="0" w:leftChars="0" w:right="84" w:rightChars="40" w:firstLine="420" w:firstLineChars="175"/>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32D9EF09">
      <w:pPr>
        <w:pStyle w:val="12"/>
        <w:keepNext w:val="0"/>
        <w:keepLines w:val="0"/>
        <w:pageBreakBefore w:val="0"/>
        <w:widowControl w:val="0"/>
        <w:shd w:val="clear" w:color="auto" w:fill="auto"/>
        <w:kinsoku/>
        <w:wordWrap w:val="0"/>
        <w:overflowPunct/>
        <w:topLinePunct/>
        <w:bidi w:val="0"/>
        <w:adjustRightInd/>
        <w:snapToGrid/>
        <w:spacing w:beforeAutospacing="0" w:afterAutospacing="0" w:line="360" w:lineRule="auto"/>
        <w:ind w:left="0" w:leftChars="0" w:right="84" w:rightChars="40" w:firstLine="422" w:firstLineChars="175"/>
        <w:jc w:val="both"/>
        <w:textAlignment w:val="auto"/>
        <w:outlineLvl w:val="9"/>
        <w:rPr>
          <w:rFonts w:hint="eastAsia" w:ascii="宋体" w:hAnsi="宋体" w:eastAsia="宋体" w:cs="宋体"/>
          <w:b/>
          <w:bCs/>
          <w:i/>
          <w:color w:val="auto"/>
          <w:sz w:val="24"/>
          <w:szCs w:val="24"/>
          <w:highlight w:val="none"/>
        </w:rPr>
      </w:pPr>
      <w:bookmarkStart w:id="157" w:name="_Toc236550039"/>
      <w:r>
        <w:rPr>
          <w:rStyle w:val="19"/>
          <w:rFonts w:hint="eastAsia" w:ascii="宋体" w:hAnsi="宋体" w:eastAsia="宋体" w:cs="宋体"/>
          <w:b/>
          <w:bCs/>
          <w:i w:val="0"/>
          <w:color w:val="auto"/>
          <w:sz w:val="24"/>
          <w:szCs w:val="24"/>
          <w:highlight w:val="none"/>
          <w:lang w:val="en-US" w:eastAsia="zh-CN"/>
        </w:rPr>
        <w:t>3</w:t>
      </w:r>
      <w:r>
        <w:rPr>
          <w:rStyle w:val="19"/>
          <w:rFonts w:hint="eastAsia" w:ascii="宋体" w:hAnsi="宋体" w:eastAsia="宋体" w:cs="宋体"/>
          <w:b/>
          <w:bCs/>
          <w:i w:val="0"/>
          <w:color w:val="auto"/>
          <w:sz w:val="24"/>
          <w:szCs w:val="24"/>
          <w:highlight w:val="none"/>
        </w:rPr>
        <w:t>．废除授标</w:t>
      </w:r>
      <w:bookmarkEnd w:id="157"/>
      <w:r>
        <w:rPr>
          <w:rStyle w:val="19"/>
          <w:rFonts w:hint="eastAsia" w:ascii="宋体" w:hAnsi="宋体" w:eastAsia="宋体" w:cs="宋体"/>
          <w:b/>
          <w:bCs/>
          <w:i w:val="0"/>
          <w:color w:val="auto"/>
          <w:sz w:val="24"/>
          <w:szCs w:val="24"/>
          <w:highlight w:val="none"/>
        </w:rPr>
        <w:t>及授标</w:t>
      </w:r>
    </w:p>
    <w:p w14:paraId="0AEED030">
      <w:pPr>
        <w:keepNext w:val="0"/>
        <w:keepLines w:val="0"/>
        <w:pageBreakBefore w:val="0"/>
        <w:widowControl w:val="0"/>
        <w:kinsoku/>
        <w:wordWrap w:val="0"/>
        <w:overflowPunct/>
        <w:topLinePunct/>
        <w:autoSpaceDE/>
        <w:autoSpaceDN/>
        <w:bidi w:val="0"/>
        <w:adjustRightInd/>
        <w:snapToGrid/>
        <w:spacing w:beforeAutospacing="0" w:afterAutospacing="0" w:line="360" w:lineRule="auto"/>
        <w:ind w:left="0" w:leftChars="0" w:right="84" w:rightChars="40" w:firstLine="420" w:firstLineChars="175"/>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3.1评定标完成后，中标候选人有下列情形之一的，招标人应按规定取消中标候选人资格或废除授标：</w:t>
      </w:r>
    </w:p>
    <w:p w14:paraId="62A5C20F">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（1）以他人名义投标或者以其他方式弄虚作假骗取中标的；</w:t>
      </w:r>
    </w:p>
    <w:p w14:paraId="5D77C42C">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（2）与其他投标人串通投标或以行贿的手段谋取中标的；</w:t>
      </w:r>
    </w:p>
    <w:p w14:paraId="03C65C91">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（3）不是从本投标企业基本账户提交投标担保或以虚假方式提交投标保证金保函（保单）的；</w:t>
      </w:r>
    </w:p>
    <w:p w14:paraId="3EBFBD22">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（4）中标人于投标有效期终止之前撤回投标文件，或者排名第一的中标候选人放弃中标资格的；</w:t>
      </w:r>
    </w:p>
    <w:p w14:paraId="16CC7EDC">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（5）因中标人过错而未能按照规定与招标人签订工程总承包合同或中标人因不可抗力提出不能履行合同的；</w:t>
      </w:r>
    </w:p>
    <w:p w14:paraId="67B5A30F">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（6）因中标人过错而未能按照招标文件要求向招标人提交履约担保的；</w:t>
      </w:r>
    </w:p>
    <w:p w14:paraId="4674EB4C">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（7）中标单位拟派的项目负责人从投标截止时间起在其他建设工程担任项目负责人；</w:t>
      </w:r>
    </w:p>
    <w:p w14:paraId="0568FD40">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（8）中标人被有关部门查实存在影响中标结果的违法行为，不符合中标条件的；</w:t>
      </w:r>
    </w:p>
    <w:p w14:paraId="60C30C05">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（9）中标人在参加本项目投标时有本企业投标承诺书所列被依法限制或暂停承揽业务或停业的处罚的；</w:t>
      </w:r>
    </w:p>
    <w:p w14:paraId="568C79FB">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（10）招标文件明确规定可以废除授标的其他情形。</w:t>
      </w:r>
    </w:p>
    <w:p w14:paraId="0D1F5A02">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3.2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35AB6D6A">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3.3招标人有下列情形之一的，应依法承担相应的责任：</w:t>
      </w:r>
    </w:p>
    <w:p w14:paraId="1AE3308A">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（1）无正当理由不发出中标通知书的；</w:t>
      </w:r>
    </w:p>
    <w:p w14:paraId="47F1C267">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（2）招标人不按照规定确定中标人的；</w:t>
      </w:r>
    </w:p>
    <w:p w14:paraId="2D5B9567">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（3）中标通知书发出后无正当理由改变中标结果的；</w:t>
      </w:r>
    </w:p>
    <w:p w14:paraId="7308CAE9">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（4）无正当理由不与中标人签订工程总承包合同的；</w:t>
      </w:r>
    </w:p>
    <w:p w14:paraId="506DE973">
      <w:pPr>
        <w:keepNext w:val="0"/>
        <w:keepLines w:val="0"/>
        <w:pageBreakBefore w:val="0"/>
        <w:widowControl w:val="0"/>
        <w:kinsoku/>
        <w:wordWrap w:val="0"/>
        <w:overflowPunct/>
        <w:topLinePunct/>
        <w:autoSpaceDE/>
        <w:autoSpaceDN/>
        <w:bidi w:val="0"/>
        <w:adjustRightInd/>
        <w:snapToGrid/>
        <w:spacing w:line="360" w:lineRule="auto"/>
        <w:ind w:left="0" w:leftChars="0" w:right="84" w:rightChars="40" w:firstLine="480" w:firstLineChars="200"/>
        <w:jc w:val="both"/>
        <w:textAlignment w:val="auto"/>
        <w:outlineLvl w:val="9"/>
        <w:rPr>
          <w:rFonts w:hint="eastAsia" w:ascii="宋体" w:hAnsi="宋体" w:eastAsia="宋体" w:cs="宋体"/>
          <w:b/>
          <w:bCs/>
          <w:color w:val="auto"/>
          <w:spacing w:val="0"/>
          <w:sz w:val="24"/>
          <w:szCs w:val="24"/>
          <w:highlight w:val="none"/>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（5）在签订工程总承包合同时向中标人提出附加条件或者更改合同实质性内容的</w:t>
      </w:r>
      <w:r>
        <w:rPr>
          <w:rFonts w:hint="eastAsia" w:ascii="宋体" w:hAnsi="宋体" w:eastAsia="宋体" w:cs="宋体"/>
          <w:snapToGrid/>
          <w:color w:val="auto"/>
          <w:sz w:val="24"/>
          <w:szCs w:val="24"/>
          <w:highlight w:val="none"/>
          <w:shd w:val="clear" w:color="auto" w:fill="FFFFFF"/>
          <w:lang w:eastAsia="zh-CN"/>
        </w:rPr>
        <w:t>。</w:t>
      </w:r>
    </w:p>
    <w:p w14:paraId="59129807">
      <w:pPr>
        <w:keepNext w:val="0"/>
        <w:keepLines w:val="0"/>
        <w:pageBreakBefore w:val="0"/>
        <w:kinsoku/>
        <w:bidi w:val="0"/>
        <w:ind w:right="84" w:rightChars="4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5FFFBA50">
      <w:pPr>
        <w:keepNext w:val="0"/>
        <w:keepLines w:val="0"/>
        <w:pageBreakBefore w:val="0"/>
        <w:kinsoku/>
        <w:wordWrap w:val="0"/>
        <w:overflowPunct/>
        <w:topLinePunct w:val="0"/>
        <w:bidi w:val="0"/>
        <w:spacing w:before="78" w:line="219" w:lineRule="auto"/>
        <w:ind w:left="3525" w:right="84" w:rightChars="40"/>
        <w:outlineLvl w:val="0"/>
        <w:rPr>
          <w:rFonts w:hint="eastAsia" w:ascii="宋体" w:hAnsi="宋体" w:eastAsia="宋体" w:cs="宋体"/>
          <w:color w:val="auto"/>
          <w:spacing w:val="0"/>
          <w:sz w:val="24"/>
          <w:szCs w:val="24"/>
          <w:highlight w:val="none"/>
        </w:rPr>
      </w:pPr>
      <w:bookmarkStart w:id="158" w:name="_Toc23600"/>
      <w:r>
        <w:rPr>
          <w:rFonts w:hint="eastAsia" w:ascii="宋体" w:hAnsi="宋体" w:eastAsia="宋体" w:cs="宋体"/>
          <w:b/>
          <w:bCs/>
          <w:color w:val="auto"/>
          <w:spacing w:val="0"/>
          <w:sz w:val="24"/>
          <w:szCs w:val="24"/>
          <w:highlight w:val="none"/>
        </w:rPr>
        <w:t>第二章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中标人须知</w:t>
      </w:r>
      <w:bookmarkEnd w:id="158"/>
    </w:p>
    <w:p w14:paraId="3C63E460">
      <w:pPr>
        <w:keepNext w:val="0"/>
        <w:keepLines w:val="0"/>
        <w:pageBreakBefore w:val="0"/>
        <w:kinsoku/>
        <w:wordWrap w:val="0"/>
        <w:overflowPunct/>
        <w:topLinePunct w:val="0"/>
        <w:bidi w:val="0"/>
        <w:spacing w:before="78" w:line="219" w:lineRule="auto"/>
        <w:ind w:left="582" w:right="84" w:rightChars="40"/>
        <w:outlineLvl w:val="2"/>
        <w:rPr>
          <w:rFonts w:hint="eastAsia" w:ascii="宋体" w:hAnsi="宋体" w:eastAsia="宋体" w:cs="宋体"/>
          <w:color w:val="auto"/>
          <w:spacing w:val="0"/>
          <w:sz w:val="24"/>
          <w:szCs w:val="24"/>
          <w:highlight w:val="none"/>
        </w:rPr>
      </w:pPr>
      <w:bookmarkStart w:id="159" w:name="_Toc24658"/>
      <w:r>
        <w:rPr>
          <w:rFonts w:hint="eastAsia" w:ascii="宋体" w:hAnsi="宋体" w:eastAsia="宋体" w:cs="宋体"/>
          <w:b/>
          <w:bCs/>
          <w:color w:val="auto"/>
          <w:spacing w:val="0"/>
          <w:sz w:val="24"/>
          <w:szCs w:val="24"/>
          <w:highlight w:val="none"/>
        </w:rPr>
        <w:t>1 ．中标通知书</w:t>
      </w:r>
      <w:bookmarkEnd w:id="159"/>
    </w:p>
    <w:p w14:paraId="33680385">
      <w:pPr>
        <w:keepNext w:val="0"/>
        <w:keepLines w:val="0"/>
        <w:pageBreakBefore w:val="0"/>
        <w:kinsoku/>
        <w:wordWrap w:val="0"/>
        <w:overflowPunct/>
        <w:topLinePunct w:val="0"/>
        <w:bidi w:val="0"/>
        <w:spacing w:before="152" w:line="332" w:lineRule="auto"/>
        <w:ind w:left="17" w:right="84" w:rightChars="40" w:firstLine="559"/>
        <w:jc w:val="both"/>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招标人确定第一中标候选人为中标人，并在中标人确定之日起 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0E2EC4A2">
      <w:pPr>
        <w:keepNext w:val="0"/>
        <w:keepLines w:val="0"/>
        <w:pageBreakBefore w:val="0"/>
        <w:kinsoku/>
        <w:wordWrap w:val="0"/>
        <w:overflowPunct/>
        <w:topLinePunct w:val="0"/>
        <w:bidi w:val="0"/>
        <w:spacing w:before="78" w:line="221" w:lineRule="auto"/>
        <w:ind w:left="572" w:right="84" w:rightChars="40"/>
        <w:outlineLvl w:val="2"/>
        <w:rPr>
          <w:rFonts w:hint="eastAsia" w:ascii="宋体" w:hAnsi="宋体" w:eastAsia="宋体" w:cs="宋体"/>
          <w:color w:val="auto"/>
          <w:spacing w:val="0"/>
          <w:sz w:val="24"/>
          <w:szCs w:val="24"/>
          <w:highlight w:val="none"/>
        </w:rPr>
      </w:pPr>
      <w:bookmarkStart w:id="160" w:name="_Toc24015"/>
      <w:r>
        <w:rPr>
          <w:rFonts w:hint="eastAsia" w:ascii="宋体" w:hAnsi="宋体" w:eastAsia="宋体" w:cs="宋体"/>
          <w:b/>
          <w:bCs/>
          <w:color w:val="auto"/>
          <w:spacing w:val="0"/>
          <w:sz w:val="24"/>
          <w:szCs w:val="24"/>
          <w:highlight w:val="none"/>
        </w:rPr>
        <w:t>2 ．中标结果公示</w:t>
      </w:r>
      <w:bookmarkEnd w:id="160"/>
    </w:p>
    <w:p w14:paraId="6D402282">
      <w:pPr>
        <w:keepNext w:val="0"/>
        <w:keepLines w:val="0"/>
        <w:pageBreakBefore w:val="0"/>
        <w:kinsoku/>
        <w:wordWrap w:val="0"/>
        <w:overflowPunct/>
        <w:topLinePunct w:val="0"/>
        <w:bidi w:val="0"/>
        <w:spacing w:before="115" w:line="316" w:lineRule="auto"/>
        <w:ind w:left="2" w:right="84" w:rightChars="40" w:firstLine="595"/>
        <w:jc w:val="both"/>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中标通知书发出后 15</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日内，招标人应将中标结果在广东省招标投标监管网（http://zbtb.gd.gov.cn）、全国公共资源交易平台（广东省 ·韶关市）（https://ygp.gdzwfw.gov.cn/ggzy-portal/#/440200/index）进行公示。</w:t>
      </w:r>
    </w:p>
    <w:p w14:paraId="2C95E54C">
      <w:pPr>
        <w:keepNext w:val="0"/>
        <w:keepLines w:val="0"/>
        <w:pageBreakBefore w:val="0"/>
        <w:kinsoku/>
        <w:wordWrap w:val="0"/>
        <w:overflowPunct/>
        <w:topLinePunct w:val="0"/>
        <w:bidi w:val="0"/>
        <w:spacing w:before="79" w:line="221" w:lineRule="auto"/>
        <w:ind w:left="570" w:right="84" w:rightChars="40"/>
        <w:outlineLvl w:val="2"/>
        <w:rPr>
          <w:rFonts w:hint="eastAsia" w:ascii="宋体" w:hAnsi="宋体" w:eastAsia="宋体" w:cs="宋体"/>
          <w:color w:val="auto"/>
          <w:spacing w:val="0"/>
          <w:sz w:val="24"/>
          <w:szCs w:val="24"/>
          <w:highlight w:val="none"/>
        </w:rPr>
      </w:pPr>
      <w:bookmarkStart w:id="161" w:name="_Toc14427"/>
      <w:r>
        <w:rPr>
          <w:rFonts w:hint="eastAsia" w:ascii="宋体" w:hAnsi="宋体" w:eastAsia="宋体" w:cs="宋体"/>
          <w:b/>
          <w:bCs/>
          <w:color w:val="auto"/>
          <w:spacing w:val="0"/>
          <w:sz w:val="24"/>
          <w:szCs w:val="24"/>
          <w:highlight w:val="none"/>
        </w:rPr>
        <w:t>3 ．履约保证</w:t>
      </w:r>
      <w:bookmarkEnd w:id="161"/>
    </w:p>
    <w:p w14:paraId="677C4C26">
      <w:pPr>
        <w:keepNext w:val="0"/>
        <w:keepLines w:val="0"/>
        <w:pageBreakBefore w:val="0"/>
        <w:widowControl/>
        <w:kinsoku/>
        <w:wordWrap w:val="0"/>
        <w:overflowPunct/>
        <w:topLinePunct w:val="0"/>
        <w:autoSpaceDE w:val="0"/>
        <w:autoSpaceDN w:val="0"/>
        <w:bidi w:val="0"/>
        <w:adjustRightInd w:val="0"/>
        <w:snapToGrid w:val="0"/>
        <w:spacing w:before="153" w:line="312" w:lineRule="auto"/>
        <w:ind w:right="84" w:rightChars="40"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3.1  </w:t>
      </w:r>
      <w:r>
        <w:rPr>
          <w:rFonts w:hint="eastAsia" w:ascii="宋体" w:hAnsi="宋体" w:eastAsia="宋体" w:cs="宋体"/>
          <w:color w:val="auto"/>
          <w:spacing w:val="0"/>
          <w:sz w:val="24"/>
          <w:szCs w:val="24"/>
          <w:highlight w:val="none"/>
        </w:rPr>
        <w:t>中标人须在领取中标通知书之日起</w:t>
      </w:r>
      <w:r>
        <w:rPr>
          <w:rFonts w:hint="eastAsia" w:ascii="宋体" w:hAnsi="宋体" w:eastAsia="宋体" w:cs="宋体"/>
          <w:color w:val="auto"/>
          <w:spacing w:val="0"/>
          <w:sz w:val="24"/>
          <w:szCs w:val="24"/>
          <w:highlight w:val="none"/>
          <w:u w:val="single"/>
          <w:lang w:val="en-US" w:eastAsia="zh-CN"/>
        </w:rPr>
        <w:t xml:space="preserve"> 10 </w:t>
      </w:r>
      <w:r>
        <w:rPr>
          <w:rFonts w:hint="eastAsia" w:ascii="宋体" w:hAnsi="宋体" w:eastAsia="宋体" w:cs="宋体"/>
          <w:color w:val="auto"/>
          <w:spacing w:val="0"/>
          <w:sz w:val="24"/>
          <w:szCs w:val="24"/>
          <w:highlight w:val="none"/>
        </w:rPr>
        <w:t>个工作日内、签订合同前向招标人提交金额</w:t>
      </w:r>
      <w:r>
        <w:rPr>
          <w:rFonts w:hint="eastAsia" w:ascii="宋体" w:hAnsi="宋体" w:eastAsia="宋体" w:cs="宋体"/>
          <w:color w:val="auto"/>
          <w:spacing w:val="0"/>
          <w:position w:val="2"/>
          <w:sz w:val="24"/>
          <w:szCs w:val="24"/>
          <w:highlight w:val="none"/>
        </w:rPr>
        <w:t>为中标价</w:t>
      </w:r>
      <w:r>
        <w:rPr>
          <w:rFonts w:hint="eastAsia" w:ascii="宋体" w:hAnsi="宋体" w:eastAsia="宋体" w:cs="宋体"/>
          <w:color w:val="auto"/>
          <w:spacing w:val="0"/>
          <w:position w:val="2"/>
          <w:sz w:val="24"/>
          <w:szCs w:val="24"/>
          <w:highlight w:val="none"/>
          <w:u w:val="single"/>
          <w:lang w:val="en-US" w:eastAsia="zh-CN"/>
        </w:rPr>
        <w:t xml:space="preserve"> 5</w:t>
      </w:r>
      <w:r>
        <w:rPr>
          <w:rFonts w:hint="eastAsia" w:ascii="宋体" w:hAnsi="宋体" w:eastAsia="宋体" w:cs="宋体"/>
          <w:color w:val="auto"/>
          <w:spacing w:val="0"/>
          <w:position w:val="2"/>
          <w:sz w:val="24"/>
          <w:szCs w:val="24"/>
          <w:highlight w:val="none"/>
          <w:u w:val="single"/>
        </w:rPr>
        <w:t xml:space="preserve">%  </w:t>
      </w:r>
      <w:r>
        <w:rPr>
          <w:rFonts w:hint="eastAsia" w:ascii="宋体" w:hAnsi="宋体" w:eastAsia="宋体" w:cs="宋体"/>
          <w:color w:val="auto"/>
          <w:spacing w:val="0"/>
          <w:position w:val="2"/>
          <w:sz w:val="24"/>
          <w:szCs w:val="24"/>
          <w:highlight w:val="none"/>
        </w:rPr>
        <w:t>的履约保证。联合体中标的，由联合体牵头人提交。</w:t>
      </w:r>
    </w:p>
    <w:p w14:paraId="49B5F994">
      <w:pPr>
        <w:keepNext w:val="0"/>
        <w:keepLines w:val="0"/>
        <w:pageBreakBefore w:val="0"/>
        <w:kinsoku/>
        <w:wordWrap w:val="0"/>
        <w:overflowPunct/>
        <w:topLinePunct w:val="0"/>
        <w:bidi w:val="0"/>
        <w:spacing w:before="89" w:line="286" w:lineRule="auto"/>
        <w:ind w:left="12" w:right="84" w:rightChars="40"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3.2</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position w:val="2"/>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auto"/>
          <w:spacing w:val="0"/>
          <w:sz w:val="24"/>
          <w:szCs w:val="24"/>
          <w:highlight w:val="none"/>
        </w:rPr>
        <w:t>。商业保函、银行保函或保险合同（或保险单）的有效期应当自合同生效之日起至项目通过竣工验收之日后 28 天止。</w:t>
      </w:r>
    </w:p>
    <w:p w14:paraId="0431B761">
      <w:pPr>
        <w:keepNext w:val="0"/>
        <w:keepLines w:val="0"/>
        <w:pageBreakBefore w:val="0"/>
        <w:kinsoku/>
        <w:wordWrap w:val="0"/>
        <w:overflowPunct/>
        <w:topLinePunct w:val="0"/>
        <w:bidi w:val="0"/>
        <w:spacing w:line="440" w:lineRule="exact"/>
        <w:ind w:right="84" w:rightChars="40" w:firstLine="562"/>
        <w:rPr>
          <w:rFonts w:hint="eastAsia" w:ascii="宋体" w:hAnsi="宋体" w:eastAsia="宋体" w:cs="宋体"/>
          <w:color w:val="auto"/>
          <w:spacing w:val="0"/>
          <w:highlight w:val="none"/>
          <w:lang w:eastAsia="zh-CN"/>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position w:val="2"/>
          <w:sz w:val="24"/>
          <w:szCs w:val="24"/>
          <w:highlight w:val="none"/>
          <w:lang w:eastAsia="zh-CN"/>
        </w:rPr>
        <w:t>注：中标通知书发出时，招标人发起收缴履约保证金并填写保证金金额、缴交时限和项目工期；由中标人在建设工程交易系统中自主选择一种进行缴交。项目竣工后，由招标人发起退保。）</w:t>
      </w:r>
    </w:p>
    <w:p w14:paraId="1AD60AEA">
      <w:pPr>
        <w:keepNext w:val="0"/>
        <w:keepLines w:val="0"/>
        <w:pageBreakBefore w:val="0"/>
        <w:kinsoku/>
        <w:wordWrap w:val="0"/>
        <w:overflowPunct/>
        <w:topLinePunct w:val="0"/>
        <w:bidi w:val="0"/>
        <w:spacing w:before="145" w:line="319" w:lineRule="auto"/>
        <w:ind w:left="12" w:right="84" w:rightChars="40"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  </w:t>
      </w:r>
      <w:r>
        <w:rPr>
          <w:rFonts w:hint="eastAsia" w:ascii="宋体" w:hAnsi="宋体" w:eastAsia="宋体" w:cs="宋体"/>
          <w:color w:val="auto"/>
          <w:spacing w:val="0"/>
          <w:sz w:val="24"/>
          <w:szCs w:val="24"/>
          <w:highlight w:val="none"/>
        </w:rPr>
        <w:t>中标人在领取中标通知书之日起 10 个工作日内仍未提交履约保证的，招标人发出第一次提醒函；在领取中标通知书之日起 15 个工作日内仍未提交的，招标人发出第二次提醒函；在领取中标通知书之日起 20个工作日内仍未提交的，视其放弃中标。并由招标人通报建设行政管理部门。如采用商业保函、银行保函或保险合同方式缴纳履约保证金，在保函或保险合同到期前一个月，中标人须主动办理续期手续或提交新的商业保函、银行保函或保险合同。</w:t>
      </w:r>
    </w:p>
    <w:p w14:paraId="439D8102">
      <w:pPr>
        <w:keepNext w:val="0"/>
        <w:keepLines w:val="0"/>
        <w:pageBreakBefore w:val="0"/>
        <w:kinsoku/>
        <w:wordWrap w:val="0"/>
        <w:overflowPunct/>
        <w:topLinePunct w:val="0"/>
        <w:bidi w:val="0"/>
        <w:spacing w:before="152" w:line="299" w:lineRule="auto"/>
        <w:ind w:left="12" w:right="84" w:rightChars="40"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3.4  </w:t>
      </w:r>
      <w:r>
        <w:rPr>
          <w:rFonts w:hint="eastAsia" w:ascii="宋体" w:hAnsi="宋体" w:eastAsia="宋体" w:cs="宋体"/>
          <w:color w:val="auto"/>
          <w:spacing w:val="0"/>
          <w:sz w:val="24"/>
          <w:szCs w:val="24"/>
          <w:highlight w:val="none"/>
        </w:rPr>
        <w:t>在工程实施过程中，如果承包人（即招标阶段的中标人，下同）由于自身的资金、技术、质量、非不可抗力等原因给发包人（即招标阶段的招标人，下同）造成经济损失，发包人有权扣划相应金额的履约保证。</w:t>
      </w:r>
    </w:p>
    <w:p w14:paraId="05A3F90E">
      <w:pPr>
        <w:keepNext w:val="0"/>
        <w:keepLines w:val="0"/>
        <w:pageBreakBefore w:val="0"/>
        <w:kinsoku/>
        <w:wordWrap w:val="0"/>
        <w:overflowPunct/>
        <w:topLinePunct w:val="0"/>
        <w:bidi w:val="0"/>
        <w:spacing w:before="154" w:line="220" w:lineRule="auto"/>
        <w:ind w:left="486" w:right="84" w:rightChars="40"/>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3.5  </w:t>
      </w:r>
      <w:r>
        <w:rPr>
          <w:rFonts w:hint="eastAsia" w:ascii="宋体" w:hAnsi="宋体" w:eastAsia="宋体" w:cs="宋体"/>
          <w:color w:val="auto"/>
          <w:spacing w:val="0"/>
          <w:sz w:val="24"/>
          <w:szCs w:val="24"/>
          <w:highlight w:val="none"/>
        </w:rPr>
        <w:t>项目通过竣工验收之日后 28 天内，发包人将履约保证退还给承包人。</w:t>
      </w:r>
    </w:p>
    <w:p w14:paraId="13852EBE">
      <w:pPr>
        <w:pStyle w:val="5"/>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highlight w:val="none"/>
        </w:rPr>
      </w:pPr>
    </w:p>
    <w:p w14:paraId="52841E06">
      <w:pPr>
        <w:keepNext w:val="0"/>
        <w:keepLines w:val="0"/>
        <w:pageBreakBefore w:val="0"/>
        <w:kinsoku/>
        <w:wordWrap w:val="0"/>
        <w:overflowPunct/>
        <w:topLinePunct w:val="0"/>
        <w:bidi w:val="0"/>
        <w:spacing w:before="78" w:line="222" w:lineRule="auto"/>
        <w:ind w:left="488" w:right="84" w:rightChars="40"/>
        <w:outlineLvl w:val="2"/>
        <w:rPr>
          <w:rFonts w:hint="eastAsia" w:ascii="宋体" w:hAnsi="宋体" w:eastAsia="宋体" w:cs="宋体"/>
          <w:color w:val="auto"/>
          <w:spacing w:val="0"/>
          <w:sz w:val="24"/>
          <w:szCs w:val="24"/>
          <w:highlight w:val="none"/>
        </w:rPr>
      </w:pPr>
      <w:bookmarkStart w:id="162" w:name="_Toc7584"/>
      <w:r>
        <w:rPr>
          <w:rFonts w:hint="eastAsia" w:ascii="宋体" w:hAnsi="宋体" w:eastAsia="宋体" w:cs="宋体"/>
          <w:b/>
          <w:bCs/>
          <w:color w:val="auto"/>
          <w:spacing w:val="0"/>
          <w:sz w:val="24"/>
          <w:szCs w:val="24"/>
          <w:highlight w:val="none"/>
        </w:rPr>
        <w:t>4 ．合同订立</w:t>
      </w:r>
      <w:bookmarkEnd w:id="162"/>
    </w:p>
    <w:p w14:paraId="60A8639F">
      <w:pPr>
        <w:keepNext w:val="0"/>
        <w:keepLines w:val="0"/>
        <w:pageBreakBefore w:val="0"/>
        <w:widowControl/>
        <w:kinsoku/>
        <w:wordWrap w:val="0"/>
        <w:overflowPunct/>
        <w:topLinePunct w:val="0"/>
        <w:autoSpaceDE w:val="0"/>
        <w:autoSpaceDN w:val="0"/>
        <w:bidi w:val="0"/>
        <w:adjustRightInd w:val="0"/>
        <w:snapToGrid w:val="0"/>
        <w:spacing w:before="150" w:line="300" w:lineRule="auto"/>
        <w:ind w:left="11" w:right="84" w:rightChars="40" w:firstLine="476"/>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4.1  </w:t>
      </w:r>
      <w:r>
        <w:rPr>
          <w:rFonts w:hint="eastAsia" w:ascii="宋体" w:hAnsi="宋体" w:eastAsia="宋体" w:cs="宋体"/>
          <w:color w:val="auto"/>
          <w:spacing w:val="0"/>
          <w:sz w:val="24"/>
          <w:szCs w:val="24"/>
          <w:highlight w:val="none"/>
        </w:rPr>
        <w:t>招标人应当自中标通知书发出之日起</w:t>
      </w:r>
      <w:r>
        <w:rPr>
          <w:rFonts w:hint="eastAsia" w:ascii="宋体" w:hAnsi="宋体" w:eastAsia="宋体" w:cs="宋体"/>
          <w:color w:val="auto"/>
          <w:spacing w:val="0"/>
          <w:sz w:val="24"/>
          <w:szCs w:val="24"/>
          <w:highlight w:val="none"/>
          <w:u w:val="single"/>
          <w:lang w:val="en-US" w:eastAsia="zh-CN"/>
        </w:rPr>
        <w:t xml:space="preserve"> 三十 </w:t>
      </w:r>
      <w:r>
        <w:rPr>
          <w:rFonts w:hint="eastAsia" w:ascii="宋体" w:hAnsi="宋体" w:eastAsia="宋体" w:cs="宋体"/>
          <w:color w:val="auto"/>
          <w:spacing w:val="0"/>
          <w:sz w:val="24"/>
          <w:szCs w:val="24"/>
          <w:highlight w:val="none"/>
        </w:rPr>
        <w:t>日内，按照招标文件、中标人的投标文件与中标人订立书面合同。</w:t>
      </w:r>
    </w:p>
    <w:p w14:paraId="44F9543E">
      <w:pPr>
        <w:keepNext w:val="0"/>
        <w:keepLines w:val="0"/>
        <w:pageBreakBefore w:val="0"/>
        <w:kinsoku/>
        <w:wordWrap w:val="0"/>
        <w:overflowPunct/>
        <w:topLinePunct w:val="0"/>
        <w:bidi w:val="0"/>
        <w:spacing w:before="156" w:line="219" w:lineRule="auto"/>
        <w:ind w:left="488"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  </w:t>
      </w:r>
      <w:r>
        <w:rPr>
          <w:rFonts w:hint="eastAsia" w:ascii="宋体" w:hAnsi="宋体" w:eastAsia="宋体" w:cs="宋体"/>
          <w:color w:val="auto"/>
          <w:spacing w:val="0"/>
          <w:sz w:val="24"/>
          <w:szCs w:val="24"/>
          <w:highlight w:val="none"/>
        </w:rPr>
        <w:t>不正常报价的梳理和确认</w:t>
      </w:r>
    </w:p>
    <w:p w14:paraId="416E0180">
      <w:pPr>
        <w:keepNext w:val="0"/>
        <w:keepLines w:val="0"/>
        <w:pageBreakBefore w:val="0"/>
        <w:kinsoku/>
        <w:wordWrap w:val="0"/>
        <w:overflowPunct/>
        <w:topLinePunct w:val="0"/>
        <w:bidi w:val="0"/>
        <w:spacing w:before="154" w:line="299" w:lineRule="auto"/>
        <w:ind w:left="14" w:right="84" w:rightChars="40"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4.2.1 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color w:val="auto"/>
          <w:spacing w:val="0"/>
          <w:sz w:val="24"/>
          <w:szCs w:val="24"/>
          <w:highlight w:val="none"/>
        </w:rPr>
        <w:t>招标人不具备以上能力的，可授权编制本项目</w:t>
      </w:r>
      <w:r>
        <w:rPr>
          <w:rFonts w:hint="eastAsia" w:ascii="宋体" w:hAnsi="宋体" w:eastAsia="宋体" w:cs="宋体"/>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的造价咨询单位实施。</w:t>
      </w:r>
    </w:p>
    <w:p w14:paraId="0BF121F6">
      <w:pPr>
        <w:keepNext w:val="0"/>
        <w:keepLines w:val="0"/>
        <w:pageBreakBefore w:val="0"/>
        <w:kinsoku/>
        <w:wordWrap w:val="0"/>
        <w:overflowPunct/>
        <w:topLinePunct w:val="0"/>
        <w:bidi w:val="0"/>
        <w:spacing w:before="121" w:line="309" w:lineRule="auto"/>
        <w:ind w:left="14" w:right="84" w:rightChars="40"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4.2.2  </w:t>
      </w:r>
      <w:r>
        <w:rPr>
          <w:rFonts w:hint="eastAsia" w:ascii="宋体" w:hAnsi="宋体" w:eastAsia="宋体" w:cs="宋体"/>
          <w:color w:val="auto"/>
          <w:spacing w:val="0"/>
          <w:sz w:val="24"/>
          <w:szCs w:val="24"/>
          <w:highlight w:val="none"/>
        </w:rPr>
        <w:t>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0D1041E0">
      <w:pPr>
        <w:keepNext w:val="0"/>
        <w:keepLines w:val="0"/>
        <w:pageBreakBefore w:val="0"/>
        <w:kinsoku/>
        <w:wordWrap w:val="0"/>
        <w:overflowPunct/>
        <w:topLinePunct w:val="0"/>
        <w:bidi w:val="0"/>
        <w:spacing w:before="157" w:line="279" w:lineRule="auto"/>
        <w:ind w:left="12"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4.2.3  </w:t>
      </w:r>
      <w:r>
        <w:rPr>
          <w:rFonts w:hint="eastAsia" w:ascii="宋体" w:hAnsi="宋体" w:eastAsia="宋体" w:cs="宋体"/>
          <w:color w:val="auto"/>
          <w:spacing w:val="0"/>
          <w:sz w:val="24"/>
          <w:szCs w:val="24"/>
          <w:highlight w:val="none"/>
        </w:rPr>
        <w:t>错漏项的认定。中标人已标价工程量清单中，任一清单项目未填报价格或价格为零的，视为错漏项。</w:t>
      </w:r>
    </w:p>
    <w:p w14:paraId="3A357F91">
      <w:pPr>
        <w:keepNext w:val="0"/>
        <w:keepLines w:val="0"/>
        <w:pageBreakBefore w:val="0"/>
        <w:kinsoku/>
        <w:wordWrap w:val="0"/>
        <w:overflowPunct/>
        <w:topLinePunct w:val="0"/>
        <w:bidi w:val="0"/>
        <w:spacing w:before="121" w:line="360" w:lineRule="auto"/>
        <w:ind w:right="84" w:rightChars="40"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4.2.4  </w:t>
      </w:r>
      <w:r>
        <w:rPr>
          <w:rFonts w:hint="eastAsia" w:ascii="宋体" w:hAnsi="宋体" w:eastAsia="宋体" w:cs="宋体"/>
          <w:color w:val="auto"/>
          <w:spacing w:val="0"/>
          <w:sz w:val="24"/>
          <w:szCs w:val="24"/>
          <w:highlight w:val="none"/>
        </w:rPr>
        <w:t>不平衡报价的认定。经修正算术性错误后的中标人已标价工程量清单中，</w:t>
      </w:r>
      <w:r>
        <w:rPr>
          <w:rFonts w:hint="eastAsia" w:ascii="宋体" w:hAnsi="宋体" w:eastAsia="宋体" w:cs="宋体"/>
          <w:color w:val="auto"/>
          <w:spacing w:val="0"/>
          <w:sz w:val="24"/>
          <w:szCs w:val="24"/>
          <w:highlight w:val="none"/>
          <w:u w:val="single"/>
        </w:rPr>
        <w:t>对于投标报价中综合单价相对</w:t>
      </w:r>
      <w:r>
        <w:rPr>
          <w:rFonts w:hint="eastAsia" w:ascii="宋体" w:hAnsi="宋体" w:eastAsia="宋体" w:cs="宋体"/>
          <w:color w:val="auto"/>
          <w:spacing w:val="0"/>
          <w:sz w:val="24"/>
          <w:szCs w:val="24"/>
          <w:highlight w:val="none"/>
          <w:u w:val="single"/>
          <w:lang w:val="en-US" w:eastAsia="zh-CN"/>
        </w:rPr>
        <w:t>最高投标限价</w:t>
      </w:r>
      <w:r>
        <w:rPr>
          <w:rFonts w:hint="eastAsia" w:ascii="宋体" w:hAnsi="宋体" w:eastAsia="宋体" w:cs="宋体"/>
          <w:color w:val="auto"/>
          <w:spacing w:val="0"/>
          <w:sz w:val="24"/>
          <w:szCs w:val="24"/>
          <w:highlight w:val="none"/>
          <w:u w:val="single"/>
        </w:rPr>
        <w:t>《</w:t>
      </w:r>
      <w:r>
        <w:rPr>
          <w:rFonts w:hint="eastAsia" w:ascii="宋体" w:hAnsi="宋体" w:eastAsia="宋体" w:cs="宋体"/>
          <w:color w:val="auto"/>
          <w:spacing w:val="0"/>
          <w:sz w:val="24"/>
          <w:szCs w:val="24"/>
          <w:highlight w:val="none"/>
          <w:u w:val="single"/>
          <w:lang w:eastAsia="zh-CN"/>
        </w:rPr>
        <w:t>分部分项工程项目清单计价表</w:t>
      </w:r>
      <w:r>
        <w:rPr>
          <w:rFonts w:hint="eastAsia" w:ascii="宋体" w:hAnsi="宋体" w:eastAsia="宋体" w:cs="宋体"/>
          <w:color w:val="auto"/>
          <w:spacing w:val="0"/>
          <w:sz w:val="24"/>
          <w:szCs w:val="24"/>
          <w:highlight w:val="none"/>
          <w:u w:val="single"/>
        </w:rPr>
        <w:t xml:space="preserve">》中对应综合单价的偏差大于±15% </w:t>
      </w:r>
      <w:r>
        <w:rPr>
          <w:rFonts w:hint="eastAsia" w:ascii="宋体" w:hAnsi="宋体" w:eastAsia="宋体" w:cs="宋体"/>
          <w:color w:val="auto"/>
          <w:spacing w:val="0"/>
          <w:sz w:val="24"/>
          <w:szCs w:val="24"/>
          <w:highlight w:val="none"/>
          <w:u w:val="none"/>
        </w:rPr>
        <w:t>的清单项目</w:t>
      </w:r>
      <w:r>
        <w:rPr>
          <w:rFonts w:hint="eastAsia" w:ascii="宋体" w:hAnsi="宋体" w:eastAsia="宋体" w:cs="宋体"/>
          <w:color w:val="auto"/>
          <w:spacing w:val="0"/>
          <w:sz w:val="24"/>
          <w:szCs w:val="24"/>
          <w:highlight w:val="none"/>
        </w:rPr>
        <w:t>，视为不平衡报价项目。</w:t>
      </w:r>
    </w:p>
    <w:p w14:paraId="59BB732F">
      <w:pPr>
        <w:keepNext w:val="0"/>
        <w:keepLines w:val="0"/>
        <w:pageBreakBefore w:val="0"/>
        <w:kinsoku/>
        <w:wordWrap w:val="0"/>
        <w:overflowPunct/>
        <w:topLinePunct w:val="0"/>
        <w:bidi w:val="0"/>
        <w:spacing w:before="146" w:line="330" w:lineRule="auto"/>
        <w:ind w:left="10" w:right="84" w:rightChars="40" w:firstLine="478"/>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4.2.5 </w:t>
      </w:r>
      <w:r>
        <w:rPr>
          <w:rFonts w:hint="eastAsia" w:ascii="宋体" w:hAnsi="宋体" w:eastAsia="宋体" w:cs="宋体"/>
          <w:color w:val="auto"/>
          <w:spacing w:val="0"/>
          <w:sz w:val="24"/>
          <w:szCs w:val="24"/>
          <w:highlight w:val="none"/>
        </w:rPr>
        <w:t>施工合同签订前，招标人或其授权的造价咨询单位应就发现的以上所有不平衡报价进行修正，形成《不平衡报价修正报告》，并由招标人和中标人共同签章确认，构成施工合同的组成部分。</w:t>
      </w:r>
    </w:p>
    <w:p w14:paraId="1B35F881">
      <w:pPr>
        <w:keepNext w:val="0"/>
        <w:keepLines w:val="0"/>
        <w:pageBreakBefore w:val="0"/>
        <w:kinsoku/>
        <w:wordWrap w:val="0"/>
        <w:overflowPunct/>
        <w:topLinePunct w:val="0"/>
        <w:bidi w:val="0"/>
        <w:spacing w:before="34" w:line="326" w:lineRule="auto"/>
        <w:ind w:left="12" w:right="84" w:rightChars="40" w:firstLine="47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4.2.6 合同履行过程中，被认定为错漏项的清单项目，结算时按照第三章“拟签订合同的主要条款</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”规定处理。</w:t>
      </w:r>
    </w:p>
    <w:p w14:paraId="0A0FE849">
      <w:pPr>
        <w:keepNext w:val="0"/>
        <w:keepLines w:val="0"/>
        <w:pageBreakBefore w:val="0"/>
        <w:kinsoku/>
        <w:wordWrap w:val="0"/>
        <w:overflowPunct/>
        <w:topLinePunct w:val="0"/>
        <w:bidi w:val="0"/>
        <w:spacing w:before="33" w:line="317" w:lineRule="auto"/>
        <w:ind w:left="12" w:right="84" w:rightChars="40" w:firstLine="476"/>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按照第三章“拟签订合同的主要条款</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”有关规定调整合同价款。</w:t>
      </w:r>
    </w:p>
    <w:p w14:paraId="4C2BA967">
      <w:pPr>
        <w:keepNext w:val="0"/>
        <w:keepLines w:val="0"/>
        <w:pageBreakBefore w:val="0"/>
        <w:kinsoku/>
        <w:wordWrap w:val="0"/>
        <w:overflowPunct/>
        <w:topLinePunct w:val="0"/>
        <w:bidi w:val="0"/>
        <w:spacing w:before="87" w:line="276" w:lineRule="auto"/>
        <w:ind w:left="487"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4.3  </w:t>
      </w:r>
      <w:r>
        <w:rPr>
          <w:rFonts w:hint="eastAsia" w:ascii="宋体" w:hAnsi="宋体" w:eastAsia="宋体" w:cs="宋体"/>
          <w:color w:val="auto"/>
          <w:spacing w:val="0"/>
          <w:sz w:val="24"/>
          <w:szCs w:val="24"/>
          <w:highlight w:val="none"/>
        </w:rPr>
        <w:t>本招标项目合同计价方式为：</w:t>
      </w:r>
      <w:r>
        <w:rPr>
          <w:rFonts w:hint="eastAsia" w:ascii="宋体" w:hAnsi="宋体" w:eastAsia="宋体" w:cs="宋体"/>
          <w:color w:val="auto"/>
          <w:spacing w:val="0"/>
          <w:sz w:val="24"/>
          <w:szCs w:val="24"/>
          <w:highlight w:val="none"/>
          <w:u w:val="single"/>
        </w:rPr>
        <w:t xml:space="preserve"> 单价 </w:t>
      </w:r>
      <w:r>
        <w:rPr>
          <w:rFonts w:hint="eastAsia" w:ascii="宋体" w:hAnsi="宋体" w:eastAsia="宋体" w:cs="宋体"/>
          <w:color w:val="auto"/>
          <w:spacing w:val="0"/>
          <w:sz w:val="24"/>
          <w:szCs w:val="24"/>
          <w:highlight w:val="none"/>
        </w:rPr>
        <w:t>合同。</w:t>
      </w:r>
    </w:p>
    <w:p w14:paraId="7AD8D0F4">
      <w:pPr>
        <w:keepNext w:val="0"/>
        <w:keepLines w:val="0"/>
        <w:pageBreakBefore w:val="0"/>
        <w:kinsoku/>
        <w:wordWrap w:val="0"/>
        <w:overflowPunct/>
        <w:topLinePunct w:val="0"/>
        <w:bidi w:val="0"/>
        <w:spacing w:before="120" w:line="298" w:lineRule="auto"/>
        <w:ind w:left="11"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4.4  </w:t>
      </w:r>
      <w:r>
        <w:rPr>
          <w:rFonts w:hint="eastAsia" w:ascii="宋体" w:hAnsi="宋体" w:eastAsia="宋体" w:cs="宋体"/>
          <w:color w:val="auto"/>
          <w:spacing w:val="0"/>
          <w:sz w:val="24"/>
          <w:szCs w:val="24"/>
          <w:highlight w:val="none"/>
        </w:rPr>
        <w:t>合同的标的、质量、履行期限条款和合同的价款、单价、比例条款等主要条款，应当与招标文件、中标人的投标文件的内容一致。中标人在签订合同时不得向招标人提出附加条件。</w:t>
      </w:r>
    </w:p>
    <w:p w14:paraId="77C16957">
      <w:pPr>
        <w:keepNext w:val="0"/>
        <w:keepLines w:val="0"/>
        <w:pageBreakBefore w:val="0"/>
        <w:kinsoku/>
        <w:wordWrap w:val="0"/>
        <w:overflowPunct/>
        <w:topLinePunct w:val="0"/>
        <w:bidi w:val="0"/>
        <w:spacing w:before="150" w:line="319" w:lineRule="auto"/>
        <w:ind w:left="12"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4.5  若中标人在领取中标通知书之日起 30 天内仍未签订合同，招标人发出第一次提醒函；在领取中标通知书之日起 40 天内仍未签订，招标人发出第二次提醒函；在领取中标通知书之日起 45 天内仍未签订，视其放弃中标。</w:t>
      </w:r>
    </w:p>
    <w:p w14:paraId="3235BDE2">
      <w:pPr>
        <w:keepNext w:val="0"/>
        <w:keepLines w:val="0"/>
        <w:pageBreakBefore w:val="0"/>
        <w:kinsoku/>
        <w:wordWrap w:val="0"/>
        <w:overflowPunct/>
        <w:topLinePunct w:val="0"/>
        <w:bidi w:val="0"/>
        <w:spacing w:before="150" w:line="319" w:lineRule="auto"/>
        <w:ind w:left="12"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4.6  在书面合同订立之日起 2 个工作日内，由中标人或招标代理机构将合同上传至建设工程交易系统，并发起退还投标保证的申请。韶关市公共资源交易中心在收到申请之日起 3 个工作日内，将投标保证金（或银行保函）退还给中标人和其他中标候选人。</w:t>
      </w:r>
    </w:p>
    <w:p w14:paraId="1D51752E">
      <w:pPr>
        <w:keepNext w:val="0"/>
        <w:keepLines w:val="0"/>
        <w:pageBreakBefore w:val="0"/>
        <w:kinsoku/>
        <w:wordWrap w:val="0"/>
        <w:overflowPunct/>
        <w:topLinePunct w:val="0"/>
        <w:bidi w:val="0"/>
        <w:spacing w:before="78" w:line="220" w:lineRule="auto"/>
        <w:ind w:left="489" w:right="84" w:rightChars="40"/>
        <w:outlineLvl w:val="2"/>
        <w:rPr>
          <w:rFonts w:hint="eastAsia" w:ascii="宋体" w:hAnsi="宋体" w:eastAsia="宋体" w:cs="宋体"/>
          <w:color w:val="auto"/>
          <w:spacing w:val="0"/>
          <w:sz w:val="24"/>
          <w:szCs w:val="24"/>
          <w:highlight w:val="none"/>
        </w:rPr>
      </w:pPr>
      <w:bookmarkStart w:id="163" w:name="_Toc1353"/>
      <w:r>
        <w:rPr>
          <w:rFonts w:hint="eastAsia" w:ascii="宋体" w:hAnsi="宋体" w:eastAsia="宋体" w:cs="宋体"/>
          <w:b/>
          <w:bCs/>
          <w:color w:val="auto"/>
          <w:spacing w:val="0"/>
          <w:sz w:val="24"/>
          <w:szCs w:val="24"/>
          <w:highlight w:val="none"/>
        </w:rPr>
        <w:t>5 ．放弃中标的处理</w:t>
      </w:r>
      <w:bookmarkEnd w:id="163"/>
    </w:p>
    <w:p w14:paraId="18C72D34">
      <w:pPr>
        <w:keepNext w:val="0"/>
        <w:keepLines w:val="0"/>
        <w:pageBreakBefore w:val="0"/>
        <w:kinsoku/>
        <w:wordWrap w:val="0"/>
        <w:overflowPunct/>
        <w:topLinePunct w:val="0"/>
        <w:bidi w:val="0"/>
        <w:spacing w:before="150" w:line="319" w:lineRule="auto"/>
        <w:ind w:left="12" w:right="84" w:rightChars="40" w:firstLine="477"/>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5.1</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中标人无正当理由放弃中标的，取消其中标资格，其投标保证不予退还，给招标人造成的损失超过投标保证金额的，弃标人还应当对超过部分予以赔偿。招标人可按照</w:t>
      </w:r>
      <w:r>
        <w:rPr>
          <w:rFonts w:hint="eastAsia" w:ascii="宋体" w:hAnsi="宋体" w:eastAsia="宋体" w:cs="宋体"/>
          <w:color w:val="auto"/>
          <w:spacing w:val="0"/>
          <w:sz w:val="24"/>
          <w:szCs w:val="24"/>
          <w:highlight w:val="none"/>
          <w:lang w:val="en-US" w:eastAsia="zh-CN"/>
        </w:rPr>
        <w:t>定</w:t>
      </w:r>
      <w:r>
        <w:rPr>
          <w:rFonts w:hint="eastAsia" w:ascii="宋体" w:hAnsi="宋体" w:eastAsia="宋体" w:cs="宋体"/>
          <w:color w:val="auto"/>
          <w:spacing w:val="0"/>
          <w:sz w:val="24"/>
          <w:szCs w:val="24"/>
          <w:highlight w:val="none"/>
        </w:rPr>
        <w:t>标委员会提交的中标候选人名单排序依次确定其他中标候选人为中标人，如果招标人认为其他中标候选人的条件明显不利于招标人的，也可以重新招标。因此种情况造成招标人重新招标的，招标人可不接受该弃标人再次投标。同时，</w:t>
      </w:r>
      <w:r>
        <w:rPr>
          <w:rFonts w:hint="eastAsia" w:ascii="宋体" w:hAnsi="宋体" w:eastAsia="宋体" w:cs="宋体"/>
          <w:b/>
          <w:bCs/>
          <w:color w:val="auto"/>
          <w:spacing w:val="0"/>
          <w:sz w:val="24"/>
          <w:szCs w:val="24"/>
          <w:highlight w:val="none"/>
        </w:rPr>
        <w:t>招标人应将该弃标人的失信行为向行政监督部门报告。</w:t>
      </w:r>
    </w:p>
    <w:p w14:paraId="0C97F14D">
      <w:pPr>
        <w:keepNext w:val="0"/>
        <w:keepLines w:val="0"/>
        <w:pageBreakBefore w:val="0"/>
        <w:kinsoku/>
        <w:wordWrap w:val="0"/>
        <w:overflowPunct/>
        <w:topLinePunct w:val="0"/>
        <w:bidi w:val="0"/>
        <w:spacing w:before="79" w:line="298" w:lineRule="auto"/>
        <w:ind w:left="10" w:right="84" w:rightChars="40" w:firstLine="47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5.2  </w:t>
      </w:r>
      <w:r>
        <w:rPr>
          <w:rFonts w:hint="eastAsia" w:ascii="宋体" w:hAnsi="宋体" w:eastAsia="宋体" w:cs="宋体"/>
          <w:color w:val="auto"/>
          <w:spacing w:val="0"/>
          <w:sz w:val="24"/>
          <w:szCs w:val="24"/>
          <w:highlight w:val="none"/>
        </w:rPr>
        <w:t>中标人因不可抗力提出不能履行合同的，须在领取中标通知书之日起 10 天内提供有关证明文件或资料，其投标保证予以退还，</w:t>
      </w:r>
      <w:r>
        <w:rPr>
          <w:rFonts w:hint="eastAsia" w:ascii="宋体" w:hAnsi="宋体" w:eastAsia="宋体" w:cs="宋体"/>
          <w:color w:val="auto"/>
          <w:sz w:val="24"/>
          <w:szCs w:val="24"/>
          <w:highlight w:val="none"/>
          <w:lang w:eastAsia="zh-CN"/>
        </w:rPr>
        <w:t>招标人可按照</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lang w:eastAsia="zh-CN"/>
        </w:rPr>
        <w:t>标委员会提出的中标候选人名单排序依次确定其他中标候选人为中标人。如果招标人认为其他中标候选人的条</w:t>
      </w:r>
      <w:bookmarkStart w:id="164" w:name="bookmark84"/>
      <w:bookmarkEnd w:id="164"/>
      <w:r>
        <w:rPr>
          <w:rFonts w:hint="eastAsia" w:ascii="宋体" w:hAnsi="宋体" w:eastAsia="宋体" w:cs="宋体"/>
          <w:color w:val="auto"/>
          <w:sz w:val="24"/>
          <w:szCs w:val="24"/>
          <w:highlight w:val="none"/>
          <w:lang w:eastAsia="zh-CN"/>
        </w:rPr>
        <w:t>件明显不利于招标人的，也可以重新招标。</w:t>
      </w:r>
    </w:p>
    <w:p w14:paraId="5D2715B3">
      <w:pPr>
        <w:pStyle w:val="13"/>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p w14:paraId="1D167E59">
      <w:pPr>
        <w:pStyle w:val="13"/>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3622B001">
      <w:pPr>
        <w:keepNext w:val="0"/>
        <w:keepLines w:val="0"/>
        <w:pageBreakBefore w:val="0"/>
        <w:kinsoku/>
        <w:wordWrap w:val="0"/>
        <w:overflowPunct/>
        <w:topLinePunct w:val="0"/>
        <w:bidi w:val="0"/>
        <w:spacing w:before="78" w:line="219" w:lineRule="auto"/>
        <w:ind w:left="2923" w:right="84" w:rightChars="40"/>
        <w:outlineLvl w:val="0"/>
        <w:rPr>
          <w:rFonts w:hint="eastAsia" w:ascii="宋体" w:hAnsi="宋体" w:eastAsia="宋体" w:cs="宋体"/>
          <w:color w:val="auto"/>
          <w:spacing w:val="0"/>
          <w:sz w:val="24"/>
          <w:szCs w:val="24"/>
          <w:highlight w:val="none"/>
        </w:rPr>
      </w:pPr>
      <w:bookmarkStart w:id="165" w:name="bookmark86"/>
      <w:bookmarkEnd w:id="165"/>
      <w:bookmarkStart w:id="166" w:name="_Toc25938"/>
      <w:r>
        <w:rPr>
          <w:rFonts w:hint="eastAsia" w:ascii="宋体" w:hAnsi="宋体" w:eastAsia="宋体" w:cs="宋体"/>
          <w:b/>
          <w:bCs/>
          <w:color w:val="auto"/>
          <w:spacing w:val="0"/>
          <w:sz w:val="24"/>
          <w:szCs w:val="24"/>
          <w:highlight w:val="none"/>
        </w:rPr>
        <w:t>第三章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拟签订合同的主要条款</w:t>
      </w:r>
      <w:bookmarkEnd w:id="166"/>
    </w:p>
    <w:p w14:paraId="0B04D162">
      <w:pPr>
        <w:pStyle w:val="5"/>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highlight w:val="none"/>
        </w:rPr>
      </w:pPr>
    </w:p>
    <w:p w14:paraId="0B370127">
      <w:pPr>
        <w:pStyle w:val="5"/>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highlight w:val="none"/>
        </w:rPr>
      </w:pPr>
    </w:p>
    <w:p w14:paraId="6F61A5A1">
      <w:pPr>
        <w:keepNext w:val="0"/>
        <w:keepLines w:val="0"/>
        <w:pageBreakBefore w:val="0"/>
        <w:kinsoku/>
        <w:wordWrap w:val="0"/>
        <w:overflowPunct/>
        <w:topLinePunct w:val="0"/>
        <w:bidi w:val="0"/>
        <w:spacing w:before="78" w:line="220" w:lineRule="auto"/>
        <w:ind w:left="498" w:right="84" w:rightChars="40"/>
        <w:outlineLvl w:val="2"/>
        <w:rPr>
          <w:rFonts w:hint="eastAsia" w:ascii="宋体" w:hAnsi="宋体" w:eastAsia="宋体" w:cs="宋体"/>
          <w:color w:val="auto"/>
          <w:spacing w:val="0"/>
          <w:sz w:val="24"/>
          <w:szCs w:val="24"/>
          <w:highlight w:val="none"/>
        </w:rPr>
      </w:pPr>
      <w:bookmarkStart w:id="167" w:name="_Toc10198"/>
      <w:r>
        <w:rPr>
          <w:rFonts w:hint="eastAsia" w:ascii="宋体" w:hAnsi="宋体" w:eastAsia="宋体" w:cs="宋体"/>
          <w:b/>
          <w:bCs/>
          <w:color w:val="auto"/>
          <w:spacing w:val="0"/>
          <w:sz w:val="24"/>
          <w:szCs w:val="24"/>
          <w:highlight w:val="none"/>
        </w:rPr>
        <w:t>1 ．工程承包方式</w:t>
      </w:r>
      <w:bookmarkEnd w:id="167"/>
    </w:p>
    <w:p w14:paraId="68DBE4BA">
      <w:pPr>
        <w:keepNext w:val="0"/>
        <w:keepLines w:val="0"/>
        <w:pageBreakBefore w:val="0"/>
        <w:kinsoku/>
        <w:wordWrap w:val="0"/>
        <w:overflowPunct/>
        <w:topLinePunct w:val="0"/>
        <w:bidi w:val="0"/>
        <w:spacing w:before="153" w:line="299" w:lineRule="auto"/>
        <w:ind w:left="11" w:right="84" w:rightChars="40"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  </w:t>
      </w:r>
      <w:r>
        <w:rPr>
          <w:rFonts w:hint="eastAsia" w:ascii="宋体" w:hAnsi="宋体" w:eastAsia="宋体" w:cs="宋体"/>
          <w:color w:val="auto"/>
          <w:spacing w:val="0"/>
          <w:sz w:val="24"/>
          <w:szCs w:val="24"/>
          <w:highlight w:val="none"/>
        </w:rPr>
        <w:t>承包人以中标价按包工包料、包质量、包安全包文明施工、包工期方式总承包施工，不允许转包和违法分包，如果承包人将建设工程转包或违法分包，发包人可以解除合同</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给发包人造成的损失由承包人承担</w:t>
      </w:r>
      <w:r>
        <w:rPr>
          <w:rFonts w:hint="eastAsia" w:ascii="宋体" w:hAnsi="宋体" w:eastAsia="宋体" w:cs="宋体"/>
          <w:color w:val="auto"/>
          <w:spacing w:val="0"/>
          <w:sz w:val="24"/>
          <w:szCs w:val="24"/>
          <w:highlight w:val="none"/>
        </w:rPr>
        <w:t>。如果确需分包须与发包人协商，在得到发包人和监理单位同意后报建设行政主管部门备案。</w:t>
      </w:r>
    </w:p>
    <w:p w14:paraId="1A7AD95C">
      <w:pPr>
        <w:keepNext w:val="0"/>
        <w:keepLines w:val="0"/>
        <w:pageBreakBefore w:val="0"/>
        <w:kinsoku/>
        <w:wordWrap w:val="0"/>
        <w:overflowPunct/>
        <w:topLinePunct w:val="0"/>
        <w:bidi w:val="0"/>
        <w:spacing w:before="153" w:line="219" w:lineRule="auto"/>
        <w:ind w:left="580"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1.1.1  </w:t>
      </w:r>
      <w:r>
        <w:rPr>
          <w:rFonts w:hint="eastAsia" w:ascii="宋体" w:hAnsi="宋体" w:eastAsia="宋体" w:cs="宋体"/>
          <w:color w:val="auto"/>
          <w:spacing w:val="0"/>
          <w:sz w:val="24"/>
          <w:szCs w:val="24"/>
          <w:highlight w:val="none"/>
        </w:rPr>
        <w:t>包工包料：材料符合招标文件要求并报验使用；办理用工保险。</w:t>
      </w:r>
    </w:p>
    <w:p w14:paraId="6D255FC4">
      <w:pPr>
        <w:keepNext w:val="0"/>
        <w:keepLines w:val="0"/>
        <w:pageBreakBefore w:val="0"/>
        <w:kinsoku/>
        <w:wordWrap w:val="0"/>
        <w:overflowPunct/>
        <w:topLinePunct w:val="0"/>
        <w:bidi w:val="0"/>
        <w:spacing w:before="156" w:line="220" w:lineRule="auto"/>
        <w:ind w:left="580"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1.1.2  </w:t>
      </w:r>
      <w:r>
        <w:rPr>
          <w:rFonts w:hint="eastAsia" w:ascii="宋体" w:hAnsi="宋体" w:eastAsia="宋体" w:cs="宋体"/>
          <w:color w:val="auto"/>
          <w:spacing w:val="0"/>
          <w:sz w:val="24"/>
          <w:szCs w:val="24"/>
          <w:highlight w:val="none"/>
        </w:rPr>
        <w:t>包质量：符合招标文件要求。</w:t>
      </w:r>
    </w:p>
    <w:p w14:paraId="7B161543">
      <w:pPr>
        <w:keepNext w:val="0"/>
        <w:keepLines w:val="0"/>
        <w:pageBreakBefore w:val="0"/>
        <w:kinsoku/>
        <w:wordWrap w:val="0"/>
        <w:overflowPunct/>
        <w:topLinePunct w:val="0"/>
        <w:bidi w:val="0"/>
        <w:spacing w:before="153" w:line="220" w:lineRule="auto"/>
        <w:ind w:left="580"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1.1.3  </w:t>
      </w:r>
      <w:r>
        <w:rPr>
          <w:rFonts w:hint="eastAsia" w:ascii="宋体" w:hAnsi="宋体" w:eastAsia="宋体" w:cs="宋体"/>
          <w:color w:val="auto"/>
          <w:spacing w:val="0"/>
          <w:sz w:val="24"/>
          <w:szCs w:val="24"/>
          <w:highlight w:val="none"/>
        </w:rPr>
        <w:t>包安全包文明施工：符合招标文件要求。</w:t>
      </w:r>
    </w:p>
    <w:p w14:paraId="41E26BE4">
      <w:pPr>
        <w:keepNext w:val="0"/>
        <w:keepLines w:val="0"/>
        <w:pageBreakBefore w:val="0"/>
        <w:kinsoku/>
        <w:wordWrap w:val="0"/>
        <w:overflowPunct/>
        <w:topLinePunct w:val="0"/>
        <w:bidi w:val="0"/>
        <w:spacing w:before="154" w:line="219" w:lineRule="auto"/>
        <w:ind w:left="580"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1.1.4  </w:t>
      </w:r>
      <w:r>
        <w:rPr>
          <w:rFonts w:hint="eastAsia" w:ascii="宋体" w:hAnsi="宋体" w:eastAsia="宋体" w:cs="宋体"/>
          <w:color w:val="auto"/>
          <w:spacing w:val="0"/>
          <w:sz w:val="24"/>
          <w:szCs w:val="24"/>
          <w:highlight w:val="none"/>
        </w:rPr>
        <w:t>包工期：本招标项目施工必须在招标工期内完成。</w:t>
      </w:r>
    </w:p>
    <w:p w14:paraId="5E683A9A">
      <w:pPr>
        <w:keepNext w:val="0"/>
        <w:keepLines w:val="0"/>
        <w:pageBreakBefore w:val="0"/>
        <w:kinsoku/>
        <w:wordWrap w:val="0"/>
        <w:overflowPunct/>
        <w:topLinePunct w:val="0"/>
        <w:bidi w:val="0"/>
        <w:spacing w:before="78" w:line="220" w:lineRule="auto"/>
        <w:ind w:left="488" w:right="84" w:rightChars="40"/>
        <w:outlineLvl w:val="2"/>
        <w:rPr>
          <w:rFonts w:hint="eastAsia" w:ascii="宋体" w:hAnsi="宋体" w:eastAsia="宋体" w:cs="宋体"/>
          <w:color w:val="auto"/>
          <w:spacing w:val="0"/>
          <w:sz w:val="24"/>
          <w:szCs w:val="24"/>
          <w:highlight w:val="none"/>
        </w:rPr>
      </w:pPr>
      <w:bookmarkStart w:id="168" w:name="bookmark88"/>
      <w:bookmarkEnd w:id="168"/>
      <w:bookmarkStart w:id="169" w:name="_Toc355"/>
      <w:r>
        <w:rPr>
          <w:rFonts w:hint="eastAsia" w:ascii="宋体" w:hAnsi="宋体" w:eastAsia="宋体" w:cs="宋体"/>
          <w:b/>
          <w:bCs/>
          <w:color w:val="auto"/>
          <w:spacing w:val="0"/>
          <w:sz w:val="24"/>
          <w:szCs w:val="24"/>
          <w:highlight w:val="none"/>
        </w:rPr>
        <w:t>2 ．工程结算原则</w:t>
      </w:r>
      <w:bookmarkEnd w:id="169"/>
    </w:p>
    <w:p w14:paraId="047D1E9F">
      <w:pPr>
        <w:keepNext w:val="0"/>
        <w:keepLines w:val="0"/>
        <w:pageBreakBefore w:val="0"/>
        <w:kinsoku/>
        <w:wordWrap w:val="0"/>
        <w:overflowPunct/>
        <w:topLinePunct w:val="0"/>
        <w:bidi w:val="0"/>
        <w:spacing w:before="153" w:line="219" w:lineRule="auto"/>
        <w:ind w:left="488"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2.1 </w:t>
      </w:r>
      <w:r>
        <w:rPr>
          <w:rFonts w:hint="eastAsia" w:ascii="宋体" w:hAnsi="宋体" w:eastAsia="宋体" w:cs="宋体"/>
          <w:color w:val="auto"/>
          <w:spacing w:val="0"/>
          <w:sz w:val="24"/>
          <w:szCs w:val="24"/>
          <w:highlight w:val="none"/>
        </w:rPr>
        <w:t>承包人的投标总价为中标价，即为签约合同价。</w:t>
      </w:r>
    </w:p>
    <w:p w14:paraId="7FAD113F">
      <w:pPr>
        <w:keepNext w:val="0"/>
        <w:keepLines w:val="0"/>
        <w:pageBreakBefore w:val="0"/>
        <w:kinsoku/>
        <w:wordWrap w:val="0"/>
        <w:overflowPunct/>
        <w:topLinePunct w:val="0"/>
        <w:bidi w:val="0"/>
        <w:spacing w:before="155" w:line="319" w:lineRule="auto"/>
        <w:ind w:left="12"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2.2 </w:t>
      </w:r>
      <w:r>
        <w:rPr>
          <w:rFonts w:hint="eastAsia" w:ascii="宋体" w:hAnsi="宋体" w:eastAsia="宋体" w:cs="宋体"/>
          <w:color w:val="auto"/>
          <w:spacing w:val="0"/>
          <w:sz w:val="24"/>
          <w:szCs w:val="24"/>
          <w:highlight w:val="none"/>
        </w:rPr>
        <w:t>招标工程量清单标明的工程量是投标人投标报价的共同基础，竣工结算的工程量按</w:t>
      </w:r>
      <w:bookmarkStart w:id="170" w:name="OLE_LINK28"/>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）对工程计量的规定进行计量，必须以承包人完成合同工程应予计量的工程量确定。施</w:t>
      </w:r>
      <w:bookmarkEnd w:id="170"/>
      <w:r>
        <w:rPr>
          <w:rFonts w:hint="eastAsia" w:ascii="宋体" w:hAnsi="宋体" w:eastAsia="宋体" w:cs="宋体"/>
          <w:color w:val="auto"/>
          <w:spacing w:val="0"/>
          <w:sz w:val="24"/>
          <w:szCs w:val="24"/>
          <w:highlight w:val="none"/>
        </w:rPr>
        <w:t>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0EBA0169">
      <w:pPr>
        <w:keepNext w:val="0"/>
        <w:keepLines w:val="0"/>
        <w:pageBreakBefore w:val="0"/>
        <w:kinsoku/>
        <w:wordWrap w:val="0"/>
        <w:overflowPunct/>
        <w:topLinePunct w:val="0"/>
        <w:bidi w:val="0"/>
        <w:spacing w:before="38" w:line="299" w:lineRule="auto"/>
        <w:ind w:left="12" w:right="84" w:rightChars="40" w:firstLine="47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2.3  </w:t>
      </w:r>
      <w:r>
        <w:rPr>
          <w:rFonts w:hint="eastAsia" w:ascii="宋体" w:hAnsi="宋体" w:eastAsia="宋体" w:cs="宋体"/>
          <w:color w:val="auto"/>
          <w:spacing w:val="0"/>
          <w:sz w:val="24"/>
          <w:szCs w:val="24"/>
          <w:highlight w:val="none"/>
        </w:rPr>
        <w:t>施工合同履行期间，若出现下列情形的，发、承包双方应当按照以下规定调整合同价款：</w:t>
      </w:r>
    </w:p>
    <w:p w14:paraId="28C07B92">
      <w:pPr>
        <w:keepNext w:val="0"/>
        <w:keepLines w:val="0"/>
        <w:pageBreakBefore w:val="0"/>
        <w:kinsoku/>
        <w:wordWrap w:val="0"/>
        <w:overflowPunct/>
        <w:topLinePunct w:val="0"/>
        <w:bidi w:val="0"/>
        <w:spacing w:before="227" w:line="220" w:lineRule="auto"/>
        <w:ind w:left="487"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2.3.1  </w:t>
      </w:r>
      <w:r>
        <w:rPr>
          <w:rFonts w:hint="eastAsia" w:ascii="宋体" w:hAnsi="宋体" w:eastAsia="宋体" w:cs="宋体"/>
          <w:color w:val="auto"/>
          <w:spacing w:val="0"/>
          <w:sz w:val="24"/>
          <w:szCs w:val="24"/>
          <w:highlight w:val="none"/>
        </w:rPr>
        <w:t>法律法规变化</w:t>
      </w:r>
    </w:p>
    <w:p w14:paraId="6BF5F2D0">
      <w:pPr>
        <w:keepNext w:val="0"/>
        <w:keepLines w:val="0"/>
        <w:pageBreakBefore w:val="0"/>
        <w:kinsoku/>
        <w:wordWrap w:val="0"/>
        <w:overflowPunct/>
        <w:topLinePunct w:val="0"/>
        <w:bidi w:val="0"/>
        <w:spacing w:before="156" w:line="298" w:lineRule="auto"/>
        <w:ind w:left="10"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fldChar w:fldCharType="begin"/>
      </w:r>
      <w:r>
        <w:rPr>
          <w:rFonts w:hint="eastAsia" w:ascii="宋体" w:hAnsi="宋体" w:eastAsia="宋体" w:cs="宋体"/>
          <w:b/>
          <w:bCs/>
          <w:color w:val="auto"/>
          <w:spacing w:val="0"/>
          <w:sz w:val="24"/>
          <w:szCs w:val="24"/>
          <w:highlight w:val="none"/>
        </w:rPr>
        <w:instrText xml:space="preserve"> HYPERLINK "2.3.1.1" </w:instrText>
      </w:r>
      <w:r>
        <w:rPr>
          <w:rFonts w:hint="eastAsia" w:ascii="宋体" w:hAnsi="宋体" w:eastAsia="宋体" w:cs="宋体"/>
          <w:b/>
          <w:bCs/>
          <w:color w:val="auto"/>
          <w:spacing w:val="0"/>
          <w:sz w:val="24"/>
          <w:szCs w:val="24"/>
          <w:highlight w:val="none"/>
        </w:rPr>
        <w:fldChar w:fldCharType="separate"/>
      </w:r>
      <w:r>
        <w:rPr>
          <w:rFonts w:hint="eastAsia" w:ascii="宋体" w:hAnsi="宋体" w:eastAsia="宋体" w:cs="宋体"/>
          <w:b/>
          <w:bCs/>
          <w:color w:val="auto"/>
          <w:spacing w:val="0"/>
          <w:sz w:val="24"/>
          <w:szCs w:val="24"/>
          <w:highlight w:val="none"/>
        </w:rPr>
        <w:t>2.3.1.1</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color w:val="auto"/>
          <w:spacing w:val="0"/>
          <w:sz w:val="24"/>
          <w:szCs w:val="24"/>
          <w:highlight w:val="none"/>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3215BC69">
      <w:pPr>
        <w:keepNext w:val="0"/>
        <w:keepLines w:val="0"/>
        <w:pageBreakBefore w:val="0"/>
        <w:kinsoku/>
        <w:wordWrap w:val="0"/>
        <w:overflowPunct/>
        <w:topLinePunct w:val="0"/>
        <w:bidi w:val="0"/>
        <w:spacing w:before="157" w:line="325" w:lineRule="auto"/>
        <w:ind w:left="12" w:right="84" w:rightChars="40" w:firstLine="47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注：本招标文件所称“基准日</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”，均指投标文件递交截止时间（见第一章第二节“重要事项时间地点一览表</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”）前</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28 天。</w:t>
      </w:r>
    </w:p>
    <w:p w14:paraId="5B8E95D2">
      <w:pPr>
        <w:keepNext w:val="0"/>
        <w:keepLines w:val="0"/>
        <w:pageBreakBefore w:val="0"/>
        <w:kinsoku/>
        <w:wordWrap w:val="0"/>
        <w:overflowPunct/>
        <w:topLinePunct w:val="0"/>
        <w:bidi w:val="0"/>
        <w:spacing w:before="33" w:line="299" w:lineRule="auto"/>
        <w:ind w:left="11"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"2.3.1.2"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2.3.1.2</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 xml:space="preserve">因承包人原因导致工程延误，本章第 </w:t>
      </w:r>
      <w:r>
        <w:rPr>
          <w:rFonts w:hint="eastAsia" w:ascii="宋体" w:hAnsi="宋体" w:eastAsia="宋体" w:cs="宋体"/>
          <w:b/>
          <w:bCs/>
          <w:color w:val="auto"/>
          <w:spacing w:val="0"/>
          <w:sz w:val="24"/>
          <w:szCs w:val="24"/>
          <w:highlight w:val="none"/>
        </w:rPr>
        <w:t xml:space="preserve">2.3.1.1 </w:t>
      </w:r>
      <w:r>
        <w:rPr>
          <w:rFonts w:hint="eastAsia" w:ascii="宋体" w:hAnsi="宋体" w:eastAsia="宋体" w:cs="宋体"/>
          <w:color w:val="auto"/>
          <w:spacing w:val="0"/>
          <w:sz w:val="24"/>
          <w:szCs w:val="24"/>
          <w:highlight w:val="none"/>
        </w:rPr>
        <w:t>子目中的法定机构根据国家法律法规变化发布新规的时间在合同工程原定竣工时间之后的，合同价款调增的不予调整，合同价款调减的予以调整。</w:t>
      </w:r>
    </w:p>
    <w:p w14:paraId="231CEC4D">
      <w:pPr>
        <w:keepNext w:val="0"/>
        <w:keepLines w:val="0"/>
        <w:pageBreakBefore w:val="0"/>
        <w:kinsoku/>
        <w:wordWrap w:val="0"/>
        <w:overflowPunct/>
        <w:topLinePunct w:val="0"/>
        <w:bidi w:val="0"/>
        <w:spacing w:before="155" w:line="220" w:lineRule="auto"/>
        <w:ind w:left="487"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2.3.2  </w:t>
      </w:r>
      <w:r>
        <w:rPr>
          <w:rFonts w:hint="eastAsia" w:ascii="宋体" w:hAnsi="宋体" w:eastAsia="宋体" w:cs="宋体"/>
          <w:color w:val="auto"/>
          <w:spacing w:val="0"/>
          <w:sz w:val="24"/>
          <w:szCs w:val="24"/>
          <w:highlight w:val="none"/>
        </w:rPr>
        <w:t>工程量偏差或变化</w:t>
      </w:r>
    </w:p>
    <w:p w14:paraId="655704F0">
      <w:pPr>
        <w:keepNext w:val="0"/>
        <w:keepLines w:val="0"/>
        <w:pageBreakBefore w:val="0"/>
        <w:kinsoku/>
        <w:wordWrap w:val="0"/>
        <w:overflowPunct/>
        <w:topLinePunct w:val="0"/>
        <w:bidi w:val="0"/>
        <w:spacing w:before="158" w:line="309" w:lineRule="auto"/>
        <w:ind w:left="10"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"2.3.2.1"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2.3.2.1</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合同履行期间，当应予计算的实际工程量与招标工程量清单出现偏差或因工程变更引起已标价工程量清单项目的工程数量发生变化时，工程量偏差或变化在 15%以内（含 15%）的，其综合单价不予调整；工程量偏差或变化超过 15%的，按照以下规定调整：</w:t>
      </w:r>
    </w:p>
    <w:p w14:paraId="6F1EA887">
      <w:pPr>
        <w:keepNext w:val="0"/>
        <w:keepLines w:val="0"/>
        <w:pageBreakBefore w:val="0"/>
        <w:kinsoku/>
        <w:wordWrap w:val="0"/>
        <w:overflowPunct/>
        <w:topLinePunct w:val="0"/>
        <w:bidi w:val="0"/>
        <w:spacing w:before="78" w:line="327" w:lineRule="auto"/>
        <w:ind w:left="12" w:right="84" w:rightChars="40" w:firstLine="478"/>
        <w:jc w:val="both"/>
        <w:rPr>
          <w:rFonts w:hint="eastAsia" w:ascii="宋体" w:hAnsi="宋体" w:eastAsia="宋体" w:cs="宋体"/>
          <w:color w:val="auto"/>
          <w:spacing w:val="0"/>
          <w:sz w:val="24"/>
          <w:szCs w:val="24"/>
          <w:highlight w:val="none"/>
        </w:rPr>
      </w:pPr>
      <w:bookmarkStart w:id="171" w:name="bookmark142"/>
      <w:bookmarkEnd w:id="171"/>
      <w:r>
        <w:rPr>
          <w:rFonts w:hint="eastAsia" w:ascii="宋体" w:hAnsi="宋体" w:eastAsia="宋体" w:cs="宋体"/>
          <w:color w:val="auto"/>
          <w:spacing w:val="0"/>
          <w:sz w:val="24"/>
          <w:szCs w:val="24"/>
          <w:highlight w:val="none"/>
        </w:rPr>
        <w:t>对于合理报价的清单项目，当工程量增加超过 15%时，增加部分的工程量的综合单价以投标报价《</w:t>
      </w:r>
      <w:r>
        <w:rPr>
          <w:rFonts w:hint="eastAsia" w:ascii="宋体" w:hAnsi="宋体" w:eastAsia="宋体" w:cs="宋体"/>
          <w:color w:val="auto"/>
          <w:spacing w:val="0"/>
          <w:sz w:val="24"/>
          <w:szCs w:val="24"/>
          <w:highlight w:val="none"/>
          <w:lang w:eastAsia="zh-CN"/>
        </w:rPr>
        <w:t>分部分项工程项目清单计价表</w:t>
      </w:r>
      <w:r>
        <w:rPr>
          <w:rFonts w:hint="eastAsia" w:ascii="宋体" w:hAnsi="宋体" w:eastAsia="宋体" w:cs="宋体"/>
          <w:color w:val="auto"/>
          <w:spacing w:val="0"/>
          <w:sz w:val="24"/>
          <w:szCs w:val="24"/>
          <w:highlight w:val="none"/>
        </w:rPr>
        <w:t>》中综合单价为基价调低 3%；当工程量减少超过 15%时，减少后剩余部分的工程量的综合单价以投标报价《</w:t>
      </w:r>
      <w:r>
        <w:rPr>
          <w:rFonts w:hint="eastAsia" w:ascii="宋体" w:hAnsi="宋体" w:eastAsia="宋体" w:cs="宋体"/>
          <w:color w:val="auto"/>
          <w:spacing w:val="0"/>
          <w:sz w:val="24"/>
          <w:szCs w:val="24"/>
          <w:highlight w:val="none"/>
          <w:lang w:eastAsia="zh-CN"/>
        </w:rPr>
        <w:t>分部分项工程项目清单计价表</w:t>
      </w:r>
      <w:r>
        <w:rPr>
          <w:rFonts w:hint="eastAsia" w:ascii="宋体" w:hAnsi="宋体" w:eastAsia="宋体" w:cs="宋体"/>
          <w:color w:val="auto"/>
          <w:spacing w:val="0"/>
          <w:sz w:val="24"/>
          <w:szCs w:val="24"/>
          <w:highlight w:val="none"/>
        </w:rPr>
        <w:t>》中综合单价为基价调高 3%。</w:t>
      </w:r>
    </w:p>
    <w:p w14:paraId="19CF62EE">
      <w:pPr>
        <w:keepNext w:val="0"/>
        <w:keepLines w:val="0"/>
        <w:pageBreakBefore w:val="0"/>
        <w:kinsoku/>
        <w:wordWrap w:val="0"/>
        <w:overflowPunct/>
        <w:topLinePunct w:val="0"/>
        <w:bidi w:val="0"/>
        <w:spacing w:before="97" w:line="324" w:lineRule="auto"/>
        <w:ind w:left="13"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对于按照第二章“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中标人须知</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”第</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4.2 条被认定为不平衡报价的清单项目，其综合单价按照以下方法调整：</w:t>
      </w:r>
    </w:p>
    <w:p w14:paraId="25F45A58">
      <w:pPr>
        <w:keepNext w:val="0"/>
        <w:keepLines w:val="0"/>
        <w:pageBreakBefore w:val="0"/>
        <w:kinsoku/>
        <w:wordWrap w:val="0"/>
        <w:overflowPunct/>
        <w:topLinePunct w:val="0"/>
        <w:bidi w:val="0"/>
        <w:spacing w:before="97" w:line="324" w:lineRule="auto"/>
        <w:ind w:left="13" w:right="84" w:rightChars="40" w:firstLine="477"/>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以</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rPr>
        <w:t>中《</w:t>
      </w:r>
      <w:r>
        <w:rPr>
          <w:rFonts w:hint="eastAsia" w:ascii="宋体" w:hAnsi="宋体" w:eastAsia="宋体" w:cs="宋体"/>
          <w:b/>
          <w:bCs/>
          <w:color w:val="auto"/>
          <w:spacing w:val="0"/>
          <w:sz w:val="24"/>
          <w:szCs w:val="24"/>
          <w:highlight w:val="none"/>
          <w:lang w:eastAsia="zh-CN"/>
        </w:rPr>
        <w:t>分部分项工程项目清单计价表</w:t>
      </w:r>
      <w:r>
        <w:rPr>
          <w:rFonts w:hint="eastAsia" w:ascii="宋体" w:hAnsi="宋体" w:eastAsia="宋体" w:cs="宋体"/>
          <w:b/>
          <w:bCs/>
          <w:color w:val="auto"/>
          <w:spacing w:val="0"/>
          <w:sz w:val="24"/>
          <w:szCs w:val="24"/>
          <w:highlight w:val="none"/>
        </w:rPr>
        <w:t>》子目相对应综合单价×（1-中标下浮率）。</w:t>
      </w:r>
    </w:p>
    <w:p w14:paraId="3E1FC9C8">
      <w:pPr>
        <w:keepNext w:val="0"/>
        <w:keepLines w:val="0"/>
        <w:pageBreakBefore w:val="0"/>
        <w:kinsoku/>
        <w:wordWrap w:val="0"/>
        <w:overflowPunct/>
        <w:topLinePunct w:val="0"/>
        <w:bidi w:val="0"/>
        <w:spacing w:before="97" w:line="324" w:lineRule="auto"/>
        <w:ind w:left="13" w:right="84" w:rightChars="40" w:firstLine="477"/>
        <w:rPr>
          <w:rFonts w:hint="eastAsia" w:ascii="宋体" w:hAnsi="宋体" w:eastAsia="宋体" w:cs="宋体"/>
          <w:b/>
          <w:bCs/>
          <w:color w:val="auto"/>
          <w:spacing w:val="0"/>
          <w:sz w:val="24"/>
          <w:szCs w:val="24"/>
          <w:highlight w:val="none"/>
        </w:rPr>
      </w:pPr>
      <w:bookmarkStart w:id="172" w:name="_Toc12035"/>
      <w:bookmarkStart w:id="173" w:name="_Toc18478"/>
      <w:bookmarkStart w:id="174" w:name="_Toc30068"/>
      <w:r>
        <w:rPr>
          <w:rFonts w:hint="eastAsia" w:ascii="宋体" w:hAnsi="宋体" w:eastAsia="宋体" w:cs="宋体"/>
          <w:b/>
          <w:bCs/>
          <w:color w:val="auto"/>
          <w:spacing w:val="0"/>
          <w:sz w:val="24"/>
          <w:szCs w:val="24"/>
          <w:highlight w:val="none"/>
        </w:rPr>
        <w:t>中标下浮率=[1-（中标价-中标</w:t>
      </w:r>
      <w:r>
        <w:rPr>
          <w:rFonts w:hint="eastAsia" w:ascii="宋体" w:hAnsi="宋体" w:eastAsia="宋体" w:cs="宋体"/>
          <w:b/>
          <w:bCs/>
          <w:color w:val="auto"/>
          <w:spacing w:val="0"/>
          <w:sz w:val="24"/>
          <w:szCs w:val="24"/>
          <w:highlight w:val="none"/>
          <w:lang w:eastAsia="zh-CN"/>
        </w:rPr>
        <w:t>安全生产措施费</w:t>
      </w:r>
      <w:r>
        <w:rPr>
          <w:rFonts w:hint="eastAsia" w:ascii="宋体" w:hAnsi="宋体" w:eastAsia="宋体" w:cs="宋体"/>
          <w:b/>
          <w:bCs/>
          <w:color w:val="auto"/>
          <w:spacing w:val="0"/>
          <w:sz w:val="24"/>
          <w:szCs w:val="24"/>
          <w:highlight w:val="none"/>
        </w:rPr>
        <w:t>-暂列金额-暂估价）/（</w:t>
      </w:r>
      <w:bookmarkEnd w:id="172"/>
      <w:bookmarkEnd w:id="173"/>
      <w:bookmarkStart w:id="175" w:name="_Toc13602"/>
      <w:bookmarkStart w:id="176" w:name="_Toc15512"/>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lang w:eastAsia="zh-CN"/>
        </w:rPr>
        <w:t>安全生产措施费</w:t>
      </w:r>
      <w:r>
        <w:rPr>
          <w:rFonts w:hint="eastAsia" w:ascii="宋体" w:hAnsi="宋体" w:eastAsia="宋体" w:cs="宋体"/>
          <w:b/>
          <w:bCs/>
          <w:color w:val="auto"/>
          <w:spacing w:val="0"/>
          <w:sz w:val="24"/>
          <w:szCs w:val="24"/>
          <w:highlight w:val="none"/>
        </w:rPr>
        <w:t>-暂列金额-暂估价）] ×100%</w:t>
      </w:r>
      <w:bookmarkEnd w:id="174"/>
      <w:bookmarkEnd w:id="175"/>
      <w:bookmarkEnd w:id="176"/>
    </w:p>
    <w:p w14:paraId="5F716669">
      <w:pPr>
        <w:keepNext w:val="0"/>
        <w:keepLines w:val="0"/>
        <w:pageBreakBefore w:val="0"/>
        <w:kinsoku/>
        <w:wordWrap w:val="0"/>
        <w:overflowPunct/>
        <w:topLinePunct w:val="0"/>
        <w:bidi w:val="0"/>
        <w:spacing w:before="123" w:line="301" w:lineRule="auto"/>
        <w:ind w:left="10" w:right="84" w:rightChars="40" w:firstLine="48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若修正后的该部分《</w:t>
      </w:r>
      <w:r>
        <w:rPr>
          <w:rFonts w:hint="eastAsia" w:ascii="宋体" w:hAnsi="宋体" w:eastAsia="宋体" w:cs="宋体"/>
          <w:color w:val="auto"/>
          <w:spacing w:val="0"/>
          <w:sz w:val="24"/>
          <w:szCs w:val="24"/>
          <w:highlight w:val="none"/>
          <w:lang w:eastAsia="zh-CN"/>
        </w:rPr>
        <w:t>分部分项工程项目清单计价表</w:t>
      </w:r>
      <w:r>
        <w:rPr>
          <w:rFonts w:hint="eastAsia" w:ascii="宋体" w:hAnsi="宋体" w:eastAsia="宋体" w:cs="宋体"/>
          <w:color w:val="auto"/>
          <w:spacing w:val="0"/>
          <w:sz w:val="24"/>
          <w:szCs w:val="24"/>
          <w:highlight w:val="none"/>
        </w:rPr>
        <w:t>》总金额大于原投标报价中的该部分总金额，则从投标报价需调高的综合单价中选择偏离最大的清单开始调整，调整幅度逐步减少，直至修正后的该部分《</w:t>
      </w:r>
      <w:r>
        <w:rPr>
          <w:rFonts w:hint="eastAsia" w:ascii="宋体" w:hAnsi="宋体" w:eastAsia="宋体" w:cs="宋体"/>
          <w:color w:val="auto"/>
          <w:spacing w:val="0"/>
          <w:sz w:val="24"/>
          <w:szCs w:val="24"/>
          <w:highlight w:val="none"/>
          <w:lang w:eastAsia="zh-CN"/>
        </w:rPr>
        <w:t>分部分项工程项目清单计价表</w:t>
      </w:r>
      <w:r>
        <w:rPr>
          <w:rFonts w:hint="eastAsia" w:ascii="宋体" w:hAnsi="宋体" w:eastAsia="宋体" w:cs="宋体"/>
          <w:color w:val="auto"/>
          <w:spacing w:val="0"/>
          <w:sz w:val="24"/>
          <w:szCs w:val="24"/>
          <w:highlight w:val="none"/>
        </w:rPr>
        <w:t>》总金额与原投标报价中的该部分总金额一致；若修正后的该部分《</w:t>
      </w:r>
      <w:r>
        <w:rPr>
          <w:rFonts w:hint="eastAsia" w:ascii="宋体" w:hAnsi="宋体" w:eastAsia="宋体" w:cs="宋体"/>
          <w:color w:val="auto"/>
          <w:spacing w:val="0"/>
          <w:sz w:val="24"/>
          <w:szCs w:val="24"/>
          <w:highlight w:val="none"/>
          <w:lang w:eastAsia="zh-CN"/>
        </w:rPr>
        <w:t>分部分项工程项目清单计价表</w:t>
      </w:r>
      <w:r>
        <w:rPr>
          <w:rFonts w:hint="eastAsia" w:ascii="宋体" w:hAnsi="宋体" w:eastAsia="宋体" w:cs="宋体"/>
          <w:color w:val="auto"/>
          <w:spacing w:val="0"/>
          <w:sz w:val="24"/>
          <w:szCs w:val="24"/>
          <w:highlight w:val="none"/>
        </w:rPr>
        <w:t>》总金额小于原投标报价中的该部分总金额，则从投标报价需调低的综合单价中选择偏离最大的清单开始调整，调整幅度逐步减少，直至修正后的该部分《</w:t>
      </w:r>
      <w:r>
        <w:rPr>
          <w:rFonts w:hint="eastAsia" w:ascii="宋体" w:hAnsi="宋体" w:eastAsia="宋体" w:cs="宋体"/>
          <w:color w:val="auto"/>
          <w:spacing w:val="0"/>
          <w:sz w:val="24"/>
          <w:szCs w:val="24"/>
          <w:highlight w:val="none"/>
          <w:lang w:eastAsia="zh-CN"/>
        </w:rPr>
        <w:t>分部分项工程项目清单计价表</w:t>
      </w:r>
      <w:r>
        <w:rPr>
          <w:rFonts w:hint="eastAsia" w:ascii="宋体" w:hAnsi="宋体" w:eastAsia="宋体" w:cs="宋体"/>
          <w:color w:val="auto"/>
          <w:spacing w:val="0"/>
          <w:sz w:val="24"/>
          <w:szCs w:val="24"/>
          <w:highlight w:val="none"/>
        </w:rPr>
        <w:t>》总金额与原投标报价中的该部分总金额一致。修正后的总造价应与总中标价保持一致，形成《不平衡报价修正报告》，并由招标人和中标人共同签章确认。</w:t>
      </w:r>
    </w:p>
    <w:p w14:paraId="2C74F04F">
      <w:pPr>
        <w:keepNext w:val="0"/>
        <w:keepLines w:val="0"/>
        <w:pageBreakBefore w:val="0"/>
        <w:kinsoku/>
        <w:wordWrap w:val="0"/>
        <w:overflowPunct/>
        <w:topLinePunct w:val="0"/>
        <w:bidi w:val="0"/>
        <w:spacing w:before="129" w:line="299" w:lineRule="auto"/>
        <w:ind w:left="12"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"2.3.2.2"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2.3.2.2</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 xml:space="preserve">如果工程量出现本章第 </w:t>
      </w:r>
      <w:r>
        <w:rPr>
          <w:rFonts w:hint="eastAsia" w:ascii="宋体" w:hAnsi="宋体" w:eastAsia="宋体" w:cs="宋体"/>
          <w:b/>
          <w:bCs/>
          <w:color w:val="auto"/>
          <w:spacing w:val="0"/>
          <w:sz w:val="24"/>
          <w:szCs w:val="24"/>
          <w:highlight w:val="none"/>
        </w:rPr>
        <w:t xml:space="preserve">2.3.2.1 </w:t>
      </w:r>
      <w:r>
        <w:rPr>
          <w:rFonts w:hint="eastAsia" w:ascii="宋体" w:hAnsi="宋体" w:eastAsia="宋体" w:cs="宋体"/>
          <w:color w:val="auto"/>
          <w:spacing w:val="0"/>
          <w:sz w:val="24"/>
          <w:szCs w:val="24"/>
          <w:highlight w:val="none"/>
        </w:rPr>
        <w:t>子目的变化，且该变化引起相关措施项目相应发生变化时，按系数或单一总价方式计价的，工程量增加的措施项目费调增，工程量减少的措施项目费调减。</w:t>
      </w:r>
    </w:p>
    <w:p w14:paraId="3DB00805">
      <w:pPr>
        <w:keepNext w:val="0"/>
        <w:keepLines w:val="0"/>
        <w:pageBreakBefore w:val="0"/>
        <w:kinsoku/>
        <w:wordWrap w:val="0"/>
        <w:overflowPunct/>
        <w:topLinePunct w:val="0"/>
        <w:bidi w:val="0"/>
        <w:spacing w:before="154" w:line="221" w:lineRule="auto"/>
        <w:ind w:left="488"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2.3.3  </w:t>
      </w:r>
      <w:r>
        <w:rPr>
          <w:rFonts w:hint="eastAsia" w:ascii="宋体" w:hAnsi="宋体" w:eastAsia="宋体" w:cs="宋体"/>
          <w:color w:val="auto"/>
          <w:spacing w:val="0"/>
          <w:sz w:val="24"/>
          <w:szCs w:val="24"/>
          <w:highlight w:val="none"/>
        </w:rPr>
        <w:t>工程变更</w:t>
      </w:r>
    </w:p>
    <w:p w14:paraId="23DCAF42">
      <w:pPr>
        <w:keepNext w:val="0"/>
        <w:keepLines w:val="0"/>
        <w:pageBreakBefore w:val="0"/>
        <w:kinsoku/>
        <w:wordWrap w:val="0"/>
        <w:overflowPunct/>
        <w:topLinePunct w:val="0"/>
        <w:bidi w:val="0"/>
        <w:spacing w:before="153" w:line="279" w:lineRule="auto"/>
        <w:ind w:left="19" w:right="84" w:rightChars="40" w:firstLine="46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"2.3.3.1"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2.3.3.1</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合同履行期间，因工程变更引起已标价工程量清单项目发生变化时，按照以下规定调整：</w:t>
      </w:r>
    </w:p>
    <w:p w14:paraId="187CDAE7">
      <w:pPr>
        <w:keepNext w:val="0"/>
        <w:keepLines w:val="0"/>
        <w:pageBreakBefore w:val="0"/>
        <w:numPr>
          <w:ilvl w:val="0"/>
          <w:numId w:val="4"/>
        </w:numPr>
        <w:kinsoku/>
        <w:wordWrap w:val="0"/>
        <w:overflowPunct/>
        <w:topLinePunct w:val="0"/>
        <w:bidi w:val="0"/>
        <w:spacing w:before="78" w:line="360" w:lineRule="auto"/>
        <w:ind w:right="84" w:rightChars="40" w:firstLine="240" w:firstLineChars="100"/>
        <w:rPr>
          <w:rFonts w:hint="eastAsia" w:ascii="宋体" w:hAnsi="宋体" w:eastAsia="宋体" w:cs="宋体"/>
          <w:b/>
          <w:bCs/>
          <w:color w:val="auto"/>
          <w:spacing w:val="0"/>
          <w:sz w:val="24"/>
          <w:szCs w:val="24"/>
          <w:highlight w:val="none"/>
        </w:rPr>
      </w:pPr>
      <w:r>
        <w:rPr>
          <w:rFonts w:hint="eastAsia" w:ascii="宋体" w:hAnsi="宋体" w:eastAsia="宋体" w:cs="宋体"/>
          <w:color w:val="auto"/>
          <w:spacing w:val="0"/>
          <w:sz w:val="24"/>
          <w:szCs w:val="24"/>
          <w:highlight w:val="none"/>
        </w:rPr>
        <w:t>已标价工程量清单中有适用于变更工程项目的，采用该项目的单价。</w:t>
      </w:r>
      <w:r>
        <w:rPr>
          <w:rFonts w:hint="eastAsia" w:ascii="宋体" w:hAnsi="宋体" w:eastAsia="宋体" w:cs="宋体"/>
          <w:b/>
          <w:bCs/>
          <w:color w:val="auto"/>
          <w:spacing w:val="0"/>
          <w:sz w:val="24"/>
          <w:szCs w:val="24"/>
          <w:highlight w:val="none"/>
        </w:rPr>
        <w:t>但如果</w:t>
      </w:r>
      <w:bookmarkStart w:id="177" w:name="bookmark143"/>
      <w:bookmarkEnd w:id="177"/>
      <w:r>
        <w:rPr>
          <w:rFonts w:hint="eastAsia" w:ascii="宋体" w:hAnsi="宋体" w:eastAsia="宋体" w:cs="宋体"/>
          <w:b/>
          <w:bCs/>
          <w:color w:val="auto"/>
          <w:spacing w:val="0"/>
          <w:sz w:val="24"/>
          <w:szCs w:val="24"/>
          <w:highlight w:val="none"/>
        </w:rPr>
        <w:t>被采用的项目属于按照第二章“中标人须知</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”第</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4.2 条被认定为不平衡报价的清单项目，变更工程项目的单价按照本章 2.3.2.1 的方法调整。】</w:t>
      </w:r>
    </w:p>
    <w:p w14:paraId="7205A22D">
      <w:pPr>
        <w:keepNext w:val="0"/>
        <w:keepLines w:val="0"/>
        <w:pageBreakBefore w:val="0"/>
        <w:numPr>
          <w:ilvl w:val="0"/>
          <w:numId w:val="0"/>
        </w:numPr>
        <w:kinsoku/>
        <w:wordWrap w:val="0"/>
        <w:overflowPunct/>
        <w:topLinePunct w:val="0"/>
        <w:bidi w:val="0"/>
        <w:spacing w:before="78" w:line="360" w:lineRule="auto"/>
        <w:ind w:right="84" w:rightChars="40" w:firstLine="241" w:firstLineChars="1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color w:val="auto"/>
          <w:spacing w:val="0"/>
          <w:sz w:val="24"/>
          <w:szCs w:val="24"/>
          <w:highlight w:val="none"/>
        </w:rPr>
        <w:t>已标价工程量清单中没有适用但有类似于变更工程项目的，可在合理范围内参照类似项目的单价。</w:t>
      </w:r>
      <w:r>
        <w:rPr>
          <w:rFonts w:hint="eastAsia" w:ascii="宋体" w:hAnsi="宋体" w:eastAsia="宋体" w:cs="宋体"/>
          <w:b/>
          <w:bCs/>
          <w:color w:val="auto"/>
          <w:spacing w:val="0"/>
          <w:sz w:val="24"/>
          <w:szCs w:val="24"/>
          <w:highlight w:val="none"/>
        </w:rPr>
        <w:t>但如果被参考的类似项目属于按照第二章“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中标人须知</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”第</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4.2条被认定为不平衡报价的清单项目，变更工程项目的单价按照本章2.3.2.1 的方法调整。</w:t>
      </w:r>
    </w:p>
    <w:p w14:paraId="314A12AB">
      <w:pPr>
        <w:keepNext w:val="0"/>
        <w:keepLines w:val="0"/>
        <w:pageBreakBefore w:val="0"/>
        <w:numPr>
          <w:ilvl w:val="0"/>
          <w:numId w:val="0"/>
        </w:numPr>
        <w:kinsoku/>
        <w:wordWrap w:val="0"/>
        <w:overflowPunct/>
        <w:topLinePunct w:val="0"/>
        <w:bidi w:val="0"/>
        <w:spacing w:before="38" w:line="310" w:lineRule="auto"/>
        <w:ind w:right="84" w:rightChars="40" w:firstLine="240" w:firstLineChars="1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3BB23C34">
      <w:pPr>
        <w:keepNext w:val="0"/>
        <w:keepLines w:val="0"/>
        <w:pageBreakBefore w:val="0"/>
        <w:kinsoku/>
        <w:wordWrap w:val="0"/>
        <w:overflowPunct/>
        <w:topLinePunct w:val="0"/>
        <w:bidi w:val="0"/>
        <w:spacing w:before="126" w:line="314" w:lineRule="auto"/>
        <w:ind w:left="29" w:right="84" w:rightChars="40" w:firstLine="50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中标下浮率=[1-（中标价-中标</w:t>
      </w:r>
      <w:r>
        <w:rPr>
          <w:rFonts w:hint="eastAsia" w:ascii="宋体" w:hAnsi="宋体" w:eastAsia="宋体" w:cs="宋体"/>
          <w:b/>
          <w:bCs/>
          <w:color w:val="auto"/>
          <w:spacing w:val="0"/>
          <w:sz w:val="24"/>
          <w:szCs w:val="24"/>
          <w:highlight w:val="none"/>
          <w:lang w:eastAsia="zh-CN"/>
        </w:rPr>
        <w:t>安全生产措施费</w:t>
      </w:r>
      <w:r>
        <w:rPr>
          <w:rFonts w:hint="eastAsia" w:ascii="宋体" w:hAnsi="宋体" w:eastAsia="宋体" w:cs="宋体"/>
          <w:b/>
          <w:bCs/>
          <w:color w:val="auto"/>
          <w:spacing w:val="0"/>
          <w:sz w:val="24"/>
          <w:szCs w:val="24"/>
          <w:highlight w:val="none"/>
        </w:rPr>
        <w:t>-暂列金额-暂估价）/（</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lang w:eastAsia="zh-CN"/>
        </w:rPr>
        <w:t>安全生产措施费</w:t>
      </w:r>
      <w:r>
        <w:rPr>
          <w:rFonts w:hint="eastAsia" w:ascii="宋体" w:hAnsi="宋体" w:eastAsia="宋体" w:cs="宋体"/>
          <w:b/>
          <w:bCs/>
          <w:color w:val="auto"/>
          <w:spacing w:val="0"/>
          <w:sz w:val="24"/>
          <w:szCs w:val="24"/>
          <w:highlight w:val="none"/>
        </w:rPr>
        <w:t>-暂列金额-暂估价）]</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×100%</w:t>
      </w:r>
    </w:p>
    <w:p w14:paraId="132C32ED">
      <w:pPr>
        <w:keepNext w:val="0"/>
        <w:keepLines w:val="0"/>
        <w:pageBreakBefore w:val="0"/>
        <w:kinsoku/>
        <w:wordWrap w:val="0"/>
        <w:overflowPunct/>
        <w:topLinePunct w:val="0"/>
        <w:bidi w:val="0"/>
        <w:spacing w:before="145" w:line="309" w:lineRule="auto"/>
        <w:ind w:right="84" w:rightChars="40" w:firstLine="240" w:firstLineChars="100"/>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4</w:t>
      </w:r>
      <w:r>
        <w:rPr>
          <w:rFonts w:hint="eastAsia" w:ascii="宋体" w:hAnsi="宋体" w:eastAsia="宋体" w:cs="宋体"/>
          <w:color w:val="auto"/>
          <w:spacing w:val="0"/>
          <w:sz w:val="24"/>
          <w:szCs w:val="24"/>
          <w:highlight w:val="none"/>
          <w:lang w:eastAsia="zh-CN"/>
        </w:rPr>
        <w:t>）</w:t>
      </w:r>
      <w:r>
        <w:rPr>
          <w:rFonts w:hint="eastAsia" w:ascii="宋体" w:hAnsi="宋体" w:eastAsia="宋体" w:cs="宋体"/>
          <w:snapToGrid w:val="0"/>
          <w:color w:val="auto"/>
          <w:spacing w:val="0"/>
          <w:kern w:val="0"/>
          <w:sz w:val="24"/>
          <w:szCs w:val="24"/>
          <w:highlight w:val="none"/>
          <w:lang w:eastAsia="zh-CN"/>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7485EB42">
      <w:pPr>
        <w:keepNext w:val="0"/>
        <w:keepLines w:val="0"/>
        <w:pageBreakBefore w:val="0"/>
        <w:kinsoku/>
        <w:wordWrap w:val="0"/>
        <w:overflowPunct/>
        <w:topLinePunct w:val="0"/>
        <w:bidi w:val="0"/>
        <w:spacing w:before="156" w:line="309" w:lineRule="auto"/>
        <w:ind w:left="7"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"2.3.3.2"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2.3.3.2</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48DB76F2">
      <w:pPr>
        <w:keepNext w:val="0"/>
        <w:keepLines w:val="0"/>
        <w:pageBreakBefore w:val="0"/>
        <w:kinsoku/>
        <w:wordWrap w:val="0"/>
        <w:overflowPunct/>
        <w:topLinePunct w:val="0"/>
        <w:bidi w:val="0"/>
        <w:spacing w:before="152" w:line="220" w:lineRule="auto"/>
        <w:ind w:left="499"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应按照实际发生变化的措施项目计算。</w:t>
      </w:r>
    </w:p>
    <w:p w14:paraId="3430AEEE">
      <w:pPr>
        <w:keepNext w:val="0"/>
        <w:keepLines w:val="0"/>
        <w:pageBreakBefore w:val="0"/>
        <w:kinsoku/>
        <w:wordWrap w:val="0"/>
        <w:overflowPunct/>
        <w:topLinePunct w:val="0"/>
        <w:bidi w:val="0"/>
        <w:spacing w:before="156" w:line="309" w:lineRule="auto"/>
        <w:ind w:left="7"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（2）采用单价计算的措施项目费，应按照实际发生变化的措施项目，按本章第 </w:t>
      </w:r>
      <w:r>
        <w:rPr>
          <w:rFonts w:hint="eastAsia" w:ascii="宋体" w:hAnsi="宋体" w:eastAsia="宋体" w:cs="宋体"/>
          <w:b/>
          <w:bCs/>
          <w:color w:val="auto"/>
          <w:spacing w:val="0"/>
          <w:sz w:val="24"/>
          <w:szCs w:val="24"/>
          <w:highlight w:val="none"/>
        </w:rPr>
        <w:t xml:space="preserve">2.3.3.1 </w:t>
      </w:r>
      <w:r>
        <w:rPr>
          <w:rFonts w:hint="eastAsia" w:ascii="宋体" w:hAnsi="宋体" w:eastAsia="宋体" w:cs="宋体"/>
          <w:color w:val="auto"/>
          <w:spacing w:val="0"/>
          <w:sz w:val="24"/>
          <w:szCs w:val="24"/>
          <w:highlight w:val="none"/>
        </w:rPr>
        <w:t>子目的规定确定单价。</w:t>
      </w:r>
    </w:p>
    <w:p w14:paraId="49A98A6F">
      <w:pPr>
        <w:keepNext w:val="0"/>
        <w:keepLines w:val="0"/>
        <w:pageBreakBefore w:val="0"/>
        <w:kinsoku/>
        <w:wordWrap w:val="0"/>
        <w:overflowPunct/>
        <w:topLinePunct w:val="0"/>
        <w:bidi w:val="0"/>
        <w:spacing w:before="154" w:line="360" w:lineRule="auto"/>
        <w:ind w:left="8" w:right="84" w:rightChars="40"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（3）按总价或系数计算的措施项目费，应按照实际发生变化的措施项目费调整并考虑中标下浮率因素，即调整金额＝按照实际变化调整后的金额×（1-中标下浮率）。</w:t>
      </w:r>
    </w:p>
    <w:p w14:paraId="78BE891C">
      <w:pPr>
        <w:keepNext w:val="0"/>
        <w:keepLines w:val="0"/>
        <w:pageBreakBefore w:val="0"/>
        <w:kinsoku/>
        <w:wordWrap w:val="0"/>
        <w:overflowPunct/>
        <w:topLinePunct w:val="0"/>
        <w:bidi w:val="0"/>
        <w:spacing w:before="157" w:line="324" w:lineRule="auto"/>
        <w:ind w:left="21" w:right="84" w:rightChars="40" w:firstLine="47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如果承包人未事先将拟实施的方案提交发包人确认，视为工程变更不引起措施项目费的调整或承包人放弃调整措施项目费的权利。</w:t>
      </w:r>
    </w:p>
    <w:p w14:paraId="2ECDD016">
      <w:pPr>
        <w:keepNext w:val="0"/>
        <w:keepLines w:val="0"/>
        <w:pageBreakBefore w:val="0"/>
        <w:kinsoku/>
        <w:wordWrap w:val="0"/>
        <w:overflowPunct/>
        <w:topLinePunct w:val="0"/>
        <w:bidi w:val="0"/>
        <w:spacing w:before="35" w:line="309" w:lineRule="auto"/>
        <w:ind w:right="84" w:rightChars="40" w:firstLine="42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"2.3.3.3"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2.3.3.3</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4E492982">
      <w:pPr>
        <w:keepNext w:val="0"/>
        <w:keepLines w:val="0"/>
        <w:pageBreakBefore w:val="0"/>
        <w:kinsoku/>
        <w:wordWrap w:val="0"/>
        <w:overflowPunct/>
        <w:topLinePunct w:val="0"/>
        <w:bidi w:val="0"/>
        <w:spacing w:before="155" w:line="220" w:lineRule="auto"/>
        <w:ind w:left="484"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2.3.4  </w:t>
      </w:r>
      <w:r>
        <w:rPr>
          <w:rFonts w:hint="eastAsia" w:ascii="宋体" w:hAnsi="宋体" w:eastAsia="宋体" w:cs="宋体"/>
          <w:color w:val="auto"/>
          <w:spacing w:val="0"/>
          <w:sz w:val="24"/>
          <w:szCs w:val="24"/>
          <w:highlight w:val="none"/>
        </w:rPr>
        <w:t>项目特征不符</w:t>
      </w:r>
    </w:p>
    <w:p w14:paraId="7DBF02D2">
      <w:pPr>
        <w:keepNext w:val="0"/>
        <w:keepLines w:val="0"/>
        <w:pageBreakBefore w:val="0"/>
        <w:kinsoku/>
        <w:wordWrap w:val="0"/>
        <w:overflowPunct/>
        <w:topLinePunct w:val="0"/>
        <w:bidi w:val="0"/>
        <w:spacing w:before="78" w:line="331" w:lineRule="auto"/>
        <w:ind w:left="8" w:right="84" w:rightChars="40" w:firstLine="480"/>
        <w:jc w:val="both"/>
        <w:rPr>
          <w:rFonts w:hint="eastAsia" w:ascii="宋体" w:hAnsi="宋体" w:eastAsia="宋体" w:cs="宋体"/>
          <w:color w:val="auto"/>
          <w:spacing w:val="0"/>
          <w:sz w:val="24"/>
          <w:szCs w:val="24"/>
          <w:highlight w:val="none"/>
        </w:rPr>
      </w:pPr>
      <w:bookmarkStart w:id="178" w:name="bookmark144"/>
      <w:bookmarkEnd w:id="178"/>
      <w:r>
        <w:rPr>
          <w:rFonts w:hint="eastAsia" w:ascii="宋体" w:hAnsi="宋体" w:eastAsia="宋体" w:cs="宋体"/>
          <w:color w:val="auto"/>
          <w:spacing w:val="0"/>
          <w:sz w:val="24"/>
          <w:szCs w:val="24"/>
          <w:highlight w:val="none"/>
        </w:rPr>
        <w:t xml:space="preserve">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 </w:t>
      </w:r>
      <w:r>
        <w:rPr>
          <w:rFonts w:hint="eastAsia" w:ascii="宋体" w:hAnsi="宋体" w:eastAsia="宋体" w:cs="宋体"/>
          <w:b/>
          <w:bCs/>
          <w:color w:val="auto"/>
          <w:spacing w:val="0"/>
          <w:sz w:val="24"/>
          <w:szCs w:val="24"/>
          <w:highlight w:val="none"/>
        </w:rPr>
        <w:t xml:space="preserve">2.3.3 </w:t>
      </w:r>
      <w:r>
        <w:rPr>
          <w:rFonts w:hint="eastAsia" w:ascii="宋体" w:hAnsi="宋体" w:eastAsia="宋体" w:cs="宋体"/>
          <w:color w:val="auto"/>
          <w:spacing w:val="0"/>
          <w:sz w:val="24"/>
          <w:szCs w:val="24"/>
          <w:highlight w:val="none"/>
        </w:rPr>
        <w:t>目相关条款的规定重新确定相应工程量清单项目的综合单价，并调整合同价款。</w:t>
      </w:r>
    </w:p>
    <w:p w14:paraId="197538B0">
      <w:pPr>
        <w:keepNext w:val="0"/>
        <w:keepLines w:val="0"/>
        <w:pageBreakBefore w:val="0"/>
        <w:kinsoku/>
        <w:wordWrap w:val="0"/>
        <w:overflowPunct/>
        <w:topLinePunct w:val="0"/>
        <w:bidi w:val="0"/>
        <w:spacing w:before="38" w:line="221" w:lineRule="auto"/>
        <w:ind w:left="485"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2.3.5  </w:t>
      </w:r>
      <w:r>
        <w:rPr>
          <w:rFonts w:hint="eastAsia" w:ascii="宋体" w:hAnsi="宋体" w:eastAsia="宋体" w:cs="宋体"/>
          <w:color w:val="auto"/>
          <w:spacing w:val="0"/>
          <w:sz w:val="24"/>
          <w:szCs w:val="24"/>
          <w:highlight w:val="none"/>
        </w:rPr>
        <w:t>招标工程量清单缺项</w:t>
      </w:r>
    </w:p>
    <w:p w14:paraId="5867B021">
      <w:pPr>
        <w:keepNext w:val="0"/>
        <w:keepLines w:val="0"/>
        <w:pageBreakBefore w:val="0"/>
        <w:widowControl/>
        <w:kinsoku/>
        <w:wordWrap w:val="0"/>
        <w:overflowPunct/>
        <w:topLinePunct w:val="0"/>
        <w:autoSpaceDE w:val="0"/>
        <w:autoSpaceDN w:val="0"/>
        <w:bidi w:val="0"/>
        <w:adjustRightInd w:val="0"/>
        <w:snapToGrid w:val="0"/>
        <w:spacing w:before="152" w:line="25" w:lineRule="atLeast"/>
        <w:ind w:left="9" w:right="84" w:rightChars="40" w:firstLine="476"/>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"2.3.5.1"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2.3.5.1</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 xml:space="preserve">合同履行期间，由于招标工程量清单中缺项，新增分部分项工程清单项目，应按照本章第 </w:t>
      </w:r>
      <w:r>
        <w:rPr>
          <w:rFonts w:hint="eastAsia" w:ascii="宋体" w:hAnsi="宋体" w:eastAsia="宋体" w:cs="宋体"/>
          <w:b/>
          <w:bCs/>
          <w:color w:val="auto"/>
          <w:spacing w:val="0"/>
          <w:sz w:val="24"/>
          <w:szCs w:val="24"/>
          <w:highlight w:val="none"/>
        </w:rPr>
        <w:t xml:space="preserve">2.3.3.1 </w:t>
      </w:r>
      <w:r>
        <w:rPr>
          <w:rFonts w:hint="eastAsia" w:ascii="宋体" w:hAnsi="宋体" w:eastAsia="宋体" w:cs="宋体"/>
          <w:color w:val="auto"/>
          <w:spacing w:val="0"/>
          <w:sz w:val="24"/>
          <w:szCs w:val="24"/>
          <w:highlight w:val="none"/>
        </w:rPr>
        <w:t>子目的规定确定单价，并调整合同价款。</w:t>
      </w:r>
    </w:p>
    <w:p w14:paraId="789762A4">
      <w:pPr>
        <w:keepNext w:val="0"/>
        <w:keepLines w:val="0"/>
        <w:pageBreakBefore w:val="0"/>
        <w:widowControl/>
        <w:kinsoku/>
        <w:wordWrap w:val="0"/>
        <w:overflowPunct/>
        <w:topLinePunct w:val="0"/>
        <w:autoSpaceDE w:val="0"/>
        <w:autoSpaceDN w:val="0"/>
        <w:bidi w:val="0"/>
        <w:adjustRightInd w:val="0"/>
        <w:snapToGrid w:val="0"/>
        <w:spacing w:before="157" w:line="25" w:lineRule="atLeast"/>
        <w:ind w:right="84" w:rightChars="40" w:firstLine="42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"2.3.5.2"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2.3.5.2</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 xml:space="preserve">新增分部分项工程清单项目后，引起措施项目发生变化的，应按照本章第 </w:t>
      </w:r>
      <w:r>
        <w:rPr>
          <w:rFonts w:hint="eastAsia" w:ascii="宋体" w:hAnsi="宋体" w:eastAsia="宋体" w:cs="宋体"/>
          <w:b/>
          <w:bCs/>
          <w:color w:val="auto"/>
          <w:spacing w:val="0"/>
          <w:sz w:val="24"/>
          <w:szCs w:val="24"/>
          <w:highlight w:val="none"/>
        </w:rPr>
        <w:t xml:space="preserve">2.3.3.2 </w:t>
      </w:r>
      <w:r>
        <w:rPr>
          <w:rFonts w:hint="eastAsia" w:ascii="宋体" w:hAnsi="宋体" w:eastAsia="宋体" w:cs="宋体"/>
          <w:color w:val="auto"/>
          <w:spacing w:val="0"/>
          <w:sz w:val="24"/>
          <w:szCs w:val="24"/>
          <w:highlight w:val="none"/>
        </w:rPr>
        <w:t>子目的规定，在承包人提交的实施方案被发包人批准后调整合同价款。</w:t>
      </w:r>
    </w:p>
    <w:p w14:paraId="64483C48">
      <w:pPr>
        <w:keepNext w:val="0"/>
        <w:keepLines w:val="0"/>
        <w:pageBreakBefore w:val="0"/>
        <w:widowControl/>
        <w:kinsoku/>
        <w:wordWrap w:val="0"/>
        <w:overflowPunct/>
        <w:topLinePunct w:val="0"/>
        <w:autoSpaceDE w:val="0"/>
        <w:autoSpaceDN w:val="0"/>
        <w:bidi w:val="0"/>
        <w:adjustRightInd w:val="0"/>
        <w:snapToGrid w:val="0"/>
        <w:spacing w:before="156" w:line="300" w:lineRule="auto"/>
        <w:ind w:left="11" w:right="84" w:rightChars="40" w:firstLine="471"/>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"2.3.5.3"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2.3.5.3</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 xml:space="preserve">由于招标工程量清单中措施项目缺项，承包人应将新增措施项目实施方案提交发包人批准后，按照本章第 </w:t>
      </w:r>
      <w:r>
        <w:rPr>
          <w:rFonts w:hint="eastAsia" w:ascii="宋体" w:hAnsi="宋体" w:eastAsia="宋体" w:cs="宋体"/>
          <w:b/>
          <w:bCs/>
          <w:color w:val="auto"/>
          <w:spacing w:val="0"/>
          <w:sz w:val="24"/>
          <w:szCs w:val="24"/>
          <w:highlight w:val="none"/>
        </w:rPr>
        <w:t xml:space="preserve">2.3.3.1 </w:t>
      </w:r>
      <w:r>
        <w:rPr>
          <w:rFonts w:hint="eastAsia" w:ascii="宋体" w:hAnsi="宋体" w:eastAsia="宋体" w:cs="宋体"/>
          <w:color w:val="auto"/>
          <w:spacing w:val="0"/>
          <w:sz w:val="24"/>
          <w:szCs w:val="24"/>
          <w:highlight w:val="none"/>
        </w:rPr>
        <w:t xml:space="preserve">子目、第 </w:t>
      </w:r>
      <w:r>
        <w:rPr>
          <w:rFonts w:hint="eastAsia" w:ascii="宋体" w:hAnsi="宋体" w:eastAsia="宋体" w:cs="宋体"/>
          <w:b/>
          <w:bCs/>
          <w:color w:val="auto"/>
          <w:spacing w:val="0"/>
          <w:sz w:val="24"/>
          <w:szCs w:val="24"/>
          <w:highlight w:val="none"/>
        </w:rPr>
        <w:t xml:space="preserve">2.3.3.2 </w:t>
      </w:r>
      <w:r>
        <w:rPr>
          <w:rFonts w:hint="eastAsia" w:ascii="宋体" w:hAnsi="宋体" w:eastAsia="宋体" w:cs="宋体"/>
          <w:color w:val="auto"/>
          <w:spacing w:val="0"/>
          <w:sz w:val="24"/>
          <w:szCs w:val="24"/>
          <w:highlight w:val="none"/>
        </w:rPr>
        <w:t>子目的规定调整合同价款。</w:t>
      </w:r>
    </w:p>
    <w:p w14:paraId="08FB5658">
      <w:pPr>
        <w:keepNext w:val="0"/>
        <w:keepLines w:val="0"/>
        <w:pageBreakBefore w:val="0"/>
        <w:kinsoku/>
        <w:wordWrap w:val="0"/>
        <w:overflowPunct/>
        <w:topLinePunct w:val="0"/>
        <w:bidi w:val="0"/>
        <w:spacing w:before="154" w:line="219" w:lineRule="auto"/>
        <w:ind w:left="485"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2.3.6  </w:t>
      </w:r>
      <w:r>
        <w:rPr>
          <w:rFonts w:hint="eastAsia" w:ascii="宋体" w:hAnsi="宋体" w:eastAsia="宋体" w:cs="宋体"/>
          <w:color w:val="auto"/>
          <w:spacing w:val="0"/>
          <w:sz w:val="24"/>
          <w:szCs w:val="24"/>
          <w:highlight w:val="none"/>
        </w:rPr>
        <w:t>物价变化</w:t>
      </w:r>
    </w:p>
    <w:p w14:paraId="7D525C3E">
      <w:pPr>
        <w:keepNext w:val="0"/>
        <w:keepLines w:val="0"/>
        <w:pageBreakBefore w:val="0"/>
        <w:kinsoku/>
        <w:wordWrap w:val="0"/>
        <w:overflowPunct/>
        <w:topLinePunct w:val="0"/>
        <w:bidi w:val="0"/>
        <w:spacing w:before="156" w:line="315" w:lineRule="auto"/>
        <w:ind w:left="8"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"2.3.6.1"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2.3.6.1</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合同履行期间，项目所在地工程造价管理机构发布的动态人工调整系数发生变化时，如果承包人投标报价中人工费（以下简称“ 中标人工费 ”）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6A69C7F8">
      <w:pPr>
        <w:keepNext w:val="0"/>
        <w:keepLines w:val="0"/>
        <w:pageBreakBefore w:val="0"/>
        <w:kinsoku/>
        <w:wordWrap w:val="0"/>
        <w:overflowPunct/>
        <w:topLinePunct w:val="0"/>
        <w:bidi w:val="0"/>
        <w:spacing w:before="153" w:line="220" w:lineRule="auto"/>
        <w:ind w:left="494" w:right="84" w:rightChars="4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24"/>
          <w:szCs w:val="24"/>
          <w:highlight w:val="none"/>
        </w:rPr>
        <w:t>结算人工费＝中标人工费×F</w:t>
      </w:r>
      <w:r>
        <w:rPr>
          <w:rFonts w:hint="eastAsia" w:ascii="宋体" w:hAnsi="宋体" w:eastAsia="宋体" w:cs="宋体"/>
          <w:color w:val="auto"/>
          <w:spacing w:val="0"/>
          <w:position w:val="-1"/>
          <w:sz w:val="15"/>
          <w:szCs w:val="15"/>
          <w:highlight w:val="none"/>
        </w:rPr>
        <w:t>1</w:t>
      </w:r>
    </w:p>
    <w:p w14:paraId="381BBD03">
      <w:pPr>
        <w:keepNext w:val="0"/>
        <w:keepLines w:val="0"/>
        <w:pageBreakBefore w:val="0"/>
        <w:kinsoku/>
        <w:wordWrap w:val="0"/>
        <w:overflowPunct/>
        <w:topLinePunct w:val="0"/>
        <w:bidi w:val="0"/>
        <w:spacing w:before="152" w:line="219" w:lineRule="auto"/>
        <w:ind w:left="493"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式中，F</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w w:val="101"/>
          <w:position w:val="-1"/>
          <w:sz w:val="15"/>
          <w:szCs w:val="15"/>
          <w:highlight w:val="none"/>
        </w:rPr>
        <w:t xml:space="preserve"> </w:t>
      </w:r>
      <w:r>
        <w:rPr>
          <w:rFonts w:hint="eastAsia" w:ascii="宋体" w:hAnsi="宋体" w:eastAsia="宋体" w:cs="宋体"/>
          <w:color w:val="auto"/>
          <w:spacing w:val="0"/>
          <w:sz w:val="24"/>
          <w:szCs w:val="24"/>
          <w:highlight w:val="none"/>
        </w:rPr>
        <w:t>为施工当月项目所在地工程造价管理机构发布的动态人工调整系数。</w:t>
      </w:r>
    </w:p>
    <w:p w14:paraId="4F9CF534">
      <w:pPr>
        <w:keepNext w:val="0"/>
        <w:keepLines w:val="0"/>
        <w:pageBreakBefore w:val="0"/>
        <w:kinsoku/>
        <w:wordWrap w:val="0"/>
        <w:overflowPunct/>
        <w:topLinePunct w:val="0"/>
        <w:bidi w:val="0"/>
        <w:spacing w:before="119" w:line="324" w:lineRule="auto"/>
        <w:ind w:left="1" w:right="84" w:rightChars="40" w:firstLine="48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fldChar w:fldCharType="begin"/>
      </w:r>
      <w:r>
        <w:rPr>
          <w:rFonts w:hint="eastAsia" w:ascii="宋体" w:hAnsi="宋体" w:eastAsia="宋体" w:cs="宋体"/>
          <w:b/>
          <w:bCs/>
          <w:color w:val="auto"/>
          <w:spacing w:val="0"/>
          <w:sz w:val="24"/>
          <w:szCs w:val="24"/>
          <w:highlight w:val="none"/>
        </w:rPr>
        <w:instrText xml:space="preserve"> HYPERLINK "2.3.6.2" </w:instrText>
      </w:r>
      <w:r>
        <w:rPr>
          <w:rFonts w:hint="eastAsia" w:ascii="宋体" w:hAnsi="宋体" w:eastAsia="宋体" w:cs="宋体"/>
          <w:b/>
          <w:bCs/>
          <w:color w:val="auto"/>
          <w:spacing w:val="0"/>
          <w:sz w:val="24"/>
          <w:szCs w:val="24"/>
          <w:highlight w:val="none"/>
        </w:rPr>
        <w:fldChar w:fldCharType="separate"/>
      </w:r>
      <w:r>
        <w:rPr>
          <w:rFonts w:hint="eastAsia" w:ascii="宋体" w:hAnsi="宋体" w:eastAsia="宋体" w:cs="宋体"/>
          <w:b/>
          <w:bCs/>
          <w:color w:val="auto"/>
          <w:spacing w:val="0"/>
          <w:sz w:val="24"/>
          <w:szCs w:val="24"/>
          <w:highlight w:val="none"/>
        </w:rPr>
        <w:t>2.3.6.2</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本招标项目约定，材料、工程设备单价涨跌风险幅度值 A 为</w:t>
      </w:r>
      <w:r>
        <w:rPr>
          <w:rFonts w:hint="eastAsia" w:ascii="宋体" w:hAnsi="宋体" w:eastAsia="宋体" w:cs="宋体"/>
          <w:color w:val="auto"/>
          <w:spacing w:val="0"/>
          <w:sz w:val="24"/>
          <w:szCs w:val="24"/>
          <w:highlight w:val="none"/>
          <w:u w:val="single"/>
        </w:rPr>
        <w:t xml:space="preserve">  5%  </w:t>
      </w:r>
      <w:r>
        <w:rPr>
          <w:rFonts w:hint="eastAsia" w:ascii="宋体" w:hAnsi="宋体" w:eastAsia="宋体" w:cs="宋体"/>
          <w:color w:val="auto"/>
          <w:spacing w:val="0"/>
          <w:sz w:val="24"/>
          <w:szCs w:val="24"/>
          <w:highlight w:val="none"/>
        </w:rPr>
        <w:t>。合同履行期间，当《承包人提供主要材料和工程设备一览表》（详见招标工程量清单）中的材料、工程设备单价涨跌幅度等于或低于 A 值时，该材料、工程设备单价不予调整；超过A 值时，其超过部分可以调整。相关费用按有关规定进行相应调整。</w:t>
      </w:r>
    </w:p>
    <w:p w14:paraId="62EE16C1">
      <w:pPr>
        <w:keepNext w:val="0"/>
        <w:keepLines w:val="0"/>
        <w:pageBreakBefore w:val="0"/>
        <w:kinsoku/>
        <w:wordWrap w:val="0"/>
        <w:overflowPunct/>
        <w:topLinePunct w:val="0"/>
        <w:bidi w:val="0"/>
        <w:spacing w:before="126" w:line="295" w:lineRule="auto"/>
        <w:ind w:left="11" w:right="84" w:rightChars="40" w:firstLine="477"/>
        <w:jc w:val="both"/>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 w:val="24"/>
          <w:szCs w:val="24"/>
          <w:highlight w:val="none"/>
          <w:lang w:eastAsia="zh-CN"/>
        </w:rPr>
        <w:t>a ．如果承包人投标报价中材料、工程设备单价（以下简称“ 中标单价 ”）低于基准日当月项目所在地工程造价管理机构发布的对应材料、工程设备单价（以下简称“基准单价 ”），该材料、工程设备的结算单价调整公式为：</w:t>
      </w:r>
    </w:p>
    <w:p w14:paraId="15C1572F">
      <w:pPr>
        <w:keepNext w:val="0"/>
        <w:keepLines w:val="0"/>
        <w:pageBreakBefore w:val="0"/>
        <w:kinsoku/>
        <w:wordWrap w:val="0"/>
        <w:overflowPunct/>
        <w:topLinePunct w:val="0"/>
        <w:bidi w:val="0"/>
        <w:adjustRightInd w:val="0"/>
        <w:snapToGrid w:val="0"/>
        <w:spacing w:before="360" w:beforeLines="150" w:after="240" w:afterLines="100" w:line="440" w:lineRule="exact"/>
        <w:ind w:right="84" w:rightChars="40" w:firstLine="480"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涨价时，</w:t>
      </w:r>
      <w:r>
        <w:rPr>
          <w:rFonts w:hint="eastAsia" w:ascii="宋体" w:hAnsi="宋体" w:eastAsia="宋体" w:cs="宋体"/>
          <w:snapToGrid w:val="0"/>
          <w:color w:val="auto"/>
          <w:spacing w:val="0"/>
          <w:kern w:val="0"/>
          <w:position w:val="-30"/>
          <w:sz w:val="24"/>
          <w:szCs w:val="24"/>
          <w:highlight w:val="none"/>
        </w:rPr>
        <w:object>
          <v:shape id="_x0000_i1025" o:spt="75" type="#_x0000_t75" style="height:33.95pt;width:200.95pt;" o:ole="t" filled="f" o:preferrelative="t" stroked="f" coordsize="21600,21600">
            <v:path/>
            <v:fill on="f" focussize="0,0"/>
            <v:stroke on="f"/>
            <v:imagedata r:id="rId30" embosscolor="#FFFFFF" o:title=""/>
            <o:lock v:ext="edit" grouping="f" rotation="f" text="f" aspectratio="t"/>
            <w10:wrap type="none"/>
            <w10:anchorlock/>
          </v:shape>
          <o:OLEObject Type="Embed" ProgID="Equation.KSEE3" ShapeID="_x0000_i1025" DrawAspect="Content" ObjectID="_1468075725" r:id="rId29">
            <o:LockedField>false</o:LockedField>
          </o:OLEObject>
        </w:object>
      </w:r>
    </w:p>
    <w:p w14:paraId="5FEA2B94">
      <w:pPr>
        <w:keepNext w:val="0"/>
        <w:keepLines w:val="0"/>
        <w:pageBreakBefore w:val="0"/>
        <w:kinsoku/>
        <w:wordWrap w:val="0"/>
        <w:overflowPunct/>
        <w:topLinePunct w:val="0"/>
        <w:bidi w:val="0"/>
        <w:adjustRightInd w:val="0"/>
        <w:spacing w:before="360" w:beforeLines="150" w:after="240" w:afterLines="100" w:line="440" w:lineRule="exact"/>
        <w:ind w:right="84" w:rightChars="40" w:firstLine="480"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跌价时，</w:t>
      </w:r>
      <w:r>
        <w:rPr>
          <w:rFonts w:hint="eastAsia" w:ascii="宋体" w:hAnsi="宋体" w:eastAsia="宋体" w:cs="宋体"/>
          <w:snapToGrid w:val="0"/>
          <w:color w:val="auto"/>
          <w:spacing w:val="0"/>
          <w:kern w:val="0"/>
          <w:position w:val="-30"/>
          <w:sz w:val="24"/>
          <w:szCs w:val="24"/>
          <w:highlight w:val="none"/>
        </w:rPr>
        <w:object>
          <v:shape id="_x0000_i1026" o:spt="75" type="#_x0000_t75" style="height:33.95pt;width:198.95pt;" o:ole="t" filled="f" o:preferrelative="t" stroked="f" coordsize="21600,21600">
            <v:path/>
            <v:fill on="f" focussize="0,0"/>
            <v:stroke on="f"/>
            <v:imagedata r:id="rId32" embosscolor="#FFFFFF" o:title=""/>
            <o:lock v:ext="edit" grouping="f" rotation="f" text="f" aspectratio="t"/>
            <w10:wrap type="none"/>
            <w10:anchorlock/>
          </v:shape>
          <o:OLEObject Type="Embed" ProgID="Equation.KSEE3" ShapeID="_x0000_i1026" DrawAspect="Content" ObjectID="_1468075726" r:id="rId31">
            <o:LockedField>false</o:LockedField>
          </o:OLEObject>
        </w:object>
      </w:r>
    </w:p>
    <w:p w14:paraId="67B1681F">
      <w:pPr>
        <w:keepNext w:val="0"/>
        <w:keepLines w:val="0"/>
        <w:pageBreakBefore w:val="0"/>
        <w:kinsoku/>
        <w:wordWrap w:val="0"/>
        <w:overflowPunct/>
        <w:topLinePunct w:val="0"/>
        <w:bidi w:val="0"/>
        <w:adjustRightInd w:val="0"/>
        <w:snapToGrid w:val="0"/>
        <w:spacing w:before="360" w:beforeLines="150" w:after="240" w:afterLines="100" w:line="440" w:lineRule="exact"/>
        <w:ind w:right="84" w:rightChars="40" w:firstLine="482" w:firstLineChars="2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lang w:eastAsia="zh-CN"/>
        </w:rPr>
        <w:t>b</w:t>
      </w:r>
      <w:r>
        <w:rPr>
          <w:rFonts w:hint="eastAsia" w:ascii="宋体" w:hAnsi="宋体" w:eastAsia="宋体" w:cs="宋体"/>
          <w:snapToGrid w:val="0"/>
          <w:color w:val="auto"/>
          <w:kern w:val="0"/>
          <w:sz w:val="24"/>
          <w:szCs w:val="24"/>
          <w:highlight w:val="none"/>
          <w:lang w:eastAsia="zh-CN"/>
        </w:rPr>
        <w:t>．如果中标单价高于基准单价，该材料、工程设备的结算单价调整公式为：</w:t>
      </w:r>
    </w:p>
    <w:p w14:paraId="75BCCAF3">
      <w:pPr>
        <w:keepNext w:val="0"/>
        <w:keepLines w:val="0"/>
        <w:pageBreakBefore w:val="0"/>
        <w:kinsoku/>
        <w:wordWrap w:val="0"/>
        <w:overflowPunct/>
        <w:topLinePunct w:val="0"/>
        <w:bidi w:val="0"/>
        <w:adjustRightInd w:val="0"/>
        <w:snapToGrid w:val="0"/>
        <w:spacing w:before="360" w:beforeLines="150" w:after="240" w:afterLines="100" w:line="440" w:lineRule="exact"/>
        <w:ind w:right="84" w:rightChars="40" w:firstLine="480"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涨价时，</w:t>
      </w:r>
      <w:r>
        <w:rPr>
          <w:rFonts w:hint="eastAsia" w:ascii="宋体" w:hAnsi="宋体" w:eastAsia="宋体" w:cs="宋体"/>
          <w:snapToGrid w:val="0"/>
          <w:color w:val="auto"/>
          <w:spacing w:val="0"/>
          <w:kern w:val="0"/>
          <w:position w:val="-30"/>
          <w:sz w:val="24"/>
          <w:szCs w:val="24"/>
          <w:highlight w:val="none"/>
        </w:rPr>
        <w:object>
          <v:shape id="_x0000_i1027" o:spt="75" type="#_x0000_t75" style="height:33.95pt;width:198.95pt;" o:ole="t" filled="f" o:preferrelative="t" stroked="f" coordsize="21600,21600">
            <v:path/>
            <v:fill on="f" focussize="0,0"/>
            <v:stroke on="f"/>
            <v:imagedata r:id="rId34" embosscolor="#FFFFFF" o:title=""/>
            <o:lock v:ext="edit" grouping="f" rotation="f" text="f" aspectratio="t"/>
            <w10:wrap type="none"/>
            <w10:anchorlock/>
          </v:shape>
          <o:OLEObject Type="Embed" ProgID="Equation.KSEE3" ShapeID="_x0000_i1027" DrawAspect="Content" ObjectID="_1468075727" r:id="rId33">
            <o:LockedField>false</o:LockedField>
          </o:OLEObject>
        </w:object>
      </w:r>
    </w:p>
    <w:p w14:paraId="416D8DFC">
      <w:pPr>
        <w:keepNext w:val="0"/>
        <w:keepLines w:val="0"/>
        <w:pageBreakBefore w:val="0"/>
        <w:kinsoku/>
        <w:wordWrap w:val="0"/>
        <w:overflowPunct/>
        <w:topLinePunct w:val="0"/>
        <w:bidi w:val="0"/>
        <w:adjustRightInd w:val="0"/>
        <w:spacing w:before="360" w:beforeLines="150" w:after="240" w:afterLines="100" w:line="440" w:lineRule="exact"/>
        <w:ind w:right="84" w:rightChars="40" w:firstLine="480"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跌价时，</w:t>
      </w:r>
      <w:r>
        <w:rPr>
          <w:rFonts w:hint="eastAsia" w:ascii="宋体" w:hAnsi="宋体" w:eastAsia="宋体" w:cs="宋体"/>
          <w:snapToGrid w:val="0"/>
          <w:color w:val="auto"/>
          <w:spacing w:val="0"/>
          <w:kern w:val="0"/>
          <w:position w:val="-30"/>
          <w:sz w:val="24"/>
          <w:szCs w:val="24"/>
          <w:highlight w:val="none"/>
        </w:rPr>
        <w:object>
          <v:shape id="_x0000_i1028" o:spt="75" type="#_x0000_t75" style="height:33.95pt;width:200.95pt;" o:ole="t" filled="f" o:preferrelative="t" stroked="f" coordsize="21600,21600">
            <v:path/>
            <v:fill on="f" focussize="0,0"/>
            <v:stroke on="f"/>
            <v:imagedata r:id="rId36" embosscolor="#FFFFFF" o:title=""/>
            <o:lock v:ext="edit" grouping="f" rotation="f" text="f" aspectratio="t"/>
            <w10:wrap type="none"/>
            <w10:anchorlock/>
          </v:shape>
          <o:OLEObject Type="Embed" ProgID="Equation.KSEE3" ShapeID="_x0000_i1028" DrawAspect="Content" ObjectID="_1468075728" r:id="rId35">
            <o:LockedField>false</o:LockedField>
          </o:OLEObject>
        </w:object>
      </w:r>
    </w:p>
    <w:p w14:paraId="06B55B00">
      <w:pPr>
        <w:keepNext w:val="0"/>
        <w:keepLines w:val="0"/>
        <w:pageBreakBefore w:val="0"/>
        <w:kinsoku/>
        <w:wordWrap w:val="0"/>
        <w:overflowPunct/>
        <w:topLinePunct w:val="0"/>
        <w:bidi w:val="0"/>
        <w:adjustRightInd w:val="0"/>
        <w:snapToGrid w:val="0"/>
        <w:spacing w:before="360" w:beforeLines="150" w:after="240" w:afterLines="100" w:line="440" w:lineRule="exact"/>
        <w:ind w:right="84" w:rightChars="40" w:firstLine="482"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b/>
          <w:bCs/>
          <w:snapToGrid w:val="0"/>
          <w:color w:val="auto"/>
          <w:kern w:val="0"/>
          <w:sz w:val="24"/>
          <w:szCs w:val="24"/>
          <w:highlight w:val="none"/>
          <w:lang w:eastAsia="zh-CN"/>
        </w:rPr>
        <w:t>c</w:t>
      </w:r>
      <w:r>
        <w:rPr>
          <w:rFonts w:hint="eastAsia" w:ascii="宋体" w:hAnsi="宋体" w:eastAsia="宋体" w:cs="宋体"/>
          <w:snapToGrid w:val="0"/>
          <w:color w:val="auto"/>
          <w:kern w:val="0"/>
          <w:sz w:val="24"/>
          <w:szCs w:val="24"/>
          <w:highlight w:val="none"/>
          <w:lang w:eastAsia="zh-CN"/>
        </w:rPr>
        <w:t>．如果中标单价等于基准单价，该材料、工程设备的结算单价调整公式为：</w:t>
      </w:r>
    </w:p>
    <w:p w14:paraId="4FFC8AE1">
      <w:pPr>
        <w:keepNext w:val="0"/>
        <w:keepLines w:val="0"/>
        <w:pageBreakBefore w:val="0"/>
        <w:kinsoku/>
        <w:wordWrap w:val="0"/>
        <w:overflowPunct/>
        <w:topLinePunct w:val="0"/>
        <w:bidi w:val="0"/>
        <w:adjustRightInd w:val="0"/>
        <w:snapToGrid w:val="0"/>
        <w:spacing w:before="360" w:beforeLines="150" w:after="240" w:afterLines="100" w:line="440" w:lineRule="exact"/>
        <w:ind w:right="84" w:rightChars="40" w:firstLine="480"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涨价时，</w:t>
      </w:r>
      <w:r>
        <w:rPr>
          <w:rFonts w:hint="eastAsia" w:ascii="宋体" w:hAnsi="宋体" w:eastAsia="宋体" w:cs="宋体"/>
          <w:snapToGrid w:val="0"/>
          <w:color w:val="auto"/>
          <w:spacing w:val="0"/>
          <w:kern w:val="0"/>
          <w:position w:val="-30"/>
          <w:sz w:val="24"/>
          <w:szCs w:val="24"/>
          <w:highlight w:val="none"/>
        </w:rPr>
        <w:object>
          <v:shape id="_x0000_i1029" o:spt="75" type="#_x0000_t75" style="height:33.95pt;width:200.95pt;" o:ole="t" filled="f" o:preferrelative="t" stroked="f" coordsize="21600,21600">
            <v:path/>
            <v:fill on="f" focussize="0,0"/>
            <v:stroke on="f"/>
            <v:imagedata r:id="rId38" embosscolor="#FFFFFF" o:title=""/>
            <o:lock v:ext="edit" grouping="f" rotation="f" text="f" aspectratio="t"/>
            <w10:wrap type="none"/>
            <w10:anchorlock/>
          </v:shape>
          <o:OLEObject Type="Embed" ProgID="Equation.KSEE3" ShapeID="_x0000_i1029" DrawAspect="Content" ObjectID="_1468075729" r:id="rId37">
            <o:LockedField>false</o:LockedField>
          </o:OLEObject>
        </w:object>
      </w:r>
    </w:p>
    <w:p w14:paraId="4903428A">
      <w:pPr>
        <w:keepNext w:val="0"/>
        <w:keepLines w:val="0"/>
        <w:pageBreakBefore w:val="0"/>
        <w:kinsoku/>
        <w:wordWrap w:val="0"/>
        <w:overflowPunct/>
        <w:topLinePunct w:val="0"/>
        <w:bidi w:val="0"/>
        <w:adjustRightInd w:val="0"/>
        <w:spacing w:before="360" w:beforeLines="150" w:after="240" w:afterLines="100" w:line="440" w:lineRule="exact"/>
        <w:ind w:right="84" w:rightChars="40" w:firstLine="480"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跌价时，</w:t>
      </w:r>
      <w:r>
        <w:rPr>
          <w:rFonts w:hint="eastAsia" w:ascii="宋体" w:hAnsi="宋体" w:eastAsia="宋体" w:cs="宋体"/>
          <w:snapToGrid w:val="0"/>
          <w:color w:val="auto"/>
          <w:spacing w:val="0"/>
          <w:kern w:val="0"/>
          <w:position w:val="-30"/>
          <w:sz w:val="24"/>
          <w:szCs w:val="24"/>
          <w:highlight w:val="none"/>
        </w:rPr>
        <w:object>
          <v:shape id="_x0000_i1030" o:spt="75" type="#_x0000_t75" style="height:33.95pt;width:200.95pt;" o:ole="t" filled="f" o:preferrelative="t" stroked="f" coordsize="21600,21600">
            <v:path/>
            <v:fill on="f" focussize="0,0"/>
            <v:stroke on="f"/>
            <v:imagedata r:id="rId40" embosscolor="#FFFFFF" o:title=""/>
            <o:lock v:ext="edit" grouping="f" rotation="f" text="f" aspectratio="t"/>
            <w10:wrap type="none"/>
            <w10:anchorlock/>
          </v:shape>
          <o:OLEObject Type="Embed" ProgID="Equation.KSEE3" ShapeID="_x0000_i1030" DrawAspect="Content" ObjectID="_1468075730" r:id="rId39">
            <o:LockedField>false</o:LockedField>
          </o:OLEObject>
        </w:object>
      </w:r>
    </w:p>
    <w:p w14:paraId="40B2A737">
      <w:pPr>
        <w:keepNext w:val="0"/>
        <w:keepLines w:val="0"/>
        <w:pageBreakBefore w:val="0"/>
        <w:kinsoku/>
        <w:wordWrap w:val="0"/>
        <w:overflowPunct/>
        <w:topLinePunct w:val="0"/>
        <w:bidi w:val="0"/>
        <w:spacing w:before="78"/>
        <w:ind w:left="330" w:right="84" w:rightChars="40"/>
        <w:rPr>
          <w:rFonts w:hint="eastAsia" w:ascii="宋体" w:hAnsi="宋体" w:eastAsia="宋体" w:cs="宋体"/>
          <w:color w:val="auto"/>
          <w:spacing w:val="0"/>
          <w:sz w:val="24"/>
          <w:szCs w:val="24"/>
          <w:highlight w:val="none"/>
        </w:rPr>
      </w:pPr>
    </w:p>
    <w:p w14:paraId="0EFBDC2C">
      <w:pPr>
        <w:keepNext w:val="0"/>
        <w:keepLines w:val="0"/>
        <w:pageBreakBefore w:val="0"/>
        <w:kinsoku/>
        <w:wordWrap w:val="0"/>
        <w:overflowPunct/>
        <w:topLinePunct w:val="0"/>
        <w:bidi w:val="0"/>
        <w:spacing w:before="78" w:line="330" w:lineRule="auto"/>
        <w:ind w:right="84" w:rightChars="40" w:firstLine="507"/>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以上公式中，F</w:t>
      </w:r>
      <w:r>
        <w:rPr>
          <w:rFonts w:hint="eastAsia" w:ascii="宋体" w:hAnsi="宋体" w:eastAsia="宋体" w:cs="宋体"/>
          <w:color w:val="auto"/>
          <w:spacing w:val="0"/>
          <w:position w:val="-1"/>
          <w:sz w:val="15"/>
          <w:szCs w:val="15"/>
          <w:highlight w:val="none"/>
        </w:rPr>
        <w:t xml:space="preserve">1 </w:t>
      </w:r>
      <w:r>
        <w:rPr>
          <w:rFonts w:hint="eastAsia" w:ascii="宋体" w:hAnsi="宋体" w:eastAsia="宋体" w:cs="宋体"/>
          <w:color w:val="auto"/>
          <w:spacing w:val="0"/>
          <w:sz w:val="24"/>
          <w:szCs w:val="24"/>
          <w:highlight w:val="none"/>
        </w:rPr>
        <w:t>为中标单价；F</w:t>
      </w:r>
      <w:r>
        <w:rPr>
          <w:rFonts w:hint="eastAsia" w:ascii="宋体" w:hAnsi="宋体" w:eastAsia="宋体" w:cs="宋体"/>
          <w:color w:val="auto"/>
          <w:spacing w:val="0"/>
          <w:position w:val="-1"/>
          <w:sz w:val="15"/>
          <w:szCs w:val="15"/>
          <w:highlight w:val="none"/>
        </w:rPr>
        <w:t>0</w:t>
      </w:r>
      <w:r>
        <w:rPr>
          <w:rFonts w:hint="eastAsia" w:ascii="宋体" w:hAnsi="宋体" w:eastAsia="宋体" w:cs="宋体"/>
          <w:color w:val="auto"/>
          <w:spacing w:val="0"/>
          <w:w w:val="101"/>
          <w:position w:val="-1"/>
          <w:sz w:val="15"/>
          <w:szCs w:val="15"/>
          <w:highlight w:val="none"/>
        </w:rPr>
        <w:t xml:space="preserve"> </w:t>
      </w:r>
      <w:r>
        <w:rPr>
          <w:rFonts w:hint="eastAsia" w:ascii="宋体" w:hAnsi="宋体" w:eastAsia="宋体" w:cs="宋体"/>
          <w:color w:val="auto"/>
          <w:spacing w:val="0"/>
          <w:sz w:val="24"/>
          <w:szCs w:val="24"/>
          <w:highlight w:val="none"/>
        </w:rPr>
        <w:t>为基准单价；F</w:t>
      </w:r>
      <w:r>
        <w:rPr>
          <w:rFonts w:hint="eastAsia" w:ascii="宋体" w:hAnsi="宋体" w:eastAsia="宋体" w:cs="宋体"/>
          <w:color w:val="auto"/>
          <w:spacing w:val="0"/>
          <w:position w:val="-1"/>
          <w:sz w:val="15"/>
          <w:szCs w:val="15"/>
          <w:highlight w:val="none"/>
        </w:rPr>
        <w:t xml:space="preserve">2 </w:t>
      </w:r>
      <w:r>
        <w:rPr>
          <w:rFonts w:hint="eastAsia" w:ascii="宋体" w:hAnsi="宋体" w:eastAsia="宋体" w:cs="宋体"/>
          <w:color w:val="auto"/>
          <w:spacing w:val="0"/>
          <w:sz w:val="24"/>
          <w:szCs w:val="24"/>
          <w:highlight w:val="none"/>
        </w:rPr>
        <w:t>为施工当月项目所在地工程造价管理机构发布的材料、工程设备单价；A 为合同约定的材料、工程设备单价涨跌风险幅度值。</w:t>
      </w:r>
    </w:p>
    <w:p w14:paraId="6F9801F9">
      <w:pPr>
        <w:keepNext w:val="0"/>
        <w:keepLines w:val="0"/>
        <w:pageBreakBefore w:val="0"/>
        <w:kinsoku/>
        <w:wordWrap w:val="0"/>
        <w:overflowPunct/>
        <w:topLinePunct w:val="0"/>
        <w:bidi w:val="0"/>
        <w:spacing w:before="33" w:line="299" w:lineRule="auto"/>
        <w:ind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"2.3.6.3"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2.3.6.3</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合同履行期间，当《发包人提供材料和工程设备一览表》（详见招标工程量清单）中的材料、工程设备单价发生变化时，由发包人按照实际变化调整，并列入合同价款。</w:t>
      </w:r>
    </w:p>
    <w:p w14:paraId="6F47D427">
      <w:pPr>
        <w:keepNext w:val="0"/>
        <w:keepLines w:val="0"/>
        <w:pageBreakBefore w:val="0"/>
        <w:kinsoku/>
        <w:wordWrap w:val="0"/>
        <w:overflowPunct/>
        <w:topLinePunct w:val="0"/>
        <w:bidi w:val="0"/>
        <w:spacing w:before="121" w:line="308" w:lineRule="auto"/>
        <w:ind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"2.3.6.4"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2.3.6.4</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本招标项目约定，施工机具台班单价涨跌风险幅度值 B 为</w:t>
      </w:r>
      <w:r>
        <w:rPr>
          <w:rFonts w:hint="eastAsia" w:ascii="宋体" w:hAnsi="宋体" w:eastAsia="宋体" w:cs="宋体"/>
          <w:color w:val="auto"/>
          <w:spacing w:val="0"/>
          <w:sz w:val="24"/>
          <w:szCs w:val="24"/>
          <w:highlight w:val="none"/>
          <w:u w:val="single"/>
        </w:rPr>
        <w:t xml:space="preserve">  10%  </w:t>
      </w:r>
      <w:r>
        <w:rPr>
          <w:rFonts w:hint="eastAsia" w:ascii="宋体" w:hAnsi="宋体" w:eastAsia="宋体" w:cs="宋体"/>
          <w:color w:val="auto"/>
          <w:spacing w:val="0"/>
          <w:sz w:val="24"/>
          <w:szCs w:val="24"/>
          <w:highlight w:val="none"/>
        </w:rPr>
        <w:t>。合同履行期间，当施工机具台班单价涨跌幅度等于或低于 B 值时，该施工机具台班单价不予调整；超过 B 值时，其超过部分可以调整。相关费用按有关规定进行相应调整。</w:t>
      </w:r>
    </w:p>
    <w:p w14:paraId="120353C6">
      <w:pPr>
        <w:keepNext w:val="0"/>
        <w:keepLines w:val="0"/>
        <w:pageBreakBefore w:val="0"/>
        <w:kinsoku/>
        <w:wordWrap w:val="0"/>
        <w:overflowPunct/>
        <w:topLinePunct w:val="0"/>
        <w:bidi w:val="0"/>
        <w:spacing w:before="153" w:line="278" w:lineRule="auto"/>
        <w:ind w:left="42" w:right="84" w:rightChars="40" w:firstLine="4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．如果承包人投标报价中施工机具台班单价（以下简称“ 中标单价 ”）低于基准日当月项目所在地工程造价管理机构发布的对应施工机具台班单价（以下简称“基准单价 ”），该施工机具台班的结算单价调整公式为：</w:t>
      </w:r>
    </w:p>
    <w:p w14:paraId="0DF11097">
      <w:pPr>
        <w:keepNext w:val="0"/>
        <w:keepLines w:val="0"/>
        <w:pageBreakBefore w:val="0"/>
        <w:kinsoku/>
        <w:wordWrap w:val="0"/>
        <w:overflowPunct/>
        <w:topLinePunct w:val="0"/>
        <w:bidi w:val="0"/>
        <w:adjustRightInd w:val="0"/>
        <w:snapToGrid w:val="0"/>
        <w:spacing w:before="360" w:beforeLines="150" w:after="240" w:afterLines="100" w:line="440" w:lineRule="exact"/>
        <w:ind w:right="84" w:rightChars="40" w:firstLine="480"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涨价时，</w:t>
      </w:r>
      <w:r>
        <w:rPr>
          <w:rFonts w:hint="eastAsia" w:ascii="宋体" w:hAnsi="宋体" w:eastAsia="宋体" w:cs="宋体"/>
          <w:snapToGrid w:val="0"/>
          <w:color w:val="auto"/>
          <w:spacing w:val="0"/>
          <w:kern w:val="0"/>
          <w:position w:val="-30"/>
          <w:sz w:val="24"/>
          <w:szCs w:val="24"/>
          <w:highlight w:val="none"/>
        </w:rPr>
        <w:object>
          <v:shape id="_x0000_i1031" o:spt="75" type="#_x0000_t75" style="height:33.95pt;width:200.95pt;" o:ole="t" filled="f" o:preferrelative="t" stroked="f" coordsize="21600,21600">
            <v:path/>
            <v:fill on="f" focussize="0,0"/>
            <v:stroke on="f"/>
            <v:imagedata r:id="rId42" embosscolor="#FFFFFF" o:title=""/>
            <o:lock v:ext="edit" grouping="f" rotation="f" text="f" aspectratio="t"/>
            <w10:wrap type="none"/>
            <w10:anchorlock/>
          </v:shape>
          <o:OLEObject Type="Embed" ProgID="Equation.KSEE3" ShapeID="_x0000_i1031" DrawAspect="Content" ObjectID="_1468075731" r:id="rId41">
            <o:LockedField>false</o:LockedField>
          </o:OLEObject>
        </w:object>
      </w:r>
    </w:p>
    <w:p w14:paraId="183065CE">
      <w:pPr>
        <w:keepNext w:val="0"/>
        <w:keepLines w:val="0"/>
        <w:pageBreakBefore w:val="0"/>
        <w:kinsoku/>
        <w:wordWrap w:val="0"/>
        <w:overflowPunct/>
        <w:topLinePunct w:val="0"/>
        <w:bidi w:val="0"/>
        <w:adjustRightInd w:val="0"/>
        <w:spacing w:before="360" w:beforeLines="150" w:after="240" w:afterLines="100" w:line="440" w:lineRule="exact"/>
        <w:ind w:right="84" w:rightChars="40" w:firstLine="480"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跌价时，</w:t>
      </w:r>
      <w:r>
        <w:rPr>
          <w:rFonts w:hint="eastAsia" w:ascii="宋体" w:hAnsi="宋体" w:eastAsia="宋体" w:cs="宋体"/>
          <w:snapToGrid w:val="0"/>
          <w:color w:val="auto"/>
          <w:spacing w:val="0"/>
          <w:kern w:val="0"/>
          <w:position w:val="-30"/>
          <w:sz w:val="24"/>
          <w:szCs w:val="24"/>
          <w:highlight w:val="none"/>
        </w:rPr>
        <w:object>
          <v:shape id="_x0000_i1032" o:spt="75" type="#_x0000_t75" style="height:33.95pt;width:198pt;" o:ole="t" filled="f" o:preferrelative="t" stroked="f" coordsize="21600,21600">
            <v:path/>
            <v:fill on="f" focussize="0,0"/>
            <v:stroke on="f"/>
            <v:imagedata r:id="rId44" embosscolor="#FFFFFF" o:title=""/>
            <o:lock v:ext="edit" grouping="f" rotation="f" text="f" aspectratio="t"/>
            <w10:wrap type="none"/>
            <w10:anchorlock/>
          </v:shape>
          <o:OLEObject Type="Embed" ProgID="Equation.KSEE3" ShapeID="_x0000_i1032" DrawAspect="Content" ObjectID="_1468075732" r:id="rId43">
            <o:LockedField>false</o:LockedField>
          </o:OLEObject>
        </w:object>
      </w:r>
    </w:p>
    <w:p w14:paraId="2B2919C1">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b/>
          <w:bCs/>
          <w:snapToGrid w:val="0"/>
          <w:color w:val="auto"/>
          <w:spacing w:val="0"/>
          <w:kern w:val="0"/>
          <w:sz w:val="24"/>
          <w:szCs w:val="24"/>
          <w:highlight w:val="none"/>
        </w:rPr>
        <w:t>b</w:t>
      </w:r>
      <w:r>
        <w:rPr>
          <w:rFonts w:hint="eastAsia" w:ascii="宋体" w:hAnsi="宋体" w:eastAsia="宋体" w:cs="宋体"/>
          <w:snapToGrid w:val="0"/>
          <w:color w:val="auto"/>
          <w:spacing w:val="0"/>
          <w:kern w:val="0"/>
          <w:sz w:val="24"/>
          <w:szCs w:val="24"/>
          <w:highlight w:val="none"/>
        </w:rPr>
        <w:t>．如果中标单价高于基准单价，该施工机具台班的结算单价调整公式为：</w:t>
      </w:r>
    </w:p>
    <w:p w14:paraId="0B4D8697">
      <w:pPr>
        <w:keepNext w:val="0"/>
        <w:keepLines w:val="0"/>
        <w:pageBreakBefore w:val="0"/>
        <w:kinsoku/>
        <w:wordWrap w:val="0"/>
        <w:overflowPunct/>
        <w:topLinePunct w:val="0"/>
        <w:bidi w:val="0"/>
        <w:adjustRightInd w:val="0"/>
        <w:snapToGrid w:val="0"/>
        <w:spacing w:before="360" w:beforeLines="150" w:after="240" w:afterLines="100" w:line="440" w:lineRule="exact"/>
        <w:ind w:right="84" w:rightChars="40" w:firstLine="480"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涨价时，</w:t>
      </w:r>
      <w:r>
        <w:rPr>
          <w:rFonts w:hint="eastAsia" w:ascii="宋体" w:hAnsi="宋体" w:eastAsia="宋体" w:cs="宋体"/>
          <w:snapToGrid w:val="0"/>
          <w:color w:val="auto"/>
          <w:spacing w:val="0"/>
          <w:kern w:val="0"/>
          <w:position w:val="-30"/>
          <w:sz w:val="24"/>
          <w:szCs w:val="24"/>
          <w:highlight w:val="none"/>
        </w:rPr>
        <w:object>
          <v:shape id="_x0000_i1033" o:spt="75" type="#_x0000_t75" style="height:33.95pt;width:198pt;" o:ole="t" filled="f" o:preferrelative="t" stroked="f" coordsize="21600,21600">
            <v:path/>
            <v:fill on="f" focussize="0,0"/>
            <v:stroke on="f"/>
            <v:imagedata r:id="rId46" embosscolor="#FFFFFF" o:title=""/>
            <o:lock v:ext="edit" grouping="f" rotation="f" text="f" aspectratio="t"/>
            <w10:wrap type="none"/>
            <w10:anchorlock/>
          </v:shape>
          <o:OLEObject Type="Embed" ProgID="Equation.KSEE3" ShapeID="_x0000_i1033" DrawAspect="Content" ObjectID="_1468075733" r:id="rId45">
            <o:LockedField>false</o:LockedField>
          </o:OLEObject>
        </w:object>
      </w:r>
    </w:p>
    <w:p w14:paraId="3F7BD139">
      <w:pPr>
        <w:keepNext w:val="0"/>
        <w:keepLines w:val="0"/>
        <w:pageBreakBefore w:val="0"/>
        <w:kinsoku/>
        <w:wordWrap w:val="0"/>
        <w:overflowPunct/>
        <w:topLinePunct w:val="0"/>
        <w:bidi w:val="0"/>
        <w:adjustRightInd w:val="0"/>
        <w:spacing w:before="360" w:beforeLines="150" w:after="240" w:afterLines="100" w:line="440" w:lineRule="exact"/>
        <w:ind w:right="84" w:rightChars="40" w:firstLine="480"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跌价时，</w:t>
      </w:r>
      <w:r>
        <w:rPr>
          <w:rFonts w:hint="eastAsia" w:ascii="宋体" w:hAnsi="宋体" w:eastAsia="宋体" w:cs="宋体"/>
          <w:snapToGrid w:val="0"/>
          <w:color w:val="auto"/>
          <w:spacing w:val="0"/>
          <w:kern w:val="0"/>
          <w:position w:val="-30"/>
          <w:sz w:val="24"/>
          <w:szCs w:val="24"/>
          <w:highlight w:val="none"/>
        </w:rPr>
        <w:object>
          <v:shape id="_x0000_i1034" o:spt="75" type="#_x0000_t75" style="height:33.95pt;width:200.95pt;" o:ole="t" filled="f" o:preferrelative="t" stroked="f" coordsize="21600,21600">
            <v:path/>
            <v:fill on="f" focussize="0,0"/>
            <v:stroke on="f"/>
            <v:imagedata r:id="rId48" embosscolor="#FFFFFF" o:title=""/>
            <o:lock v:ext="edit" grouping="f" rotation="f" text="f" aspectratio="t"/>
            <w10:wrap type="none"/>
            <w10:anchorlock/>
          </v:shape>
          <o:OLEObject Type="Embed" ProgID="Equation.KSEE3" ShapeID="_x0000_i1034" DrawAspect="Content" ObjectID="_1468075734" r:id="rId47">
            <o:LockedField>false</o:LockedField>
          </o:OLEObject>
        </w:object>
      </w:r>
    </w:p>
    <w:p w14:paraId="62112DBA">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b/>
          <w:bCs/>
          <w:snapToGrid w:val="0"/>
          <w:color w:val="auto"/>
          <w:spacing w:val="0"/>
          <w:kern w:val="0"/>
          <w:sz w:val="24"/>
          <w:szCs w:val="24"/>
          <w:highlight w:val="none"/>
        </w:rPr>
        <w:t>c</w:t>
      </w:r>
      <w:r>
        <w:rPr>
          <w:rFonts w:hint="eastAsia" w:ascii="宋体" w:hAnsi="宋体" w:eastAsia="宋体" w:cs="宋体"/>
          <w:snapToGrid w:val="0"/>
          <w:color w:val="auto"/>
          <w:spacing w:val="0"/>
          <w:kern w:val="0"/>
          <w:sz w:val="24"/>
          <w:szCs w:val="24"/>
          <w:highlight w:val="none"/>
        </w:rPr>
        <w:t>．如果中标单价等于基准单价，该施工机具台班的结算单价调整公式为：</w:t>
      </w:r>
    </w:p>
    <w:p w14:paraId="68970ACC">
      <w:pPr>
        <w:keepNext w:val="0"/>
        <w:keepLines w:val="0"/>
        <w:pageBreakBefore w:val="0"/>
        <w:kinsoku/>
        <w:wordWrap w:val="0"/>
        <w:overflowPunct/>
        <w:topLinePunct w:val="0"/>
        <w:bidi w:val="0"/>
        <w:adjustRightInd w:val="0"/>
        <w:snapToGrid w:val="0"/>
        <w:spacing w:before="360" w:beforeLines="150" w:after="240" w:afterLines="100" w:line="440" w:lineRule="exact"/>
        <w:ind w:right="84" w:rightChars="40" w:firstLine="480" w:firstLineChars="20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涨价时，</w:t>
      </w:r>
      <w:r>
        <w:rPr>
          <w:rFonts w:hint="eastAsia" w:ascii="宋体" w:hAnsi="宋体" w:eastAsia="宋体" w:cs="宋体"/>
          <w:snapToGrid w:val="0"/>
          <w:color w:val="auto"/>
          <w:spacing w:val="0"/>
          <w:kern w:val="0"/>
          <w:position w:val="-30"/>
          <w:sz w:val="24"/>
          <w:szCs w:val="24"/>
          <w:highlight w:val="none"/>
        </w:rPr>
        <w:object>
          <v:shape id="_x0000_i1035" o:spt="75" type="#_x0000_t75" style="height:33.95pt;width:200.95pt;" o:ole="t" filled="f" o:preferrelative="t" stroked="f" coordsize="21600,21600">
            <v:path/>
            <v:fill on="f" focussize="0,0"/>
            <v:stroke on="f"/>
            <v:imagedata r:id="rId50" embosscolor="#FFFFFF" o:title=""/>
            <o:lock v:ext="edit" grouping="f" rotation="f" text="f" aspectratio="t"/>
            <w10:wrap type="none"/>
            <w10:anchorlock/>
          </v:shape>
          <o:OLEObject Type="Embed" ProgID="Equation.KSEE3" ShapeID="_x0000_i1035" DrawAspect="Content" ObjectID="_1468075735" r:id="rId49">
            <o:LockedField>false</o:LockedField>
          </o:OLEObject>
        </w:object>
      </w:r>
    </w:p>
    <w:p w14:paraId="121158F2">
      <w:pPr>
        <w:keepNext w:val="0"/>
        <w:keepLines w:val="0"/>
        <w:pageBreakBefore w:val="0"/>
        <w:kinsoku/>
        <w:wordWrap w:val="0"/>
        <w:overflowPunct/>
        <w:topLinePunct w:val="0"/>
        <w:bidi w:val="0"/>
        <w:spacing w:before="79" w:line="324" w:lineRule="auto"/>
        <w:ind w:left="11" w:right="84" w:rightChars="40" w:firstLine="504"/>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跌价时，</w:t>
      </w:r>
      <w:r>
        <w:rPr>
          <w:rFonts w:hint="eastAsia" w:ascii="宋体" w:hAnsi="宋体" w:eastAsia="宋体" w:cs="宋体"/>
          <w:snapToGrid w:val="0"/>
          <w:color w:val="auto"/>
          <w:spacing w:val="0"/>
          <w:kern w:val="0"/>
          <w:position w:val="-30"/>
          <w:sz w:val="24"/>
          <w:szCs w:val="24"/>
          <w:highlight w:val="none"/>
        </w:rPr>
        <w:object>
          <v:shape id="_x0000_i1036" o:spt="75" type="#_x0000_t75" style="height:33.95pt;width:200.95pt;" o:ole="t" filled="f" o:preferrelative="t" stroked="f" coordsize="21600,21600">
            <v:path/>
            <v:fill on="f" focussize="0,0"/>
            <v:stroke on="f"/>
            <v:imagedata r:id="rId52" embosscolor="#FFFFFF" o:title=""/>
            <o:lock v:ext="edit" grouping="f" rotation="f" text="f" aspectratio="t"/>
            <w10:wrap type="none"/>
            <w10:anchorlock/>
          </v:shape>
          <o:OLEObject Type="Embed" ProgID="Equation.KSEE3" ShapeID="_x0000_i1036" DrawAspect="Content" ObjectID="_1468075736" r:id="rId51">
            <o:LockedField>false</o:LockedField>
          </o:OLEObject>
        </w:object>
      </w:r>
    </w:p>
    <w:p w14:paraId="1258EA6F">
      <w:pPr>
        <w:keepNext w:val="0"/>
        <w:keepLines w:val="0"/>
        <w:pageBreakBefore w:val="0"/>
        <w:kinsoku/>
        <w:wordWrap w:val="0"/>
        <w:overflowPunct/>
        <w:topLinePunct w:val="0"/>
        <w:bidi w:val="0"/>
        <w:spacing w:before="79" w:line="324" w:lineRule="auto"/>
        <w:ind w:left="11" w:right="84" w:rightChars="40" w:firstLine="50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以上公式中，F</w:t>
      </w:r>
      <w:r>
        <w:rPr>
          <w:rFonts w:hint="eastAsia" w:ascii="宋体" w:hAnsi="宋体" w:eastAsia="宋体" w:cs="宋体"/>
          <w:color w:val="auto"/>
          <w:spacing w:val="0"/>
          <w:position w:val="-1"/>
          <w:sz w:val="15"/>
          <w:szCs w:val="15"/>
          <w:highlight w:val="none"/>
        </w:rPr>
        <w:t xml:space="preserve">1 </w:t>
      </w:r>
      <w:r>
        <w:rPr>
          <w:rFonts w:hint="eastAsia" w:ascii="宋体" w:hAnsi="宋体" w:eastAsia="宋体" w:cs="宋体"/>
          <w:color w:val="auto"/>
          <w:spacing w:val="0"/>
          <w:sz w:val="24"/>
          <w:szCs w:val="24"/>
          <w:highlight w:val="none"/>
        </w:rPr>
        <w:t>为中标单价；F</w:t>
      </w:r>
      <w:r>
        <w:rPr>
          <w:rFonts w:hint="eastAsia" w:ascii="宋体" w:hAnsi="宋体" w:eastAsia="宋体" w:cs="宋体"/>
          <w:color w:val="auto"/>
          <w:spacing w:val="0"/>
          <w:position w:val="-1"/>
          <w:sz w:val="15"/>
          <w:szCs w:val="15"/>
          <w:highlight w:val="none"/>
        </w:rPr>
        <w:t>0</w:t>
      </w:r>
      <w:r>
        <w:rPr>
          <w:rFonts w:hint="eastAsia" w:ascii="宋体" w:hAnsi="宋体" w:eastAsia="宋体" w:cs="宋体"/>
          <w:color w:val="auto"/>
          <w:spacing w:val="0"/>
          <w:w w:val="101"/>
          <w:position w:val="-1"/>
          <w:sz w:val="15"/>
          <w:szCs w:val="15"/>
          <w:highlight w:val="none"/>
        </w:rPr>
        <w:t xml:space="preserve"> </w:t>
      </w:r>
      <w:r>
        <w:rPr>
          <w:rFonts w:hint="eastAsia" w:ascii="宋体" w:hAnsi="宋体" w:eastAsia="宋体" w:cs="宋体"/>
          <w:color w:val="auto"/>
          <w:spacing w:val="0"/>
          <w:sz w:val="24"/>
          <w:szCs w:val="24"/>
          <w:highlight w:val="none"/>
        </w:rPr>
        <w:t>为基准单价；F</w:t>
      </w:r>
      <w:r>
        <w:rPr>
          <w:rFonts w:hint="eastAsia" w:ascii="宋体" w:hAnsi="宋体" w:eastAsia="宋体" w:cs="宋体"/>
          <w:color w:val="auto"/>
          <w:spacing w:val="0"/>
          <w:position w:val="-1"/>
          <w:sz w:val="15"/>
          <w:szCs w:val="15"/>
          <w:highlight w:val="none"/>
        </w:rPr>
        <w:t xml:space="preserve">2 </w:t>
      </w:r>
      <w:r>
        <w:rPr>
          <w:rFonts w:hint="eastAsia" w:ascii="宋体" w:hAnsi="宋体" w:eastAsia="宋体" w:cs="宋体"/>
          <w:color w:val="auto"/>
          <w:spacing w:val="0"/>
          <w:sz w:val="24"/>
          <w:szCs w:val="24"/>
          <w:highlight w:val="none"/>
        </w:rPr>
        <w:t>为施工当月项目所在地工程造价管理机构发布的施工机具台班单价；B 为合同约定的施工机具台班单价涨跌风险幅度值。</w:t>
      </w:r>
    </w:p>
    <w:p w14:paraId="08F7A996">
      <w:pPr>
        <w:keepNext w:val="0"/>
        <w:keepLines w:val="0"/>
        <w:pageBreakBefore w:val="0"/>
        <w:kinsoku/>
        <w:wordWrap w:val="0"/>
        <w:overflowPunct/>
        <w:topLinePunct w:val="0"/>
        <w:bidi w:val="0"/>
        <w:spacing w:before="39" w:line="219" w:lineRule="auto"/>
        <w:ind w:left="484"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2.3.7  </w:t>
      </w:r>
      <w:r>
        <w:rPr>
          <w:rFonts w:hint="eastAsia" w:ascii="宋体" w:hAnsi="宋体" w:eastAsia="宋体" w:cs="宋体"/>
          <w:color w:val="auto"/>
          <w:spacing w:val="0"/>
          <w:sz w:val="24"/>
          <w:szCs w:val="24"/>
          <w:highlight w:val="none"/>
        </w:rPr>
        <w:t>暂估价和暂列金额</w:t>
      </w:r>
    </w:p>
    <w:p w14:paraId="55F5A879">
      <w:pPr>
        <w:keepNext w:val="0"/>
        <w:keepLines w:val="0"/>
        <w:pageBreakBefore w:val="0"/>
        <w:kinsoku/>
        <w:wordWrap w:val="0"/>
        <w:overflowPunct/>
        <w:topLinePunct w:val="0"/>
        <w:bidi w:val="0"/>
        <w:spacing w:before="154" w:line="299" w:lineRule="auto"/>
        <w:ind w:left="7" w:right="84" w:rightChars="40" w:firstLine="477"/>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"2.3.7.1"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2.3.7.1</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snapToGrid w:val="0"/>
          <w:color w:val="auto"/>
          <w:spacing w:val="0"/>
          <w:kern w:val="0"/>
          <w:sz w:val="24"/>
          <w:szCs w:val="24"/>
          <w:highlight w:val="none"/>
          <w:lang w:eastAsia="zh-CN"/>
        </w:rPr>
        <w:t xml:space="preserve">暂估价项目按第一章第三节“投标人须知正文 ”第 </w:t>
      </w:r>
      <w:r>
        <w:rPr>
          <w:rFonts w:hint="eastAsia" w:ascii="宋体" w:hAnsi="宋体" w:eastAsia="宋体" w:cs="宋体"/>
          <w:b/>
          <w:bCs/>
          <w:snapToGrid w:val="0"/>
          <w:color w:val="auto"/>
          <w:spacing w:val="0"/>
          <w:kern w:val="0"/>
          <w:sz w:val="24"/>
          <w:szCs w:val="24"/>
          <w:highlight w:val="none"/>
          <w:lang w:eastAsia="zh-CN"/>
        </w:rPr>
        <w:t>8.5</w:t>
      </w:r>
      <w:r>
        <w:rPr>
          <w:rFonts w:hint="eastAsia" w:ascii="宋体" w:hAnsi="宋体" w:eastAsia="宋体" w:cs="宋体"/>
          <w:snapToGrid w:val="0"/>
          <w:color w:val="auto"/>
          <w:spacing w:val="0"/>
          <w:kern w:val="0"/>
          <w:sz w:val="24"/>
          <w:szCs w:val="24"/>
          <w:highlight w:val="none"/>
          <w:lang w:eastAsia="zh-CN"/>
        </w:rPr>
        <w:t xml:space="preserve"> 条的规定确定专业工程承包人（或材料供应商、工程设备供应商）后，将专业工程合同价款（或材料单价、工程设备单价）取代相应暂估价，并调整合同价款。</w:t>
      </w:r>
    </w:p>
    <w:p w14:paraId="75732179">
      <w:pPr>
        <w:keepNext w:val="0"/>
        <w:keepLines w:val="0"/>
        <w:pageBreakBefore w:val="0"/>
        <w:kinsoku/>
        <w:wordWrap w:val="0"/>
        <w:overflowPunct/>
        <w:topLinePunct w:val="0"/>
        <w:bidi w:val="0"/>
        <w:spacing w:before="153" w:line="315" w:lineRule="auto"/>
        <w:ind w:left="8"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"2.3.7.2"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2.3.7.2</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 xml:space="preserve">暂列金额由发包人掌握和使用。暂列金额项目若有发生，按第一章第三节“投标人须知正文 ”第 </w:t>
      </w:r>
      <w:r>
        <w:rPr>
          <w:rFonts w:hint="eastAsia" w:ascii="宋体" w:hAnsi="宋体" w:eastAsia="宋体" w:cs="宋体"/>
          <w:b/>
          <w:bCs/>
          <w:color w:val="auto"/>
          <w:spacing w:val="0"/>
          <w:sz w:val="24"/>
          <w:szCs w:val="24"/>
          <w:highlight w:val="none"/>
        </w:rPr>
        <w:t xml:space="preserve">8.6 </w:t>
      </w:r>
      <w:r>
        <w:rPr>
          <w:rFonts w:hint="eastAsia" w:ascii="宋体" w:hAnsi="宋体" w:eastAsia="宋体" w:cs="宋体"/>
          <w:color w:val="auto"/>
          <w:spacing w:val="0"/>
          <w:sz w:val="24"/>
          <w:szCs w:val="24"/>
          <w:highlight w:val="none"/>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w:t>
      </w:r>
    </w:p>
    <w:p w14:paraId="1FFEB093">
      <w:pPr>
        <w:keepNext w:val="0"/>
        <w:keepLines w:val="0"/>
        <w:pageBreakBefore w:val="0"/>
        <w:kinsoku/>
        <w:wordWrap w:val="0"/>
        <w:overflowPunct/>
        <w:topLinePunct w:val="0"/>
        <w:bidi w:val="0"/>
        <w:spacing w:before="153" w:line="315" w:lineRule="auto"/>
        <w:ind w:left="8"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2.3.8</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8"/>
          <w:sz w:val="24"/>
          <w:szCs w:val="24"/>
          <w:highlight w:val="none"/>
        </w:rPr>
        <w:t>预算包干费：根据《市政工程工程量计算标准》（GB/T</w:t>
      </w:r>
      <w:r>
        <w:rPr>
          <w:rFonts w:hint="eastAsia" w:ascii="宋体" w:hAnsi="宋体" w:eastAsia="宋体" w:cs="宋体"/>
          <w:color w:val="auto"/>
          <w:spacing w:val="-8"/>
          <w:sz w:val="24"/>
          <w:szCs w:val="24"/>
          <w:highlight w:val="none"/>
          <w:lang w:val="en-US" w:eastAsia="zh-CN"/>
        </w:rPr>
        <w:t xml:space="preserve"> </w:t>
      </w:r>
      <w:r>
        <w:rPr>
          <w:rFonts w:hint="eastAsia" w:ascii="宋体" w:hAnsi="宋体" w:eastAsia="宋体" w:cs="宋体"/>
          <w:color w:val="auto"/>
          <w:spacing w:val="-8"/>
          <w:sz w:val="24"/>
          <w:szCs w:val="24"/>
          <w:highlight w:val="none"/>
        </w:rPr>
        <w:t>50857-2024）、《房屋建筑与装饰工程工程量计算标准》（GB/T 50854-2024）、《通用安装工程工程量计算标准》（GB/T 50856-2024）、《园林绿化工程工程量计算标准》（GB/T 50858-2024），以各专业分部分项的人工费与施工机具费之和为基础计算预算包干费。本工程的预算包干内容包括：按《</w:t>
      </w:r>
      <w:r>
        <w:rPr>
          <w:rFonts w:hint="eastAsia" w:ascii="宋体" w:hAnsi="宋体" w:eastAsia="宋体" w:cs="宋体"/>
          <w:color w:val="auto"/>
          <w:spacing w:val="-8"/>
          <w:sz w:val="24"/>
          <w:szCs w:val="24"/>
          <w:highlight w:val="none"/>
          <w:lang w:eastAsia="zh-CN"/>
        </w:rPr>
        <w:t>《广东省建设工程计价依据(2018)》</w:t>
      </w:r>
      <w:r>
        <w:rPr>
          <w:rFonts w:hint="eastAsia" w:ascii="宋体" w:hAnsi="宋体" w:eastAsia="宋体" w:cs="宋体"/>
          <w:color w:val="auto"/>
          <w:spacing w:val="-8"/>
          <w:sz w:val="24"/>
          <w:szCs w:val="24"/>
          <w:highlight w:val="none"/>
        </w:rPr>
        <w:t>》相关规定。若发生工程签证变更，应按合同约定计取预算包干费</w:t>
      </w:r>
      <w:r>
        <w:rPr>
          <w:rFonts w:hint="eastAsia" w:ascii="宋体" w:hAnsi="宋体" w:eastAsia="宋体" w:cs="宋体"/>
          <w:color w:val="auto"/>
          <w:spacing w:val="0"/>
          <w:sz w:val="24"/>
          <w:szCs w:val="24"/>
          <w:highlight w:val="none"/>
        </w:rPr>
        <w:t>。</w:t>
      </w:r>
    </w:p>
    <w:p w14:paraId="00D8F120">
      <w:pPr>
        <w:keepNext w:val="0"/>
        <w:keepLines w:val="0"/>
        <w:pageBreakBefore w:val="0"/>
        <w:kinsoku/>
        <w:wordWrap w:val="0"/>
        <w:overflowPunct/>
        <w:topLinePunct w:val="0"/>
        <w:bidi w:val="0"/>
        <w:spacing w:before="153" w:line="315" w:lineRule="auto"/>
        <w:ind w:left="8"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2.3.</w:t>
      </w:r>
      <w:r>
        <w:rPr>
          <w:rFonts w:hint="eastAsia" w:ascii="宋体" w:hAnsi="宋体" w:eastAsia="宋体" w:cs="宋体"/>
          <w:b/>
          <w:bCs/>
          <w:color w:val="auto"/>
          <w:spacing w:val="0"/>
          <w:sz w:val="24"/>
          <w:szCs w:val="24"/>
          <w:highlight w:val="none"/>
          <w:lang w:val="en-US" w:eastAsia="zh-CN"/>
        </w:rPr>
        <w:t>9</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其余事项（如不可抗力、索赔、现场签证等）的调整原则按照《</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）有关规定执行。</w:t>
      </w:r>
    </w:p>
    <w:p w14:paraId="0C5E03A8">
      <w:pPr>
        <w:keepNext w:val="0"/>
        <w:keepLines w:val="0"/>
        <w:pageBreakBefore w:val="0"/>
        <w:kinsoku/>
        <w:wordWrap w:val="0"/>
        <w:overflowPunct/>
        <w:topLinePunct w:val="0"/>
        <w:bidi w:val="0"/>
        <w:spacing w:before="156" w:line="299" w:lineRule="auto"/>
        <w:ind w:left="12" w:right="84" w:rightChars="40"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2.4  </w:t>
      </w:r>
      <w:r>
        <w:rPr>
          <w:rFonts w:hint="eastAsia" w:ascii="宋体" w:hAnsi="宋体" w:eastAsia="宋体" w:cs="宋体"/>
          <w:color w:val="auto"/>
          <w:spacing w:val="0"/>
          <w:sz w:val="24"/>
          <w:szCs w:val="24"/>
          <w:highlight w:val="none"/>
        </w:rPr>
        <w:t>凡将引起合同价款调增的事项，承包人必须于拟实施 14 天前，将详细的报价书（含拟实施项目名称、变更部位、理由、预计造价等）报监理单位审核和发包人批准后方可实施。</w:t>
      </w:r>
    </w:p>
    <w:p w14:paraId="7E55A3E2">
      <w:pPr>
        <w:keepNext w:val="0"/>
        <w:keepLines w:val="0"/>
        <w:pageBreakBefore w:val="0"/>
        <w:kinsoku/>
        <w:wordWrap w:val="0"/>
        <w:overflowPunct/>
        <w:topLinePunct w:val="0"/>
        <w:bidi w:val="0"/>
        <w:spacing w:before="153" w:line="279" w:lineRule="auto"/>
        <w:ind w:left="9" w:right="84" w:rightChars="40"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2.5 </w:t>
      </w:r>
      <w:r>
        <w:rPr>
          <w:rFonts w:hint="eastAsia" w:ascii="宋体" w:hAnsi="宋体" w:eastAsia="宋体" w:cs="宋体"/>
          <w:color w:val="auto"/>
          <w:spacing w:val="0"/>
          <w:sz w:val="24"/>
          <w:szCs w:val="24"/>
          <w:highlight w:val="none"/>
        </w:rPr>
        <w:t>承包人不得以不完全了解现场情况为理由，提出额外付款或延长工期等要求。 对此类要求，发包人不作任何考虑及答复。</w:t>
      </w:r>
    </w:p>
    <w:p w14:paraId="50E281B0">
      <w:pPr>
        <w:keepNext w:val="0"/>
        <w:keepLines w:val="0"/>
        <w:pageBreakBefore w:val="0"/>
        <w:kinsoku/>
        <w:wordWrap w:val="0"/>
        <w:overflowPunct/>
        <w:topLinePunct w:val="0"/>
        <w:bidi w:val="0"/>
        <w:spacing w:before="154" w:line="279" w:lineRule="auto"/>
        <w:ind w:left="10" w:right="84" w:rightChars="40"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2.6 </w:t>
      </w:r>
      <w:r>
        <w:rPr>
          <w:rFonts w:hint="eastAsia" w:ascii="宋体" w:hAnsi="宋体" w:eastAsia="宋体" w:cs="宋体"/>
          <w:color w:val="auto"/>
          <w:spacing w:val="0"/>
          <w:sz w:val="24"/>
          <w:szCs w:val="24"/>
          <w:highlight w:val="none"/>
        </w:rPr>
        <w:t>承包人已标价工程量清单中漏报、错报或少报的清单项目，其价格均视为已经包含在其它清单项目中，竣工结算时不得重新组价和调整。</w:t>
      </w:r>
    </w:p>
    <w:p w14:paraId="75BC7B06">
      <w:pPr>
        <w:keepNext w:val="0"/>
        <w:keepLines w:val="0"/>
        <w:pageBreakBefore w:val="0"/>
        <w:kinsoku/>
        <w:wordWrap w:val="0"/>
        <w:overflowPunct/>
        <w:topLinePunct w:val="0"/>
        <w:bidi w:val="0"/>
        <w:spacing w:before="155" w:line="299" w:lineRule="auto"/>
        <w:ind w:left="12" w:right="84" w:rightChars="40" w:firstLine="474"/>
        <w:rPr>
          <w:rFonts w:hint="default"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 xml:space="preserve">2.7  </w:t>
      </w:r>
      <w:r>
        <w:rPr>
          <w:rFonts w:hint="eastAsia" w:ascii="宋体" w:hAnsi="宋体" w:eastAsia="宋体" w:cs="宋体"/>
          <w:color w:val="auto"/>
          <w:spacing w:val="0"/>
          <w:sz w:val="24"/>
          <w:szCs w:val="24"/>
          <w:highlight w:val="none"/>
        </w:rPr>
        <w:t>项目完工后，发、承包双方和受其委托的工程造价咨询单位必须按照《</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）和国家、省、市的有关规定办理竣工结算。</w:t>
      </w:r>
    </w:p>
    <w:p w14:paraId="18501ACB">
      <w:pPr>
        <w:keepNext w:val="0"/>
        <w:keepLines w:val="0"/>
        <w:pageBreakBefore w:val="0"/>
        <w:kinsoku/>
        <w:wordWrap w:val="0"/>
        <w:overflowPunct/>
        <w:topLinePunct w:val="0"/>
        <w:bidi w:val="0"/>
        <w:spacing w:before="152" w:line="319" w:lineRule="auto"/>
        <w:ind w:left="8" w:right="84" w:rightChars="40" w:firstLine="55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2.8  </w:t>
      </w:r>
      <w:r>
        <w:rPr>
          <w:rFonts w:hint="eastAsia" w:ascii="宋体" w:hAnsi="宋体" w:eastAsia="宋体" w:cs="宋体"/>
          <w:color w:val="auto"/>
          <w:spacing w:val="0"/>
          <w:sz w:val="24"/>
          <w:szCs w:val="24"/>
          <w:highlight w:val="none"/>
        </w:rPr>
        <w:t>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32105AE6">
      <w:pPr>
        <w:keepNext w:val="0"/>
        <w:keepLines w:val="0"/>
        <w:pageBreakBefore w:val="0"/>
        <w:kinsoku/>
        <w:wordWrap w:val="0"/>
        <w:overflowPunct/>
        <w:topLinePunct w:val="0"/>
        <w:bidi w:val="0"/>
        <w:spacing w:before="152" w:line="319" w:lineRule="auto"/>
        <w:ind w:left="8" w:right="84" w:rightChars="40" w:firstLine="55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2.9 </w:t>
      </w:r>
      <w:r>
        <w:rPr>
          <w:rFonts w:hint="eastAsia" w:ascii="宋体" w:hAnsi="宋体" w:eastAsia="宋体" w:cs="宋体"/>
          <w:color w:val="auto"/>
          <w:spacing w:val="0"/>
          <w:sz w:val="24"/>
          <w:szCs w:val="24"/>
          <w:highlight w:val="none"/>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 的，则采用厂商报价或市场询价等方式取得有合法依据的市场价格，报发包人确认。</w:t>
      </w:r>
    </w:p>
    <w:p w14:paraId="73AF1BDB">
      <w:pPr>
        <w:keepNext w:val="0"/>
        <w:keepLines w:val="0"/>
        <w:pageBreakBefore w:val="0"/>
        <w:kinsoku/>
        <w:wordWrap w:val="0"/>
        <w:overflowPunct/>
        <w:topLinePunct w:val="0"/>
        <w:bidi w:val="0"/>
        <w:spacing w:before="155" w:line="299" w:lineRule="auto"/>
        <w:ind w:left="12" w:right="84" w:rightChars="40" w:firstLine="474"/>
        <w:rPr>
          <w:rFonts w:hint="default" w:ascii="宋体" w:hAnsi="宋体" w:eastAsia="宋体" w:cs="宋体"/>
          <w:b/>
          <w:bCs/>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lang w:val="en-US" w:eastAsia="zh-CN"/>
        </w:rPr>
        <w:t xml:space="preserve"> 2.10</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最终结算价以</w:t>
      </w:r>
      <w:r>
        <w:rPr>
          <w:rFonts w:hint="eastAsia" w:ascii="宋体" w:hAnsi="宋体" w:eastAsia="宋体" w:cs="宋体"/>
          <w:b/>
          <w:bCs/>
          <w:color w:val="auto"/>
          <w:spacing w:val="0"/>
          <w:sz w:val="24"/>
          <w:szCs w:val="24"/>
          <w:highlight w:val="none"/>
          <w:lang w:val="en-US" w:eastAsia="zh-CN"/>
        </w:rPr>
        <w:t>仁化县</w:t>
      </w:r>
      <w:r>
        <w:rPr>
          <w:rFonts w:hint="eastAsia" w:ascii="宋体" w:hAnsi="宋体" w:eastAsia="宋体" w:cs="宋体"/>
          <w:b/>
          <w:bCs/>
          <w:color w:val="auto"/>
          <w:spacing w:val="0"/>
          <w:sz w:val="24"/>
          <w:szCs w:val="24"/>
          <w:highlight w:val="none"/>
        </w:rPr>
        <w:t>投资评审中心的审定意见为准</w:t>
      </w:r>
      <w:r>
        <w:rPr>
          <w:rFonts w:hint="eastAsia" w:ascii="宋体" w:hAnsi="宋体" w:eastAsia="宋体" w:cs="宋体"/>
          <w:b/>
          <w:bCs/>
          <w:color w:val="auto"/>
          <w:spacing w:val="0"/>
          <w:sz w:val="24"/>
          <w:szCs w:val="24"/>
          <w:highlight w:val="none"/>
          <w:lang w:val="en-US" w:eastAsia="zh-CN"/>
        </w:rPr>
        <w:t>。</w:t>
      </w:r>
    </w:p>
    <w:p w14:paraId="28BF4740">
      <w:pPr>
        <w:pStyle w:val="2"/>
        <w:ind w:right="84" w:rightChars="40"/>
        <w:rPr>
          <w:rFonts w:hint="default" w:eastAsia="宋体"/>
          <w:color w:val="auto"/>
          <w:highlight w:val="none"/>
          <w:lang w:val="en-US" w:eastAsia="zh-CN"/>
        </w:rPr>
      </w:pPr>
    </w:p>
    <w:p w14:paraId="1C684DEC">
      <w:pPr>
        <w:pStyle w:val="35"/>
        <w:keepNext w:val="0"/>
        <w:keepLines w:val="0"/>
        <w:pageBreakBefore w:val="0"/>
        <w:kinsoku/>
        <w:wordWrap w:val="0"/>
        <w:overflowPunct/>
        <w:topLinePunct w:val="0"/>
        <w:bidi w:val="0"/>
        <w:snapToGrid w:val="0"/>
        <w:spacing w:line="440" w:lineRule="exact"/>
        <w:ind w:right="84" w:rightChars="40" w:firstLine="480"/>
        <w:jc w:val="both"/>
        <w:outlineLvl w:val="2"/>
        <w:rPr>
          <w:rStyle w:val="26"/>
          <w:rFonts w:hint="eastAsia" w:ascii="宋体" w:hAnsi="宋体" w:eastAsia="宋体" w:cs="宋体"/>
          <w:b/>
          <w:bCs/>
          <w:color w:val="auto"/>
          <w:spacing w:val="0"/>
          <w:sz w:val="24"/>
          <w:szCs w:val="24"/>
          <w:highlight w:val="none"/>
        </w:rPr>
      </w:pPr>
      <w:bookmarkStart w:id="179" w:name="_Toc30372"/>
      <w:bookmarkStart w:id="180" w:name="_Toc1816"/>
      <w:r>
        <w:rPr>
          <w:rStyle w:val="26"/>
          <w:rFonts w:hint="eastAsia" w:ascii="宋体" w:hAnsi="宋体" w:eastAsia="宋体" w:cs="宋体"/>
          <w:b/>
          <w:bCs/>
          <w:color w:val="auto"/>
          <w:spacing w:val="0"/>
          <w:sz w:val="24"/>
          <w:szCs w:val="24"/>
          <w:highlight w:val="none"/>
        </w:rPr>
        <w:t>3. 工程付款办法</w:t>
      </w:r>
      <w:bookmarkEnd w:id="179"/>
      <w:bookmarkEnd w:id="180"/>
    </w:p>
    <w:p w14:paraId="1DE34436">
      <w:pPr>
        <w:keepNext w:val="0"/>
        <w:keepLines w:val="0"/>
        <w:pageBreakBefore w:val="0"/>
        <w:kinsoku/>
        <w:wordWrap w:val="0"/>
        <w:bidi w:val="0"/>
        <w:adjustRightInd w:val="0"/>
        <w:snapToGrid w:val="0"/>
        <w:spacing w:line="360" w:lineRule="auto"/>
        <w:ind w:right="84" w:rightChars="4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3.1</w:t>
      </w:r>
      <w:r>
        <w:rPr>
          <w:rFonts w:hint="eastAsia" w:ascii="宋体" w:hAnsi="宋体" w:eastAsia="宋体" w:cs="宋体"/>
          <w:snapToGrid w:val="0"/>
          <w:color w:val="auto"/>
          <w:kern w:val="0"/>
          <w:sz w:val="24"/>
          <w:szCs w:val="24"/>
          <w:highlight w:val="none"/>
        </w:rPr>
        <w:t xml:space="preserve"> 本工程</w:t>
      </w:r>
      <w:r>
        <w:rPr>
          <w:rFonts w:hint="eastAsia" w:ascii="宋体" w:hAnsi="宋体" w:eastAsia="宋体" w:cs="宋体"/>
          <w:snapToGrid w:val="0"/>
          <w:color w:val="auto"/>
          <w:kern w:val="0"/>
          <w:sz w:val="24"/>
          <w:szCs w:val="24"/>
          <w:highlight w:val="none"/>
          <w:u w:val="single"/>
        </w:rPr>
        <w:t xml:space="preserve"> 支付 </w:t>
      </w:r>
      <w:r>
        <w:rPr>
          <w:rFonts w:hint="eastAsia" w:ascii="宋体" w:hAnsi="宋体" w:eastAsia="宋体" w:cs="宋体"/>
          <w:snapToGrid w:val="0"/>
          <w:color w:val="auto"/>
          <w:kern w:val="0"/>
          <w:sz w:val="24"/>
          <w:szCs w:val="24"/>
          <w:highlight w:val="none"/>
        </w:rPr>
        <w:t>施工预付款。</w:t>
      </w:r>
    </w:p>
    <w:p w14:paraId="241C9822">
      <w:pPr>
        <w:keepNext w:val="0"/>
        <w:keepLines w:val="0"/>
        <w:pageBreakBefore w:val="0"/>
        <w:kinsoku/>
        <w:wordWrap w:val="0"/>
        <w:bidi w:val="0"/>
        <w:adjustRightInd w:val="0"/>
        <w:snapToGrid w:val="0"/>
        <w:spacing w:line="360" w:lineRule="auto"/>
        <w:ind w:right="84" w:rightChars="4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napToGrid w:val="0"/>
          <w:color w:val="auto"/>
          <w:kern w:val="0"/>
          <w:sz w:val="24"/>
          <w:szCs w:val="24"/>
          <w:highlight w:val="none"/>
        </w:rPr>
        <w:t xml:space="preserve"> 施工预付款必须专用于合同工程，并按以下原则支付和抵扣：</w:t>
      </w:r>
    </w:p>
    <w:p w14:paraId="446B4EBF">
      <w:pPr>
        <w:keepNext w:val="0"/>
        <w:keepLines w:val="0"/>
        <w:pageBreakBefore w:val="0"/>
        <w:kinsoku/>
        <w:wordWrap w:val="0"/>
        <w:bidi w:val="0"/>
        <w:adjustRightInd w:val="0"/>
        <w:snapToGrid w:val="0"/>
        <w:spacing w:line="360" w:lineRule="auto"/>
        <w:ind w:right="84" w:rightChars="4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3.2.1</w:t>
      </w:r>
      <w:r>
        <w:rPr>
          <w:rFonts w:hint="eastAsia" w:ascii="宋体" w:hAnsi="宋体" w:eastAsia="宋体" w:cs="宋体"/>
          <w:snapToGrid w:val="0"/>
          <w:color w:val="auto"/>
          <w:kern w:val="0"/>
          <w:sz w:val="24"/>
          <w:szCs w:val="24"/>
          <w:highlight w:val="none"/>
        </w:rPr>
        <w:t xml:space="preserve"> 施工预付款支付比例为：按施工合同价</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暂列金额、计日工价款及专业工程暂估价</w:t>
      </w:r>
      <w:r>
        <w:rPr>
          <w:rFonts w:hint="eastAsia" w:ascii="宋体" w:hAnsi="宋体" w:eastAsia="宋体" w:cs="宋体"/>
          <w:snapToGrid w:val="0"/>
          <w:color w:val="auto"/>
          <w:kern w:val="0"/>
          <w:sz w:val="24"/>
          <w:szCs w:val="24"/>
          <w:highlight w:val="none"/>
          <w:lang w:eastAsia="zh-CN"/>
        </w:rPr>
        <w:t>除外）</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u w:val="single"/>
        </w:rPr>
        <w:t xml:space="preserve"> 30% </w:t>
      </w:r>
      <w:r>
        <w:rPr>
          <w:rFonts w:hint="eastAsia" w:ascii="宋体" w:hAnsi="宋体" w:eastAsia="宋体" w:cs="宋体"/>
          <w:snapToGrid w:val="0"/>
          <w:color w:val="auto"/>
          <w:kern w:val="0"/>
          <w:sz w:val="24"/>
          <w:szCs w:val="24"/>
          <w:highlight w:val="none"/>
        </w:rPr>
        <w:t>支付。</w:t>
      </w:r>
    </w:p>
    <w:p w14:paraId="571C8EB5">
      <w:pPr>
        <w:keepNext w:val="0"/>
        <w:keepLines w:val="0"/>
        <w:pageBreakBefore w:val="0"/>
        <w:kinsoku/>
        <w:wordWrap w:val="0"/>
        <w:bidi w:val="0"/>
        <w:adjustRightInd w:val="0"/>
        <w:snapToGrid w:val="0"/>
        <w:spacing w:line="360" w:lineRule="auto"/>
        <w:ind w:right="84" w:rightChars="4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3.2.2</w:t>
      </w:r>
      <w:r>
        <w:rPr>
          <w:rFonts w:hint="eastAsia" w:ascii="宋体" w:hAnsi="宋体" w:eastAsia="宋体" w:cs="宋体"/>
          <w:snapToGrid w:val="0"/>
          <w:color w:val="auto"/>
          <w:kern w:val="0"/>
          <w:sz w:val="24"/>
          <w:szCs w:val="24"/>
          <w:highlight w:val="none"/>
        </w:rPr>
        <w:t xml:space="preserve"> 本招标项目</w:t>
      </w:r>
      <w:r>
        <w:rPr>
          <w:rFonts w:hint="eastAsia" w:ascii="宋体" w:hAnsi="宋体" w:eastAsia="宋体" w:cs="宋体"/>
          <w:b/>
          <w:bCs/>
          <w:snapToGrid w:val="0"/>
          <w:color w:val="auto"/>
          <w:kern w:val="0"/>
          <w:sz w:val="24"/>
          <w:szCs w:val="24"/>
          <w:highlight w:val="none"/>
          <w:u w:val="single"/>
          <w:lang w:val="en-US" w:eastAsia="zh-CN"/>
        </w:rPr>
        <w:t>不</w:t>
      </w:r>
      <w:r>
        <w:rPr>
          <w:rFonts w:hint="eastAsia" w:ascii="宋体" w:hAnsi="宋体" w:eastAsia="宋体" w:cs="宋体"/>
          <w:b/>
          <w:bCs/>
          <w:snapToGrid w:val="0"/>
          <w:color w:val="auto"/>
          <w:kern w:val="0"/>
          <w:sz w:val="24"/>
          <w:szCs w:val="24"/>
          <w:highlight w:val="none"/>
          <w:u w:val="single"/>
        </w:rPr>
        <w:t>要求</w:t>
      </w:r>
      <w:r>
        <w:rPr>
          <w:rFonts w:hint="eastAsia" w:ascii="宋体" w:hAnsi="宋体" w:eastAsia="宋体" w:cs="宋体"/>
          <w:snapToGrid w:val="0"/>
          <w:color w:val="auto"/>
          <w:kern w:val="0"/>
          <w:sz w:val="24"/>
          <w:szCs w:val="24"/>
          <w:highlight w:val="none"/>
        </w:rPr>
        <w:t>承包人提供与预付款等额的预付款保函。</w:t>
      </w:r>
    </w:p>
    <w:p w14:paraId="4A4F23D6">
      <w:pPr>
        <w:keepNext w:val="0"/>
        <w:keepLines w:val="0"/>
        <w:pageBreakBefore w:val="0"/>
        <w:kinsoku/>
        <w:wordWrap w:val="0"/>
        <w:bidi w:val="0"/>
        <w:adjustRightInd w:val="0"/>
        <w:snapToGrid w:val="0"/>
        <w:spacing w:line="360" w:lineRule="auto"/>
        <w:ind w:right="84" w:rightChars="40" w:firstLine="482" w:firstLineChars="200"/>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3.2.3</w:t>
      </w:r>
      <w:r>
        <w:rPr>
          <w:rFonts w:hint="eastAsia" w:ascii="宋体" w:hAnsi="宋体" w:eastAsia="宋体" w:cs="宋体"/>
          <w:snapToGrid w:val="0"/>
          <w:color w:val="auto"/>
          <w:kern w:val="0"/>
          <w:sz w:val="24"/>
          <w:szCs w:val="24"/>
          <w:highlight w:val="none"/>
        </w:rPr>
        <w:t xml:space="preserve"> 承包人应在签订合同后，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p>
    <w:p w14:paraId="4C8F6CA9">
      <w:pPr>
        <w:keepNext w:val="0"/>
        <w:keepLines w:val="0"/>
        <w:pageBreakBefore w:val="0"/>
        <w:kinsoku/>
        <w:wordWrap w:val="0"/>
        <w:bidi w:val="0"/>
        <w:adjustRightInd w:val="0"/>
        <w:snapToGrid w:val="0"/>
        <w:spacing w:line="360" w:lineRule="auto"/>
        <w:ind w:right="84" w:rightChars="4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3.2.4预付款应从每支付期应支付给承包人的工程进度款中扣回，直到扣回的金额达到合同约定的预付款金额为止。</w:t>
      </w:r>
    </w:p>
    <w:p w14:paraId="6BF55ED4">
      <w:pPr>
        <w:keepNext w:val="0"/>
        <w:keepLines w:val="0"/>
        <w:pageBreakBefore w:val="0"/>
        <w:kinsoku/>
        <w:wordWrap w:val="0"/>
        <w:bidi w:val="0"/>
        <w:adjustRightInd w:val="0"/>
        <w:snapToGrid w:val="0"/>
        <w:spacing w:line="360" w:lineRule="auto"/>
        <w:ind w:right="84" w:rightChars="4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3.3 </w:t>
      </w:r>
      <w:r>
        <w:rPr>
          <w:rFonts w:hint="eastAsia" w:ascii="宋体" w:hAnsi="宋体" w:eastAsia="宋体" w:cs="宋体"/>
          <w:snapToGrid w:val="0"/>
          <w:color w:val="auto"/>
          <w:kern w:val="0"/>
          <w:sz w:val="24"/>
          <w:szCs w:val="24"/>
          <w:highlight w:val="none"/>
        </w:rPr>
        <w:t>施工过程中按月申报工程进度款：承包人每月按工程实际完成工程量（含变更及增加工程）申报，承包人必须将《已完成工程量报表》和《工程付款申请书》于当月26日前报监理单位核</w:t>
      </w:r>
      <w:bookmarkStart w:id="181" w:name="_Hlt127094354"/>
      <w:bookmarkEnd w:id="181"/>
      <w:r>
        <w:rPr>
          <w:rFonts w:hint="eastAsia" w:ascii="宋体" w:hAnsi="宋体" w:eastAsia="宋体" w:cs="宋体"/>
          <w:snapToGrid w:val="0"/>
          <w:color w:val="auto"/>
          <w:kern w:val="0"/>
          <w:sz w:val="24"/>
          <w:szCs w:val="24"/>
          <w:highlight w:val="none"/>
        </w:rPr>
        <w:t>实。经监理单位审核、发包人审定后的工程进度款（指已经按照合同约定，扣除该支付期内因承包人违约而应扣除的管理费），申报后按财政资金拨付到位实际情况进行支付。</w:t>
      </w:r>
    </w:p>
    <w:p w14:paraId="1161B1D0">
      <w:pPr>
        <w:keepNext w:val="0"/>
        <w:keepLines w:val="0"/>
        <w:pageBreakBefore w:val="0"/>
        <w:kinsoku/>
        <w:wordWrap w:val="0"/>
        <w:bidi w:val="0"/>
        <w:adjustRightInd w:val="0"/>
        <w:snapToGrid w:val="0"/>
        <w:spacing w:line="360" w:lineRule="auto"/>
        <w:ind w:right="84" w:rightChars="4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每月的工程进度款按工程实际完成工程量的</w:t>
      </w:r>
      <w:r>
        <w:rPr>
          <w:rFonts w:hint="eastAsia" w:ascii="宋体" w:hAnsi="宋体" w:eastAsia="宋体" w:cs="宋体"/>
          <w:snapToGrid w:val="0"/>
          <w:color w:val="auto"/>
          <w:kern w:val="0"/>
          <w:sz w:val="24"/>
          <w:szCs w:val="24"/>
          <w:highlight w:val="none"/>
          <w:u w:val="single"/>
        </w:rPr>
        <w:t xml:space="preserve"> 8</w:t>
      </w:r>
      <w:r>
        <w:rPr>
          <w:rFonts w:hint="eastAsia" w:ascii="宋体" w:hAnsi="宋体" w:eastAsia="宋体" w:cs="宋体"/>
          <w:snapToGrid w:val="0"/>
          <w:color w:val="auto"/>
          <w:kern w:val="0"/>
          <w:sz w:val="24"/>
          <w:szCs w:val="24"/>
          <w:highlight w:val="none"/>
          <w:u w:val="single"/>
          <w:lang w:val="en-US" w:eastAsia="zh-CN"/>
        </w:rPr>
        <w:t>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申请支付，工程进度款中的作业工人工资款项由发包人单独足额拨付到承包人的工资专户。</w:t>
      </w:r>
    </w:p>
    <w:p w14:paraId="5A4324B0">
      <w:pPr>
        <w:keepNext w:val="0"/>
        <w:keepLines w:val="0"/>
        <w:pageBreakBefore w:val="0"/>
        <w:kinsoku/>
        <w:wordWrap w:val="0"/>
        <w:bidi w:val="0"/>
        <w:adjustRightInd w:val="0"/>
        <w:snapToGrid w:val="0"/>
        <w:spacing w:line="360" w:lineRule="auto"/>
        <w:ind w:right="84" w:rightChars="4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snapToGrid w:val="0"/>
          <w:color w:val="auto"/>
          <w:kern w:val="0"/>
          <w:sz w:val="24"/>
          <w:szCs w:val="24"/>
          <w:highlight w:val="none"/>
        </w:rPr>
        <w:t xml:space="preserve"> 措施项目费中的“</w:t>
      </w:r>
      <w:r>
        <w:rPr>
          <w:rFonts w:hint="eastAsia" w:ascii="宋体" w:hAnsi="宋体" w:eastAsia="宋体" w:cs="宋体"/>
          <w:snapToGrid w:val="0"/>
          <w:color w:val="auto"/>
          <w:kern w:val="0"/>
          <w:sz w:val="24"/>
          <w:szCs w:val="24"/>
          <w:highlight w:val="none"/>
          <w:lang w:eastAsia="zh-CN"/>
        </w:rPr>
        <w:t>安全生产措施费</w:t>
      </w:r>
      <w:r>
        <w:rPr>
          <w:rFonts w:hint="eastAsia" w:ascii="宋体" w:hAnsi="宋体" w:eastAsia="宋体" w:cs="宋体"/>
          <w:snapToGrid w:val="0"/>
          <w:color w:val="auto"/>
          <w:kern w:val="0"/>
          <w:sz w:val="24"/>
          <w:szCs w:val="24"/>
          <w:highlight w:val="none"/>
        </w:rPr>
        <w:t>”拨付按照《广东省建设工程计价依据（2018）》执行，按照项目所在地的建设行政主管部门有关规定支付。发生一般事故及以上等级重大安全事故的，发包人可扣除承包人金额相当于所有“</w:t>
      </w:r>
      <w:r>
        <w:rPr>
          <w:rFonts w:hint="eastAsia" w:ascii="宋体" w:hAnsi="宋体" w:eastAsia="宋体" w:cs="宋体"/>
          <w:snapToGrid w:val="0"/>
          <w:color w:val="auto"/>
          <w:kern w:val="0"/>
          <w:sz w:val="24"/>
          <w:szCs w:val="24"/>
          <w:highlight w:val="none"/>
          <w:lang w:eastAsia="zh-CN"/>
        </w:rPr>
        <w:t>安全生产措施费</w:t>
      </w:r>
      <w:r>
        <w:rPr>
          <w:rFonts w:hint="eastAsia" w:ascii="宋体" w:hAnsi="宋体" w:eastAsia="宋体" w:cs="宋体"/>
          <w:snapToGrid w:val="0"/>
          <w:color w:val="auto"/>
          <w:kern w:val="0"/>
          <w:sz w:val="24"/>
          <w:szCs w:val="24"/>
          <w:highlight w:val="none"/>
        </w:rPr>
        <w:t>”的工程管理费。</w:t>
      </w:r>
    </w:p>
    <w:p w14:paraId="58038E18">
      <w:pPr>
        <w:keepNext w:val="0"/>
        <w:keepLines w:val="0"/>
        <w:pageBreakBefore w:val="0"/>
        <w:kinsoku/>
        <w:wordWrap w:val="0"/>
        <w:bidi w:val="0"/>
        <w:adjustRightInd w:val="0"/>
        <w:snapToGrid w:val="0"/>
        <w:spacing w:line="360" w:lineRule="auto"/>
        <w:ind w:right="84" w:rightChars="4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3.6</w:t>
      </w:r>
      <w:r>
        <w:rPr>
          <w:rFonts w:hint="eastAsia" w:ascii="宋体" w:hAnsi="宋体" w:eastAsia="宋体" w:cs="宋体"/>
          <w:snapToGrid w:val="0"/>
          <w:color w:val="auto"/>
          <w:kern w:val="0"/>
          <w:sz w:val="24"/>
          <w:szCs w:val="24"/>
          <w:highlight w:val="none"/>
        </w:rPr>
        <w:t xml:space="preserve"> 变更工程造价必须经监理单位核实，并经发包人核定后方可支付。</w:t>
      </w:r>
    </w:p>
    <w:p w14:paraId="63B44E6E">
      <w:pPr>
        <w:keepNext w:val="0"/>
        <w:keepLines w:val="0"/>
        <w:pageBreakBefore w:val="0"/>
        <w:kinsoku/>
        <w:wordWrap w:val="0"/>
        <w:bidi w:val="0"/>
        <w:adjustRightInd w:val="0"/>
        <w:snapToGrid w:val="0"/>
        <w:spacing w:line="360" w:lineRule="auto"/>
        <w:ind w:right="84" w:rightChars="4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3.7</w:t>
      </w:r>
      <w:r>
        <w:rPr>
          <w:rFonts w:hint="eastAsia" w:ascii="宋体" w:hAnsi="宋体" w:eastAsia="宋体" w:cs="宋体"/>
          <w:snapToGrid w:val="0"/>
          <w:color w:val="auto"/>
          <w:kern w:val="0"/>
          <w:sz w:val="24"/>
          <w:szCs w:val="24"/>
          <w:highlight w:val="none"/>
        </w:rPr>
        <w:t xml:space="preserve"> 结算审核完成后，于次月支付至合同价格的97%</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以仁化县</w:t>
      </w:r>
      <w:r>
        <w:rPr>
          <w:rFonts w:hint="eastAsia" w:ascii="宋体" w:hAnsi="宋体" w:eastAsia="宋体" w:cs="宋体"/>
          <w:snapToGrid w:val="0"/>
          <w:color w:val="auto"/>
          <w:kern w:val="0"/>
          <w:sz w:val="24"/>
          <w:szCs w:val="24"/>
          <w:highlight w:val="none"/>
          <w:lang w:val="en-US"/>
        </w:rPr>
        <w:t>财政</w:t>
      </w:r>
      <w:r>
        <w:rPr>
          <w:rFonts w:hint="eastAsia" w:ascii="宋体" w:hAnsi="宋体" w:eastAsia="宋体" w:cs="宋体"/>
          <w:snapToGrid w:val="0"/>
          <w:color w:val="auto"/>
          <w:kern w:val="0"/>
          <w:sz w:val="24"/>
          <w:szCs w:val="24"/>
          <w:highlight w:val="none"/>
          <w:lang w:val="en-US" w:eastAsia="zh-CN"/>
        </w:rPr>
        <w:t>部门</w:t>
      </w:r>
      <w:r>
        <w:rPr>
          <w:rFonts w:hint="eastAsia" w:ascii="宋体" w:hAnsi="宋体" w:eastAsia="宋体" w:cs="宋体"/>
          <w:snapToGrid w:val="0"/>
          <w:color w:val="auto"/>
          <w:kern w:val="0"/>
          <w:sz w:val="24"/>
          <w:szCs w:val="24"/>
          <w:highlight w:val="none"/>
          <w:lang w:val="en-US"/>
        </w:rPr>
        <w:t>审定后的价格为准</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，剩余3%转为质量保证金</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承包人提交了等额质量保证担保或质量保证保险的，</w:t>
      </w:r>
      <w:r>
        <w:rPr>
          <w:rFonts w:hint="eastAsia" w:ascii="宋体" w:hAnsi="宋体" w:eastAsia="宋体" w:cs="宋体"/>
          <w:snapToGrid w:val="0"/>
          <w:color w:val="auto"/>
          <w:kern w:val="0"/>
          <w:sz w:val="24"/>
          <w:szCs w:val="24"/>
          <w:highlight w:val="none"/>
          <w:lang w:val="en-US" w:eastAsia="zh-CN"/>
        </w:rPr>
        <w:t>可</w:t>
      </w:r>
      <w:r>
        <w:rPr>
          <w:rFonts w:hint="eastAsia" w:ascii="宋体" w:hAnsi="宋体" w:eastAsia="宋体" w:cs="宋体"/>
          <w:snapToGrid w:val="0"/>
          <w:color w:val="auto"/>
          <w:kern w:val="0"/>
          <w:sz w:val="24"/>
          <w:szCs w:val="24"/>
          <w:highlight w:val="none"/>
        </w:rPr>
        <w:t>于次月一次性结清审定</w:t>
      </w:r>
      <w:r>
        <w:rPr>
          <w:rFonts w:hint="eastAsia" w:ascii="宋体" w:hAnsi="宋体" w:eastAsia="宋体" w:cs="宋体"/>
          <w:snapToGrid w:val="0"/>
          <w:color w:val="auto"/>
          <w:kern w:val="0"/>
          <w:sz w:val="24"/>
          <w:szCs w:val="24"/>
          <w:highlight w:val="none"/>
          <w:lang w:eastAsia="zh-CN"/>
        </w:rPr>
        <w:t>结算价</w:t>
      </w:r>
      <w:r>
        <w:rPr>
          <w:rFonts w:hint="eastAsia" w:ascii="宋体" w:hAnsi="宋体" w:eastAsia="宋体" w:cs="宋体"/>
          <w:snapToGrid w:val="0"/>
          <w:color w:val="auto"/>
          <w:kern w:val="0"/>
          <w:sz w:val="24"/>
          <w:szCs w:val="24"/>
          <w:highlight w:val="none"/>
        </w:rPr>
        <w:t>。</w:t>
      </w:r>
    </w:p>
    <w:p w14:paraId="058D0CEB">
      <w:pPr>
        <w:keepNext w:val="0"/>
        <w:keepLines w:val="0"/>
        <w:pageBreakBefore w:val="0"/>
        <w:widowControl w:val="0"/>
        <w:kinsoku/>
        <w:wordWrap w:val="0"/>
        <w:overflowPunct/>
        <w:topLinePunct w:val="0"/>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spacing w:val="0"/>
          <w:kern w:val="0"/>
          <w:sz w:val="24"/>
          <w:szCs w:val="24"/>
          <w:highlight w:val="none"/>
          <w:lang w:eastAsia="zh-CN"/>
        </w:rPr>
      </w:pPr>
      <w:r>
        <w:rPr>
          <w:rFonts w:hint="eastAsia" w:ascii="宋体" w:hAnsi="宋体" w:eastAsia="宋体" w:cs="宋体"/>
          <w:b/>
          <w:bCs/>
          <w:snapToGrid w:val="0"/>
          <w:color w:val="auto"/>
          <w:kern w:val="0"/>
          <w:sz w:val="24"/>
          <w:szCs w:val="24"/>
          <w:highlight w:val="none"/>
        </w:rPr>
        <w:t>3.8</w:t>
      </w:r>
      <w:r>
        <w:rPr>
          <w:rFonts w:hint="eastAsia" w:ascii="宋体" w:hAnsi="宋体" w:eastAsia="宋体" w:cs="宋体"/>
          <w:color w:val="auto"/>
          <w:sz w:val="24"/>
          <w:szCs w:val="24"/>
          <w:highlight w:val="none"/>
        </w:rPr>
        <w:t>本招标项目缺陷责任期为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年（自通过竣工验收之日起计）。缺陷责任期到期后，承包人向发包人申请退还质量保证。发包人收到退还申请后，于14天内会同承包人进行核实。经双方核实且均无异议后，发包人在核实之日起 14 天内将应返保证金（或银行保函）退还承包人。</w:t>
      </w:r>
    </w:p>
    <w:p w14:paraId="5F97EA0E">
      <w:pPr>
        <w:keepNext w:val="0"/>
        <w:keepLines w:val="0"/>
        <w:pageBreakBefore w:val="0"/>
        <w:widowControl w:val="0"/>
        <w:kinsoku/>
        <w:wordWrap w:val="0"/>
        <w:overflowPunct/>
        <w:topLinePunct w:val="0"/>
        <w:autoSpaceDE/>
        <w:autoSpaceDN/>
        <w:bidi w:val="0"/>
        <w:adjustRightInd w:val="0"/>
        <w:snapToGrid w:val="0"/>
        <w:spacing w:line="440" w:lineRule="exact"/>
        <w:ind w:right="84" w:rightChars="40" w:firstLine="480" w:firstLineChars="200"/>
        <w:jc w:val="both"/>
        <w:textAlignment w:val="auto"/>
        <w:rPr>
          <w:rFonts w:hint="eastAsia" w:ascii="宋体" w:hAnsi="宋体" w:eastAsia="宋体" w:cs="宋体"/>
          <w:b w:val="0"/>
          <w:bCs w:val="0"/>
          <w:snapToGrid w:val="0"/>
          <w:color w:val="auto"/>
          <w:spacing w:val="0"/>
          <w:kern w:val="0"/>
          <w:sz w:val="24"/>
          <w:szCs w:val="20"/>
          <w:highlight w:val="none"/>
          <w:lang w:eastAsia="zh-CN"/>
        </w:rPr>
      </w:pPr>
      <w:r>
        <w:rPr>
          <w:rFonts w:hint="eastAsia" w:ascii="宋体" w:hAnsi="宋体" w:eastAsia="宋体" w:cs="宋体"/>
          <w:b w:val="0"/>
          <w:bCs w:val="0"/>
          <w:snapToGrid w:val="0"/>
          <w:color w:val="auto"/>
          <w:spacing w:val="0"/>
          <w:kern w:val="0"/>
          <w:sz w:val="24"/>
          <w:szCs w:val="20"/>
          <w:highlight w:val="none"/>
          <w:lang w:eastAsia="zh-CN"/>
        </w:rPr>
        <w:t>3.9 发包人每次支付工程款前，承包人均应提供有效的增值税发票。如果承包人无法提供符合要求的发票，由此造成的相应损失由承包人承担。</w:t>
      </w:r>
    </w:p>
    <w:p w14:paraId="5FDBA552">
      <w:pPr>
        <w:keepNext w:val="0"/>
        <w:keepLines w:val="0"/>
        <w:pageBreakBefore w:val="0"/>
        <w:widowControl w:val="0"/>
        <w:kinsoku/>
        <w:wordWrap w:val="0"/>
        <w:overflowPunct/>
        <w:topLinePunct w:val="0"/>
        <w:autoSpaceDE/>
        <w:autoSpaceDN/>
        <w:bidi w:val="0"/>
        <w:adjustRightInd w:val="0"/>
        <w:snapToGrid w:val="0"/>
        <w:spacing w:line="440" w:lineRule="exact"/>
        <w:ind w:right="84" w:rightChars="40" w:firstLine="482" w:firstLineChars="200"/>
        <w:jc w:val="both"/>
        <w:textAlignment w:val="auto"/>
        <w:rPr>
          <w:rFonts w:hint="eastAsia" w:ascii="宋体" w:hAnsi="宋体" w:eastAsia="宋体" w:cs="宋体"/>
          <w:snapToGrid w:val="0"/>
          <w:color w:val="auto"/>
          <w:spacing w:val="0"/>
          <w:kern w:val="0"/>
          <w:sz w:val="24"/>
          <w:szCs w:val="20"/>
          <w:highlight w:val="none"/>
          <w:lang w:eastAsia="zh-CN"/>
        </w:rPr>
      </w:pPr>
      <w:r>
        <w:rPr>
          <w:rFonts w:hint="eastAsia" w:ascii="宋体" w:hAnsi="宋体" w:eastAsia="宋体" w:cs="宋体"/>
          <w:b/>
          <w:bCs/>
          <w:snapToGrid w:val="0"/>
          <w:color w:val="auto"/>
          <w:spacing w:val="0"/>
          <w:kern w:val="0"/>
          <w:sz w:val="24"/>
          <w:szCs w:val="20"/>
          <w:highlight w:val="none"/>
          <w:lang w:eastAsia="zh-CN"/>
        </w:rPr>
        <w:t>3.</w:t>
      </w:r>
      <w:r>
        <w:rPr>
          <w:rFonts w:hint="eastAsia" w:ascii="宋体" w:hAnsi="宋体" w:eastAsia="宋体" w:cs="宋体"/>
          <w:b/>
          <w:bCs/>
          <w:snapToGrid w:val="0"/>
          <w:color w:val="auto"/>
          <w:spacing w:val="0"/>
          <w:kern w:val="0"/>
          <w:sz w:val="24"/>
          <w:szCs w:val="20"/>
          <w:highlight w:val="none"/>
          <w:lang w:val="en-US" w:eastAsia="zh-CN"/>
        </w:rPr>
        <w:t>10</w:t>
      </w:r>
      <w:r>
        <w:rPr>
          <w:rFonts w:hint="eastAsia" w:ascii="宋体" w:hAnsi="宋体" w:eastAsia="宋体" w:cs="宋体"/>
          <w:snapToGrid w:val="0"/>
          <w:color w:val="auto"/>
          <w:spacing w:val="0"/>
          <w:kern w:val="0"/>
          <w:sz w:val="24"/>
          <w:szCs w:val="20"/>
          <w:highlight w:val="none"/>
          <w:lang w:eastAsia="zh-CN"/>
        </w:rPr>
        <w:t>暂列金额支付方式：</w:t>
      </w:r>
      <w:r>
        <w:rPr>
          <w:rFonts w:hint="eastAsia" w:ascii="宋体" w:hAnsi="宋体" w:eastAsia="宋体" w:cs="宋体"/>
          <w:snapToGrid w:val="0"/>
          <w:color w:val="auto"/>
          <w:spacing w:val="0"/>
          <w:kern w:val="0"/>
          <w:sz w:val="24"/>
          <w:szCs w:val="20"/>
          <w:highlight w:val="none"/>
          <w:u w:val="single"/>
          <w:lang w:val="en-US" w:eastAsia="zh-CN"/>
        </w:rPr>
        <w:t>承包人需根据发布的《工程变更管理办法》和《工程签证管理办法》完善工程变更签证相关程序后，与每个月的工程进度款一并报送；若承包人原因未按上述办法在规定时间内完善工程变更签证相关程序的，当月工程进度款中的变更签证部分暂停拨付。在暂列金额的范围内，最终经发包人确认后支付至该部分实际完成工程量的（80％），其余部分待结算完成审核后支付至 97%，剩余 3%为工程质量保修金。</w:t>
      </w:r>
    </w:p>
    <w:p w14:paraId="4273771D">
      <w:pPr>
        <w:keepNext w:val="0"/>
        <w:keepLines w:val="0"/>
        <w:pageBreakBefore w:val="0"/>
        <w:widowControl w:val="0"/>
        <w:kinsoku/>
        <w:wordWrap w:val="0"/>
        <w:overflowPunct/>
        <w:topLinePunct w:val="0"/>
        <w:autoSpaceDE/>
        <w:autoSpaceDN/>
        <w:bidi w:val="0"/>
        <w:adjustRightInd w:val="0"/>
        <w:snapToGrid w:val="0"/>
        <w:spacing w:line="440" w:lineRule="exact"/>
        <w:ind w:right="84" w:rightChars="40" w:firstLine="482" w:firstLineChars="200"/>
        <w:jc w:val="both"/>
        <w:textAlignment w:val="auto"/>
        <w:rPr>
          <w:rFonts w:hint="eastAsia" w:ascii="宋体" w:hAnsi="宋体" w:eastAsia="宋体" w:cs="宋体"/>
          <w:snapToGrid w:val="0"/>
          <w:color w:val="auto"/>
          <w:spacing w:val="0"/>
          <w:kern w:val="0"/>
          <w:sz w:val="24"/>
          <w:szCs w:val="20"/>
          <w:highlight w:val="none"/>
          <w:u w:val="single"/>
          <w:lang w:eastAsia="zh-CN"/>
        </w:rPr>
      </w:pPr>
      <w:r>
        <w:rPr>
          <w:rFonts w:hint="eastAsia" w:ascii="宋体" w:hAnsi="宋体" w:eastAsia="宋体" w:cs="宋体"/>
          <w:b/>
          <w:bCs/>
          <w:snapToGrid w:val="0"/>
          <w:color w:val="auto"/>
          <w:spacing w:val="0"/>
          <w:kern w:val="0"/>
          <w:sz w:val="24"/>
          <w:szCs w:val="20"/>
          <w:highlight w:val="none"/>
          <w:lang w:eastAsia="zh-CN"/>
        </w:rPr>
        <w:t>3.11</w:t>
      </w:r>
      <w:r>
        <w:rPr>
          <w:rFonts w:hint="eastAsia" w:ascii="宋体" w:hAnsi="宋体" w:eastAsia="宋体" w:cs="宋体"/>
          <w:snapToGrid w:val="0"/>
          <w:color w:val="auto"/>
          <w:spacing w:val="0"/>
          <w:kern w:val="0"/>
          <w:sz w:val="24"/>
          <w:szCs w:val="20"/>
          <w:highlight w:val="none"/>
          <w:lang w:eastAsia="zh-CN"/>
        </w:rPr>
        <w:t xml:space="preserve"> 材料暂估价、专业工程暂估价支付方式：</w:t>
      </w:r>
      <w:r>
        <w:rPr>
          <w:rFonts w:hint="eastAsia" w:ascii="宋体" w:hAnsi="宋体" w:eastAsia="宋体" w:cs="宋体"/>
          <w:snapToGrid w:val="0"/>
          <w:color w:val="auto"/>
          <w:spacing w:val="0"/>
          <w:kern w:val="0"/>
          <w:sz w:val="24"/>
          <w:szCs w:val="20"/>
          <w:highlight w:val="none"/>
          <w:u w:val="single"/>
          <w:lang w:eastAsia="zh-CN"/>
        </w:rPr>
        <w:t>材料暂估价、专业工程暂估价与每个月的工程进度款一并报送，但需要列明详细项目内容，该部分材料暂估价、专业工程暂估价按该部分实际完成工程量的50%支付，工程竣工验收合格后</w:t>
      </w:r>
      <w:r>
        <w:rPr>
          <w:rFonts w:hint="eastAsia" w:ascii="宋体" w:hAnsi="宋体" w:eastAsia="宋体" w:cs="宋体"/>
          <w:snapToGrid w:val="0"/>
          <w:color w:val="auto"/>
          <w:spacing w:val="0"/>
          <w:kern w:val="0"/>
          <w:sz w:val="24"/>
          <w:szCs w:val="20"/>
          <w:highlight w:val="none"/>
          <w:u w:val="single"/>
          <w:lang w:val="en-US" w:eastAsia="zh-CN"/>
        </w:rPr>
        <w:t>14天内</w:t>
      </w:r>
      <w:r>
        <w:rPr>
          <w:rFonts w:hint="eastAsia" w:ascii="宋体" w:hAnsi="宋体" w:eastAsia="宋体" w:cs="宋体"/>
          <w:snapToGrid w:val="0"/>
          <w:color w:val="auto"/>
          <w:spacing w:val="0"/>
          <w:kern w:val="0"/>
          <w:sz w:val="24"/>
          <w:szCs w:val="20"/>
          <w:highlight w:val="none"/>
          <w:u w:val="single"/>
          <w:lang w:eastAsia="zh-CN"/>
        </w:rPr>
        <w:t>支付至8</w:t>
      </w:r>
      <w:r>
        <w:rPr>
          <w:rFonts w:hint="eastAsia" w:ascii="宋体" w:hAnsi="宋体" w:eastAsia="宋体" w:cs="宋体"/>
          <w:snapToGrid w:val="0"/>
          <w:color w:val="auto"/>
          <w:spacing w:val="0"/>
          <w:kern w:val="0"/>
          <w:sz w:val="24"/>
          <w:szCs w:val="20"/>
          <w:highlight w:val="none"/>
          <w:u w:val="single"/>
          <w:lang w:val="en-US" w:eastAsia="zh-CN"/>
        </w:rPr>
        <w:t>0</w:t>
      </w:r>
      <w:r>
        <w:rPr>
          <w:rFonts w:hint="eastAsia" w:ascii="宋体" w:hAnsi="宋体" w:eastAsia="宋体" w:cs="宋体"/>
          <w:snapToGrid w:val="0"/>
          <w:color w:val="auto"/>
          <w:spacing w:val="0"/>
          <w:kern w:val="0"/>
          <w:sz w:val="24"/>
          <w:szCs w:val="20"/>
          <w:highlight w:val="none"/>
          <w:u w:val="single"/>
          <w:lang w:eastAsia="zh-CN"/>
        </w:rPr>
        <w:t>%，剩余部分结算完成后支付至审定造价的97%，剩余3%为工程质量保修金。</w:t>
      </w:r>
    </w:p>
    <w:p w14:paraId="1B4A6494">
      <w:pPr>
        <w:keepNext w:val="0"/>
        <w:keepLines w:val="0"/>
        <w:pageBreakBefore w:val="0"/>
        <w:kinsoku/>
        <w:wordWrap w:val="0"/>
        <w:overflowPunct/>
        <w:topLinePunct w:val="0"/>
        <w:bidi w:val="0"/>
        <w:spacing w:before="154" w:line="212" w:lineRule="auto"/>
        <w:ind w:left="486" w:right="84" w:rightChars="40"/>
        <w:outlineLvl w:val="2"/>
        <w:rPr>
          <w:rFonts w:hint="eastAsia" w:ascii="宋体" w:hAnsi="宋体" w:eastAsia="宋体" w:cs="宋体"/>
          <w:b/>
          <w:bCs/>
          <w:color w:val="auto"/>
          <w:spacing w:val="0"/>
          <w:sz w:val="24"/>
          <w:szCs w:val="24"/>
          <w:highlight w:val="none"/>
        </w:rPr>
      </w:pPr>
      <w:bookmarkStart w:id="182" w:name="_Toc8596"/>
      <w:r>
        <w:rPr>
          <w:rFonts w:hint="eastAsia" w:ascii="宋体" w:hAnsi="宋体" w:eastAsia="宋体" w:cs="宋体"/>
          <w:b/>
          <w:bCs/>
          <w:color w:val="auto"/>
          <w:spacing w:val="0"/>
          <w:sz w:val="24"/>
          <w:szCs w:val="24"/>
          <w:highlight w:val="none"/>
        </w:rPr>
        <w:t>4 ．其他专用合同条款</w:t>
      </w:r>
      <w:bookmarkEnd w:id="182"/>
    </w:p>
    <w:p w14:paraId="51069F9A">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 xml:space="preserve">4.1 </w:t>
      </w:r>
      <w:r>
        <w:rPr>
          <w:rFonts w:hint="eastAsia" w:ascii="宋体" w:hAnsi="宋体" w:eastAsia="宋体" w:cs="宋体"/>
          <w:bCs/>
          <w:snapToGrid w:val="0"/>
          <w:color w:val="auto"/>
          <w:spacing w:val="0"/>
          <w:kern w:val="0"/>
          <w:sz w:val="24"/>
          <w:szCs w:val="24"/>
          <w:highlight w:val="none"/>
          <w:lang w:val="en-US" w:eastAsia="zh-CN"/>
        </w:rPr>
        <w:t xml:space="preserve">专业工程分包 </w:t>
      </w:r>
    </w:p>
    <w:p w14:paraId="71E5A23E">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 </w:t>
      </w:r>
    </w:p>
    <w:p w14:paraId="0D298AFB">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4.2</w:t>
      </w:r>
      <w:r>
        <w:rPr>
          <w:rFonts w:hint="eastAsia" w:ascii="宋体" w:hAnsi="宋体" w:eastAsia="宋体" w:cs="宋体"/>
          <w:bCs/>
          <w:snapToGrid w:val="0"/>
          <w:color w:val="auto"/>
          <w:spacing w:val="0"/>
          <w:kern w:val="0"/>
          <w:sz w:val="24"/>
          <w:szCs w:val="24"/>
          <w:highlight w:val="none"/>
          <w:lang w:val="en-US" w:eastAsia="zh-CN"/>
        </w:rPr>
        <w:t xml:space="preserve"> 工人工资支付专用账户 </w:t>
      </w:r>
    </w:p>
    <w:p w14:paraId="2454931A">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4.2.1</w:t>
      </w:r>
      <w:r>
        <w:rPr>
          <w:rFonts w:hint="eastAsia" w:ascii="宋体" w:hAnsi="宋体" w:eastAsia="宋体" w:cs="宋体"/>
          <w:bCs/>
          <w:snapToGrid w:val="0"/>
          <w:color w:val="auto"/>
          <w:spacing w:val="0"/>
          <w:kern w:val="0"/>
          <w:sz w:val="24"/>
          <w:szCs w:val="24"/>
          <w:highlight w:val="none"/>
          <w:lang w:val="en-US" w:eastAsia="zh-CN"/>
        </w:rPr>
        <w:t xml:space="preserve"> 发、承包双方订立合同时，应就承包人设立工人工资支付专用账户（以下简称“工资专户”）、工程进度款中工人工资款的比例为30%、工资款拨付的期限等事项作出明确约定。发包人按照合同约定，按月将工程款中的工资款项单独足额拨付到承包人的工资专户，并对承包人工人工资支付情况进行监督，及时协调解决工人工资发放中存在的问题。  </w:t>
      </w:r>
    </w:p>
    <w:p w14:paraId="3733DDD0">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4.2.2</w:t>
      </w:r>
      <w:r>
        <w:rPr>
          <w:rFonts w:hint="eastAsia" w:ascii="宋体" w:hAnsi="宋体" w:eastAsia="宋体" w:cs="宋体"/>
          <w:bCs/>
          <w:snapToGrid w:val="0"/>
          <w:color w:val="auto"/>
          <w:spacing w:val="0"/>
          <w:kern w:val="0"/>
          <w:sz w:val="24"/>
          <w:szCs w:val="24"/>
          <w:highlight w:val="none"/>
          <w:lang w:val="en-US" w:eastAsia="zh-CN"/>
        </w:rPr>
        <w:t xml:space="preserve"> 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 </w:t>
      </w:r>
    </w:p>
    <w:p w14:paraId="64D1C6EB">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按韶关市人力资源和社会保障局 韶关市住房和城乡建设管理局 韶关市交通运输局韶关市水务局 韶关市金融工作局 国家金融监督管理总局韶关监管分局关于印发《韶关市工程建设领域农民工工资保证金管理实施细则》的通知(韶人社规〔2023〕2 号) 及《韶关市工程建设领域农民工工资保证金管理实施细则》（韶法审〔2023〕19 号）规定执行。承包人在签订工程施工承包合同后一个月内必须办妥该事项，并将办妥回执交发包人。 </w:t>
      </w:r>
    </w:p>
    <w:p w14:paraId="6F4D0182">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 </w:t>
      </w:r>
    </w:p>
    <w:p w14:paraId="4564E298">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4.2.3</w:t>
      </w:r>
      <w:r>
        <w:rPr>
          <w:rFonts w:hint="eastAsia" w:ascii="宋体" w:hAnsi="宋体" w:eastAsia="宋体" w:cs="宋体"/>
          <w:bCs/>
          <w:snapToGrid w:val="0"/>
          <w:color w:val="auto"/>
          <w:spacing w:val="0"/>
          <w:kern w:val="0"/>
          <w:sz w:val="24"/>
          <w:szCs w:val="24"/>
          <w:highlight w:val="none"/>
          <w:lang w:val="en-US" w:eastAsia="zh-CN"/>
        </w:rPr>
        <w:t xml:space="preserve"> 承包人应在工资专户开立后 2 个工作日内，将开户银行及其账号、开户协议等资料提交给发包人。 </w:t>
      </w:r>
    </w:p>
    <w:p w14:paraId="0F3EA377">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（1）用人单位应当在建设项目动工前，在建设项目所在地商业银行设立工人工资支付专用账户。 </w:t>
      </w:r>
    </w:p>
    <w:p w14:paraId="776A9988">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（2）用人单位应当在用工之日起 15 日内为每一位工人办理个人银行账户。</w:t>
      </w:r>
    </w:p>
    <w:p w14:paraId="327E5743">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t>（3）用人单位应当指定专人负责建设项目施工现场台账管理，真实、准确记录工人名册、劳务合同、劳动合同、工程进度、工时台账、劳务承包款和工人工资支付等信息，并保存两年以上备查。</w:t>
      </w:r>
    </w:p>
    <w:p w14:paraId="493CA8AC">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t>（4）用人单位应当按照“及时支付，按实结算”的原则，在规定日期前通过银行工人工资支付专用账户将工人工资直接支付到工人的个人银行账户，并按月将工人工资支付 明细表报施工总承包单位和建设单位备案。</w:t>
      </w:r>
    </w:p>
    <w:p w14:paraId="2E48CB02">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t xml:space="preserve"> 用人单位未建立、保存用工管理台账，或者伪造相关台账的，按照《广东省劳动保障监察条例》第四十九条的规定，由人力资源社会保障部门责令改正，并可处以二千元以上二万元以下的人民币罚款。</w:t>
      </w:r>
    </w:p>
    <w:p w14:paraId="35366B38">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4.2.4</w:t>
      </w:r>
      <w:r>
        <w:rPr>
          <w:rFonts w:hint="eastAsia" w:ascii="宋体" w:hAnsi="宋体" w:eastAsia="宋体" w:cs="宋体"/>
          <w:bCs/>
          <w:snapToGrid w:val="0"/>
          <w:color w:val="auto"/>
          <w:spacing w:val="0"/>
          <w:kern w:val="0"/>
          <w:sz w:val="24"/>
          <w:szCs w:val="24"/>
          <w:highlight w:val="none"/>
          <w:lang w:val="en-US" w:eastAsia="zh-CN"/>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 </w:t>
      </w:r>
    </w:p>
    <w:p w14:paraId="34B5D41B">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4.3</w:t>
      </w:r>
      <w:r>
        <w:rPr>
          <w:rFonts w:hint="eastAsia" w:ascii="宋体" w:hAnsi="宋体" w:eastAsia="宋体" w:cs="宋体"/>
          <w:bCs/>
          <w:snapToGrid w:val="0"/>
          <w:color w:val="auto"/>
          <w:spacing w:val="0"/>
          <w:kern w:val="0"/>
          <w:sz w:val="24"/>
          <w:szCs w:val="24"/>
          <w:highlight w:val="none"/>
          <w:lang w:val="en-US" w:eastAsia="zh-CN"/>
        </w:rPr>
        <w:t xml:space="preserve"> 诚信登记 </w:t>
      </w:r>
    </w:p>
    <w:p w14:paraId="6076B962">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根据资质管理规定，许可机关应当建立、健全建筑业企业信用档案管理制度，包括企业基本信息、资质、业绩、工程质量和安全、合同履约、社会投诉和违法行为等情况。 </w:t>
      </w:r>
    </w:p>
    <w:p w14:paraId="1254AFFF">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4.4</w:t>
      </w:r>
      <w:r>
        <w:rPr>
          <w:rFonts w:hint="eastAsia" w:ascii="宋体" w:hAnsi="宋体" w:eastAsia="宋体" w:cs="宋体"/>
          <w:bCs/>
          <w:snapToGrid w:val="0"/>
          <w:color w:val="auto"/>
          <w:spacing w:val="0"/>
          <w:kern w:val="0"/>
          <w:sz w:val="24"/>
          <w:szCs w:val="24"/>
          <w:highlight w:val="none"/>
          <w:lang w:val="en-US" w:eastAsia="zh-CN"/>
        </w:rPr>
        <w:t xml:space="preserve"> 工期进度 </w:t>
      </w:r>
    </w:p>
    <w:p w14:paraId="50B1FB1B">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4.4.1</w:t>
      </w:r>
      <w:r>
        <w:rPr>
          <w:rFonts w:hint="eastAsia" w:ascii="宋体" w:hAnsi="宋体" w:eastAsia="宋体" w:cs="宋体"/>
          <w:bCs/>
          <w:snapToGrid w:val="0"/>
          <w:color w:val="auto"/>
          <w:spacing w:val="0"/>
          <w:kern w:val="0"/>
          <w:sz w:val="24"/>
          <w:szCs w:val="24"/>
          <w:highlight w:val="none"/>
          <w:lang w:val="en-US" w:eastAsia="zh-CN"/>
        </w:rPr>
        <w:t xml:space="preserve"> 本招标项目施工标准工期为</w:t>
      </w:r>
      <w:r>
        <w:rPr>
          <w:rFonts w:hint="eastAsia" w:ascii="宋体" w:hAnsi="宋体" w:eastAsia="宋体" w:cs="宋体"/>
          <w:bCs/>
          <w:snapToGrid w:val="0"/>
          <w:color w:val="auto"/>
          <w:spacing w:val="0"/>
          <w:kern w:val="0"/>
          <w:sz w:val="24"/>
          <w:szCs w:val="24"/>
          <w:highlight w:val="none"/>
          <w:u w:val="single"/>
          <w:lang w:val="en-US" w:eastAsia="zh-CN"/>
        </w:rPr>
        <w:t>60</w:t>
      </w:r>
      <w:r>
        <w:rPr>
          <w:rFonts w:hint="eastAsia" w:ascii="宋体" w:hAnsi="宋体" w:eastAsia="宋体" w:cs="宋体"/>
          <w:bCs/>
          <w:snapToGrid w:val="0"/>
          <w:color w:val="auto"/>
          <w:spacing w:val="0"/>
          <w:kern w:val="0"/>
          <w:sz w:val="24"/>
          <w:szCs w:val="24"/>
          <w:highlight w:val="none"/>
          <w:lang w:val="en-US" w:eastAsia="zh-CN"/>
        </w:rPr>
        <w:t>个日历天，招标工期为</w:t>
      </w:r>
      <w:r>
        <w:rPr>
          <w:rFonts w:hint="eastAsia" w:ascii="宋体" w:hAnsi="宋体" w:eastAsia="宋体" w:cs="宋体"/>
          <w:bCs/>
          <w:snapToGrid w:val="0"/>
          <w:color w:val="auto"/>
          <w:spacing w:val="0"/>
          <w:kern w:val="0"/>
          <w:sz w:val="24"/>
          <w:szCs w:val="24"/>
          <w:highlight w:val="none"/>
          <w:u w:val="single"/>
          <w:lang w:val="en-US" w:eastAsia="zh-CN"/>
        </w:rPr>
        <w:t>60</w:t>
      </w:r>
      <w:r>
        <w:rPr>
          <w:rFonts w:hint="eastAsia" w:ascii="宋体" w:hAnsi="宋体" w:eastAsia="宋体" w:cs="宋体"/>
          <w:bCs/>
          <w:snapToGrid w:val="0"/>
          <w:color w:val="auto"/>
          <w:spacing w:val="0"/>
          <w:kern w:val="0"/>
          <w:sz w:val="24"/>
          <w:szCs w:val="24"/>
          <w:highlight w:val="none"/>
          <w:lang w:val="en-US" w:eastAsia="zh-CN"/>
        </w:rPr>
        <w:t xml:space="preserve">个日历天，承包人必须在招标工期内完成招标范围内的全部内容。 </w:t>
      </w:r>
    </w:p>
    <w:p w14:paraId="39378272">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4.4.2</w:t>
      </w:r>
      <w:r>
        <w:rPr>
          <w:rFonts w:hint="eastAsia" w:ascii="宋体" w:hAnsi="宋体" w:eastAsia="宋体" w:cs="宋体"/>
          <w:bCs/>
          <w:snapToGrid w:val="0"/>
          <w:color w:val="auto"/>
          <w:spacing w:val="0"/>
          <w:kern w:val="0"/>
          <w:sz w:val="24"/>
          <w:szCs w:val="24"/>
          <w:highlight w:val="none"/>
          <w:lang w:val="en-US" w:eastAsia="zh-CN"/>
        </w:rPr>
        <w:t xml:space="preserve"> 施工工期从承包人收到监理单位签发的开工令之日起计，至竣工验收合格之日止。</w:t>
      </w:r>
    </w:p>
    <w:p w14:paraId="48D28B1B">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4.4.3</w:t>
      </w:r>
      <w:r>
        <w:rPr>
          <w:rFonts w:hint="eastAsia" w:ascii="宋体" w:hAnsi="宋体" w:eastAsia="宋体" w:cs="宋体"/>
          <w:bCs/>
          <w:snapToGrid w:val="0"/>
          <w:color w:val="auto"/>
          <w:spacing w:val="0"/>
          <w:kern w:val="0"/>
          <w:sz w:val="24"/>
          <w:szCs w:val="24"/>
          <w:highlight w:val="none"/>
          <w:lang w:val="en-US" w:eastAsia="zh-CN"/>
        </w:rPr>
        <w:t xml:space="preserve"> 工期奖罚 </w:t>
      </w:r>
    </w:p>
    <w:p w14:paraId="046DC92A">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□竣工验收合格交付使用每提前</w:t>
      </w:r>
      <w:r>
        <w:rPr>
          <w:rFonts w:hint="eastAsia" w:ascii="宋体" w:hAnsi="宋体" w:eastAsia="宋体" w:cs="宋体"/>
          <w:bCs/>
          <w:snapToGrid w:val="0"/>
          <w:color w:val="auto"/>
          <w:spacing w:val="0"/>
          <w:kern w:val="0"/>
          <w:sz w:val="24"/>
          <w:szCs w:val="24"/>
          <w:highlight w:val="none"/>
          <w:u w:val="single"/>
          <w:lang w:val="en-US" w:eastAsia="zh-CN"/>
        </w:rPr>
        <w:t>/</w:t>
      </w:r>
      <w:r>
        <w:rPr>
          <w:rFonts w:hint="eastAsia" w:ascii="宋体" w:hAnsi="宋体" w:eastAsia="宋体" w:cs="宋体"/>
          <w:bCs/>
          <w:snapToGrid w:val="0"/>
          <w:color w:val="auto"/>
          <w:spacing w:val="0"/>
          <w:kern w:val="0"/>
          <w:sz w:val="24"/>
          <w:szCs w:val="24"/>
          <w:highlight w:val="none"/>
          <w:lang w:val="en-US" w:eastAsia="zh-CN"/>
        </w:rPr>
        <w:t>天竣工；奖</w:t>
      </w:r>
      <w:r>
        <w:rPr>
          <w:rFonts w:hint="eastAsia" w:ascii="宋体" w:hAnsi="宋体" w:eastAsia="宋体" w:cs="宋体"/>
          <w:bCs/>
          <w:snapToGrid w:val="0"/>
          <w:color w:val="auto"/>
          <w:spacing w:val="0"/>
          <w:kern w:val="0"/>
          <w:sz w:val="24"/>
          <w:szCs w:val="24"/>
          <w:highlight w:val="none"/>
          <w:u w:val="single"/>
          <w:lang w:val="en-US" w:eastAsia="zh-CN"/>
        </w:rPr>
        <w:t xml:space="preserve">/ </w:t>
      </w:r>
      <w:r>
        <w:rPr>
          <w:rFonts w:hint="eastAsia" w:ascii="宋体" w:hAnsi="宋体" w:eastAsia="宋体" w:cs="宋体"/>
          <w:bCs/>
          <w:snapToGrid w:val="0"/>
          <w:color w:val="auto"/>
          <w:spacing w:val="0"/>
          <w:kern w:val="0"/>
          <w:sz w:val="24"/>
          <w:szCs w:val="24"/>
          <w:highlight w:val="none"/>
          <w:lang w:val="en-US" w:eastAsia="zh-CN"/>
        </w:rPr>
        <w:t>元，奖励金额不超过合同价款的</w:t>
      </w:r>
      <w:r>
        <w:rPr>
          <w:rFonts w:hint="eastAsia" w:ascii="宋体" w:hAnsi="宋体" w:eastAsia="宋体" w:cs="宋体"/>
          <w:bCs/>
          <w:snapToGrid w:val="0"/>
          <w:color w:val="auto"/>
          <w:spacing w:val="0"/>
          <w:kern w:val="0"/>
          <w:sz w:val="24"/>
          <w:szCs w:val="24"/>
          <w:highlight w:val="none"/>
          <w:u w:val="single"/>
          <w:lang w:val="en-US" w:eastAsia="zh-CN"/>
        </w:rPr>
        <w:t>/</w:t>
      </w:r>
      <w:r>
        <w:rPr>
          <w:rFonts w:hint="eastAsia" w:ascii="宋体" w:hAnsi="宋体" w:eastAsia="宋体" w:cs="宋体"/>
          <w:bCs/>
          <w:snapToGrid w:val="0"/>
          <w:color w:val="auto"/>
          <w:spacing w:val="0"/>
          <w:kern w:val="0"/>
          <w:sz w:val="24"/>
          <w:szCs w:val="24"/>
          <w:highlight w:val="none"/>
          <w:lang w:val="en-US" w:eastAsia="zh-CN"/>
        </w:rPr>
        <w:t>%（一般为 2%～5%）且不超过</w:t>
      </w:r>
      <w:r>
        <w:rPr>
          <w:rFonts w:hint="eastAsia" w:ascii="宋体" w:hAnsi="宋体" w:eastAsia="宋体" w:cs="宋体"/>
          <w:bCs/>
          <w:snapToGrid w:val="0"/>
          <w:color w:val="auto"/>
          <w:spacing w:val="0"/>
          <w:kern w:val="0"/>
          <w:sz w:val="24"/>
          <w:szCs w:val="24"/>
          <w:highlight w:val="none"/>
          <w:u w:val="single"/>
          <w:lang w:val="en-US" w:eastAsia="zh-CN"/>
        </w:rPr>
        <w:t>/</w:t>
      </w:r>
      <w:r>
        <w:rPr>
          <w:rFonts w:hint="eastAsia" w:ascii="宋体" w:hAnsi="宋体" w:eastAsia="宋体" w:cs="宋体"/>
          <w:bCs/>
          <w:snapToGrid w:val="0"/>
          <w:color w:val="auto"/>
          <w:spacing w:val="0"/>
          <w:kern w:val="0"/>
          <w:sz w:val="24"/>
          <w:szCs w:val="24"/>
          <w:highlight w:val="none"/>
          <w:lang w:val="en-US" w:eastAsia="zh-CN"/>
        </w:rPr>
        <w:t xml:space="preserve">元。 </w:t>
      </w:r>
    </w:p>
    <w:p w14:paraId="65E4E594">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□按施工合同期约定,因承包人原因每延误</w:t>
      </w:r>
      <w:r>
        <w:rPr>
          <w:rFonts w:hint="eastAsia" w:ascii="宋体" w:hAnsi="宋体" w:eastAsia="宋体" w:cs="宋体"/>
          <w:bCs/>
          <w:snapToGrid w:val="0"/>
          <w:color w:val="auto"/>
          <w:spacing w:val="0"/>
          <w:kern w:val="0"/>
          <w:sz w:val="24"/>
          <w:szCs w:val="24"/>
          <w:highlight w:val="none"/>
          <w:u w:val="single"/>
          <w:lang w:val="en-US" w:eastAsia="zh-CN"/>
        </w:rPr>
        <w:t>/</w:t>
      </w:r>
      <w:r>
        <w:rPr>
          <w:rFonts w:hint="eastAsia" w:ascii="宋体" w:hAnsi="宋体" w:eastAsia="宋体" w:cs="宋体"/>
          <w:bCs/>
          <w:snapToGrid w:val="0"/>
          <w:color w:val="auto"/>
          <w:spacing w:val="0"/>
          <w:kern w:val="0"/>
          <w:sz w:val="24"/>
          <w:szCs w:val="24"/>
          <w:highlight w:val="none"/>
          <w:lang w:val="en-US" w:eastAsia="zh-CN"/>
        </w:rPr>
        <w:t>天竣工,罚</w:t>
      </w:r>
      <w:r>
        <w:rPr>
          <w:rFonts w:hint="eastAsia" w:ascii="宋体" w:hAnsi="宋体" w:eastAsia="宋体" w:cs="宋体"/>
          <w:bCs/>
          <w:snapToGrid w:val="0"/>
          <w:color w:val="auto"/>
          <w:spacing w:val="0"/>
          <w:kern w:val="0"/>
          <w:sz w:val="24"/>
          <w:szCs w:val="24"/>
          <w:highlight w:val="none"/>
          <w:u w:val="single"/>
          <w:lang w:val="en-US" w:eastAsia="zh-CN"/>
        </w:rPr>
        <w:t>/</w:t>
      </w:r>
      <w:r>
        <w:rPr>
          <w:rFonts w:hint="eastAsia" w:ascii="宋体" w:hAnsi="宋体" w:eastAsia="宋体" w:cs="宋体"/>
          <w:bCs/>
          <w:snapToGrid w:val="0"/>
          <w:color w:val="auto"/>
          <w:spacing w:val="0"/>
          <w:kern w:val="0"/>
          <w:sz w:val="24"/>
          <w:szCs w:val="24"/>
          <w:highlight w:val="none"/>
          <w:lang w:val="en-US" w:eastAsia="zh-CN"/>
        </w:rPr>
        <w:t xml:space="preserve">元。 </w:t>
      </w:r>
    </w:p>
    <w:p w14:paraId="74F80B12">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□按施工合同期约定,因承包人原因延误工期</w:t>
      </w:r>
      <w:r>
        <w:rPr>
          <w:rFonts w:hint="eastAsia" w:ascii="宋体" w:hAnsi="宋体" w:eastAsia="宋体" w:cs="宋体"/>
          <w:bCs/>
          <w:snapToGrid w:val="0"/>
          <w:color w:val="auto"/>
          <w:spacing w:val="0"/>
          <w:kern w:val="0"/>
          <w:sz w:val="24"/>
          <w:szCs w:val="24"/>
          <w:highlight w:val="none"/>
          <w:u w:val="single"/>
          <w:lang w:val="en-US" w:eastAsia="zh-CN"/>
        </w:rPr>
        <w:t>/</w:t>
      </w:r>
      <w:r>
        <w:rPr>
          <w:rFonts w:hint="eastAsia" w:ascii="宋体" w:hAnsi="宋体" w:eastAsia="宋体" w:cs="宋体"/>
          <w:bCs/>
          <w:snapToGrid w:val="0"/>
          <w:color w:val="auto"/>
          <w:spacing w:val="0"/>
          <w:kern w:val="0"/>
          <w:sz w:val="24"/>
          <w:szCs w:val="24"/>
          <w:highlight w:val="none"/>
          <w:lang w:val="en-US" w:eastAsia="zh-CN"/>
        </w:rPr>
        <w:t>天内不处罚， 自第壹天起每延误</w:t>
      </w:r>
      <w:r>
        <w:rPr>
          <w:rFonts w:hint="eastAsia" w:ascii="宋体" w:hAnsi="宋体" w:eastAsia="宋体" w:cs="宋体"/>
          <w:bCs/>
          <w:snapToGrid w:val="0"/>
          <w:color w:val="auto"/>
          <w:spacing w:val="0"/>
          <w:kern w:val="0"/>
          <w:sz w:val="24"/>
          <w:szCs w:val="24"/>
          <w:highlight w:val="none"/>
          <w:u w:val="single"/>
          <w:lang w:val="en-US" w:eastAsia="zh-CN"/>
        </w:rPr>
        <w:t>/</w:t>
      </w:r>
      <w:r>
        <w:rPr>
          <w:rFonts w:hint="eastAsia" w:ascii="宋体" w:hAnsi="宋体" w:eastAsia="宋体" w:cs="宋体"/>
          <w:bCs/>
          <w:snapToGrid w:val="0"/>
          <w:color w:val="auto"/>
          <w:spacing w:val="0"/>
          <w:kern w:val="0"/>
          <w:sz w:val="24"/>
          <w:szCs w:val="24"/>
          <w:highlight w:val="none"/>
          <w:lang w:val="en-US" w:eastAsia="zh-CN"/>
        </w:rPr>
        <w:t>天竣工,罚元。处罚金额不超过合同价款的</w:t>
      </w:r>
      <w:r>
        <w:rPr>
          <w:rFonts w:hint="eastAsia" w:ascii="宋体" w:hAnsi="宋体" w:eastAsia="宋体" w:cs="宋体"/>
          <w:bCs/>
          <w:snapToGrid w:val="0"/>
          <w:color w:val="auto"/>
          <w:spacing w:val="0"/>
          <w:kern w:val="0"/>
          <w:sz w:val="24"/>
          <w:szCs w:val="24"/>
          <w:highlight w:val="none"/>
          <w:u w:val="single"/>
          <w:lang w:val="en-US" w:eastAsia="zh-CN"/>
        </w:rPr>
        <w:t>/</w:t>
      </w:r>
      <w:r>
        <w:rPr>
          <w:rFonts w:hint="eastAsia" w:ascii="宋体" w:hAnsi="宋体" w:eastAsia="宋体" w:cs="宋体"/>
          <w:bCs/>
          <w:snapToGrid w:val="0"/>
          <w:color w:val="auto"/>
          <w:spacing w:val="0"/>
          <w:kern w:val="0"/>
          <w:sz w:val="24"/>
          <w:szCs w:val="24"/>
          <w:highlight w:val="none"/>
          <w:lang w:val="en-US" w:eastAsia="zh-CN"/>
        </w:rPr>
        <w:t>%（一般为 2%～5%）且不超过万元，累计延误工期达到</w:t>
      </w:r>
      <w:r>
        <w:rPr>
          <w:rFonts w:hint="eastAsia" w:ascii="宋体" w:hAnsi="宋体" w:eastAsia="宋体" w:cs="宋体"/>
          <w:bCs/>
          <w:snapToGrid w:val="0"/>
          <w:color w:val="auto"/>
          <w:spacing w:val="0"/>
          <w:kern w:val="0"/>
          <w:sz w:val="24"/>
          <w:szCs w:val="24"/>
          <w:highlight w:val="none"/>
          <w:u w:val="single"/>
          <w:lang w:val="en-US" w:eastAsia="zh-CN"/>
        </w:rPr>
        <w:t>/</w:t>
      </w:r>
      <w:r>
        <w:rPr>
          <w:rFonts w:hint="eastAsia" w:ascii="宋体" w:hAnsi="宋体" w:eastAsia="宋体" w:cs="宋体"/>
          <w:bCs/>
          <w:snapToGrid w:val="0"/>
          <w:color w:val="auto"/>
          <w:spacing w:val="0"/>
          <w:kern w:val="0"/>
          <w:sz w:val="24"/>
          <w:szCs w:val="24"/>
          <w:highlight w:val="none"/>
          <w:lang w:val="en-US" w:eastAsia="zh-CN"/>
        </w:rPr>
        <w:t xml:space="preserve">天，报请建设行政主管部门作不良行为记录，非承包方原因或不可抗力造成延误的除外。 </w:t>
      </w:r>
    </w:p>
    <w:p w14:paraId="7091C392">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lang w:val="en-US" w:eastAsia="zh-CN"/>
        </w:rPr>
      </w:pPr>
      <w:r>
        <w:rPr>
          <w:rFonts w:hint="eastAsia" w:ascii="宋体" w:hAnsi="宋体" w:eastAsia="宋体" w:cs="宋体"/>
          <w:bCs/>
          <w:snapToGrid w:val="0"/>
          <w:color w:val="auto"/>
          <w:spacing w:val="0"/>
          <w:kern w:val="0"/>
          <w:sz w:val="24"/>
          <w:szCs w:val="24"/>
          <w:highlight w:val="none"/>
          <w:lang w:val="en-US" w:eastAsia="zh-CN"/>
        </w:rPr>
        <w:t>☑其它说明：（1）因承包人原因，工程没有按期竣工时，承包人须在逾期第壹天起每天按合同价的 1‰ 向发包人返纳逾期竣工违约金。逾期竣工违约金的最高限额为合同价款的3%。</w:t>
      </w:r>
    </w:p>
    <w:p w14:paraId="3965E8AD">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lang w:val="en-US" w:eastAsia="zh-CN"/>
        </w:rPr>
      </w:pPr>
      <w:r>
        <w:rPr>
          <w:rFonts w:hint="eastAsia" w:ascii="宋体" w:hAnsi="宋体" w:eastAsia="宋体" w:cs="宋体"/>
          <w:bCs/>
          <w:snapToGrid w:val="0"/>
          <w:color w:val="auto"/>
          <w:spacing w:val="0"/>
          <w:kern w:val="0"/>
          <w:sz w:val="24"/>
          <w:szCs w:val="24"/>
          <w:highlight w:val="none"/>
          <w:lang w:val="en-US" w:eastAsia="zh-CN"/>
        </w:rPr>
        <w:t>（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2000元缴纳违约金给发包人，在结算中一并扣除。</w:t>
      </w:r>
    </w:p>
    <w:p w14:paraId="2B12986D">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（3）承包人在进场后7天内提交施工进度计划，并注明主要施工节点时间，送监理单位及发包人审核后，作为工期考核的阶段性指标。</w:t>
      </w:r>
    </w:p>
    <w:p w14:paraId="28565A0C">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4.5</w:t>
      </w:r>
      <w:r>
        <w:rPr>
          <w:rFonts w:hint="eastAsia" w:ascii="宋体" w:hAnsi="宋体" w:eastAsia="宋体" w:cs="宋体"/>
          <w:bCs/>
          <w:snapToGrid w:val="0"/>
          <w:color w:val="auto"/>
          <w:spacing w:val="0"/>
          <w:kern w:val="0"/>
          <w:sz w:val="24"/>
          <w:szCs w:val="24"/>
          <w:highlight w:val="none"/>
          <w:lang w:val="en-US" w:eastAsia="zh-CN"/>
        </w:rPr>
        <w:t xml:space="preserve"> 项目管理机构 </w:t>
      </w:r>
    </w:p>
    <w:p w14:paraId="27CA87AC">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4.5.1</w:t>
      </w:r>
      <w:r>
        <w:rPr>
          <w:rFonts w:hint="eastAsia" w:ascii="宋体" w:hAnsi="宋体" w:eastAsia="宋体" w:cs="宋体"/>
          <w:bCs/>
          <w:snapToGrid w:val="0"/>
          <w:color w:val="auto"/>
          <w:spacing w:val="0"/>
          <w:kern w:val="0"/>
          <w:sz w:val="24"/>
          <w:szCs w:val="24"/>
          <w:highlight w:val="none"/>
          <w:lang w:val="en-US" w:eastAsia="zh-CN"/>
        </w:rPr>
        <w:t xml:space="preserve"> 承包人派驻的项目管理班子成员必须为其投标文件确定的人员，否则发包人有权终止合同。 </w:t>
      </w:r>
    </w:p>
    <w:p w14:paraId="155CBDD6">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4.5.2</w:t>
      </w:r>
      <w:r>
        <w:rPr>
          <w:rFonts w:hint="eastAsia" w:ascii="宋体" w:hAnsi="宋体" w:eastAsia="宋体" w:cs="宋体"/>
          <w:bCs/>
          <w:snapToGrid w:val="0"/>
          <w:color w:val="auto"/>
          <w:spacing w:val="0"/>
          <w:kern w:val="0"/>
          <w:sz w:val="24"/>
          <w:szCs w:val="24"/>
          <w:highlight w:val="none"/>
          <w:lang w:val="en-US" w:eastAsia="zh-CN"/>
        </w:rPr>
        <w:t xml:space="preserve"> 项目管理班子成员不得擅自变更。其中，项目经理若有《广东省住房和城乡建设厅关于建设工程项目招标中标后监督检查的办法》（粤建市〔2009〕8 号，以下简称“《办法》”）第九条所述除外情形之一确需变更的，承包人应填写《建设工程项目管理班子变更情况报告表》（《办法》附件 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 </w:t>
      </w:r>
    </w:p>
    <w:p w14:paraId="0AE1D1C1">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4.6</w:t>
      </w:r>
      <w:r>
        <w:rPr>
          <w:rFonts w:hint="eastAsia" w:ascii="宋体" w:hAnsi="宋体" w:eastAsia="宋体" w:cs="宋体"/>
          <w:bCs/>
          <w:snapToGrid w:val="0"/>
          <w:color w:val="auto"/>
          <w:spacing w:val="0"/>
          <w:kern w:val="0"/>
          <w:sz w:val="24"/>
          <w:szCs w:val="24"/>
          <w:highlight w:val="none"/>
          <w:lang w:val="en-US" w:eastAsia="zh-CN"/>
        </w:rPr>
        <w:t xml:space="preserve"> 现场管理 </w:t>
      </w:r>
    </w:p>
    <w:p w14:paraId="75752DF9">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4.6.1</w:t>
      </w:r>
      <w:r>
        <w:rPr>
          <w:rFonts w:hint="eastAsia" w:ascii="宋体" w:hAnsi="宋体" w:eastAsia="宋体" w:cs="宋体"/>
          <w:bCs/>
          <w:snapToGrid w:val="0"/>
          <w:color w:val="auto"/>
          <w:spacing w:val="0"/>
          <w:kern w:val="0"/>
          <w:sz w:val="24"/>
          <w:szCs w:val="24"/>
          <w:highlight w:val="none"/>
          <w:lang w:val="en-US" w:eastAsia="zh-CN"/>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63E3D6BC">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4.6.2</w:t>
      </w:r>
      <w:r>
        <w:rPr>
          <w:rFonts w:hint="eastAsia" w:ascii="宋体" w:hAnsi="宋体" w:eastAsia="宋体" w:cs="宋体"/>
          <w:bCs/>
          <w:snapToGrid w:val="0"/>
          <w:color w:val="auto"/>
          <w:spacing w:val="0"/>
          <w:kern w:val="0"/>
          <w:sz w:val="24"/>
          <w:szCs w:val="24"/>
          <w:highlight w:val="none"/>
          <w:lang w:val="en-US" w:eastAsia="zh-CN"/>
        </w:rPr>
        <w:t xml:space="preserve"> 承包人应按安全施工有关规定，采取严格、科学的安全防护措施，确保施工和人员（包括第三者）的安全，承担由于自身安全防护措施不力所造成的安全事故责任和发生的费用。</w:t>
      </w:r>
    </w:p>
    <w:p w14:paraId="36093A8B">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4.6.3</w:t>
      </w:r>
      <w:r>
        <w:rPr>
          <w:rFonts w:hint="eastAsia" w:ascii="宋体" w:hAnsi="宋体" w:eastAsia="宋体" w:cs="宋体"/>
          <w:bCs/>
          <w:snapToGrid w:val="0"/>
          <w:color w:val="auto"/>
          <w:spacing w:val="0"/>
          <w:kern w:val="0"/>
          <w:sz w:val="24"/>
          <w:szCs w:val="24"/>
          <w:highlight w:val="none"/>
          <w:lang w:val="en-US" w:eastAsia="zh-CN"/>
        </w:rPr>
        <w:t xml:space="preserve"> 为保证施工现场的环境卫生，承包人在本招标项目施工过程中，所有的车辆必须按发包人规定的行车路线行驶。 </w:t>
      </w:r>
    </w:p>
    <w:p w14:paraId="18513EF9">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4.7</w:t>
      </w:r>
      <w:r>
        <w:rPr>
          <w:rFonts w:hint="eastAsia" w:ascii="宋体" w:hAnsi="宋体" w:eastAsia="宋体" w:cs="宋体"/>
          <w:bCs/>
          <w:snapToGrid w:val="0"/>
          <w:color w:val="auto"/>
          <w:spacing w:val="0"/>
          <w:kern w:val="0"/>
          <w:sz w:val="24"/>
          <w:szCs w:val="24"/>
          <w:highlight w:val="none"/>
          <w:lang w:val="en-US" w:eastAsia="zh-CN"/>
        </w:rPr>
        <w:t xml:space="preserve"> 监督实施 </w:t>
      </w:r>
    </w:p>
    <w:p w14:paraId="11B9958F">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承包人须服从发包人对工程质量、进度、成本的全方位监督，施工中的年度计划、季度计划、月度计划、施工方案等应报送监理单位审批和发包人备案。施工中的质量保措施等资料均应及时报送监理单位和发包人备案。 </w:t>
      </w:r>
    </w:p>
    <w:p w14:paraId="1E497966">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4.8</w:t>
      </w:r>
      <w:r>
        <w:rPr>
          <w:rFonts w:hint="eastAsia" w:ascii="宋体" w:hAnsi="宋体" w:eastAsia="宋体" w:cs="宋体"/>
          <w:bCs/>
          <w:snapToGrid w:val="0"/>
          <w:color w:val="auto"/>
          <w:spacing w:val="0"/>
          <w:kern w:val="0"/>
          <w:sz w:val="24"/>
          <w:szCs w:val="24"/>
          <w:highlight w:val="none"/>
          <w:lang w:val="en-US" w:eastAsia="zh-CN"/>
        </w:rPr>
        <w:t xml:space="preserve"> 主材的采购和使用 </w:t>
      </w:r>
    </w:p>
    <w:p w14:paraId="45CFC6FF">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637CD192">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 xml:space="preserve">4.9 </w:t>
      </w:r>
      <w:r>
        <w:rPr>
          <w:rFonts w:hint="eastAsia" w:ascii="宋体" w:hAnsi="宋体" w:eastAsia="宋体" w:cs="宋体"/>
          <w:bCs/>
          <w:snapToGrid w:val="0"/>
          <w:color w:val="auto"/>
          <w:spacing w:val="0"/>
          <w:kern w:val="0"/>
          <w:sz w:val="24"/>
          <w:szCs w:val="24"/>
          <w:highlight w:val="none"/>
          <w:lang w:val="en-US" w:eastAsia="zh-CN"/>
        </w:rPr>
        <w:t xml:space="preserve">竣工资料移交 </w:t>
      </w:r>
    </w:p>
    <w:p w14:paraId="5E7CD976">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项目竣工验收时，承包人应向监理单位和发包人提供符合国家档案部门备案要求的，编制成册的竣工图及有关的技术档案资料（含声像档案）一式四份。 </w:t>
      </w:r>
    </w:p>
    <w:p w14:paraId="4941230A">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4.10</w:t>
      </w:r>
      <w:r>
        <w:rPr>
          <w:rFonts w:hint="eastAsia" w:ascii="宋体" w:hAnsi="宋体" w:eastAsia="宋体" w:cs="宋体"/>
          <w:bCs/>
          <w:snapToGrid w:val="0"/>
          <w:color w:val="auto"/>
          <w:spacing w:val="0"/>
          <w:kern w:val="0"/>
          <w:sz w:val="24"/>
          <w:szCs w:val="24"/>
          <w:highlight w:val="none"/>
          <w:lang w:val="en-US" w:eastAsia="zh-CN"/>
        </w:rPr>
        <w:t xml:space="preserve"> 质量保证</w:t>
      </w:r>
    </w:p>
    <w:p w14:paraId="7C977E2F">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4.10.1</w:t>
      </w:r>
      <w:r>
        <w:rPr>
          <w:rFonts w:hint="eastAsia" w:ascii="宋体" w:hAnsi="宋体" w:eastAsia="宋体" w:cs="宋体"/>
          <w:bCs/>
          <w:snapToGrid w:val="0"/>
          <w:color w:val="auto"/>
          <w:spacing w:val="0"/>
          <w:kern w:val="0"/>
          <w:sz w:val="24"/>
          <w:szCs w:val="24"/>
          <w:highlight w:val="none"/>
          <w:lang w:val="en-US" w:eastAsia="zh-CN"/>
        </w:rPr>
        <w:t xml:space="preserve"> 本招标项目缺陷责任期为</w:t>
      </w:r>
      <w:r>
        <w:rPr>
          <w:rFonts w:hint="eastAsia" w:ascii="宋体" w:hAnsi="宋体" w:eastAsia="宋体" w:cs="宋体"/>
          <w:bCs/>
          <w:snapToGrid w:val="0"/>
          <w:color w:val="auto"/>
          <w:spacing w:val="0"/>
          <w:kern w:val="0"/>
          <w:sz w:val="24"/>
          <w:szCs w:val="24"/>
          <w:highlight w:val="none"/>
          <w:u w:val="single"/>
          <w:lang w:val="en-US" w:eastAsia="zh-CN"/>
        </w:rPr>
        <w:t>1</w:t>
      </w:r>
      <w:r>
        <w:rPr>
          <w:rFonts w:hint="eastAsia" w:ascii="宋体" w:hAnsi="宋体" w:eastAsia="宋体" w:cs="宋体"/>
          <w:bCs/>
          <w:snapToGrid w:val="0"/>
          <w:color w:val="auto"/>
          <w:spacing w:val="0"/>
          <w:kern w:val="0"/>
          <w:sz w:val="24"/>
          <w:szCs w:val="24"/>
          <w:highlight w:val="none"/>
          <w:lang w:val="en-US" w:eastAsia="zh-CN"/>
        </w:rPr>
        <w:t>年（自通过竣工验收之日起计），在此期间预留金额为结算价</w:t>
      </w:r>
      <w:r>
        <w:rPr>
          <w:rFonts w:hint="eastAsia" w:ascii="宋体" w:hAnsi="宋体" w:eastAsia="宋体" w:cs="宋体"/>
          <w:bCs/>
          <w:snapToGrid w:val="0"/>
          <w:color w:val="auto"/>
          <w:spacing w:val="0"/>
          <w:kern w:val="0"/>
          <w:sz w:val="24"/>
          <w:szCs w:val="24"/>
          <w:highlight w:val="none"/>
          <w:u w:val="single"/>
          <w:lang w:val="en-US" w:eastAsia="zh-CN"/>
        </w:rPr>
        <w:t>3%</w:t>
      </w:r>
      <w:r>
        <w:rPr>
          <w:rFonts w:hint="eastAsia" w:ascii="宋体" w:hAnsi="宋体" w:eastAsia="宋体" w:cs="宋体"/>
          <w:bCs/>
          <w:snapToGrid w:val="0"/>
          <w:color w:val="auto"/>
          <w:spacing w:val="0"/>
          <w:kern w:val="0"/>
          <w:sz w:val="24"/>
          <w:szCs w:val="24"/>
          <w:highlight w:val="none"/>
          <w:lang w:val="en-US" w:eastAsia="zh-CN"/>
        </w:rPr>
        <w:t>的质量保证。</w:t>
      </w:r>
    </w:p>
    <w:p w14:paraId="6FA5B696">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4.10.2</w:t>
      </w:r>
      <w:r>
        <w:rPr>
          <w:rFonts w:hint="eastAsia" w:ascii="宋体" w:hAnsi="宋体" w:eastAsia="宋体" w:cs="宋体"/>
          <w:bCs/>
          <w:snapToGrid w:val="0"/>
          <w:color w:val="auto"/>
          <w:kern w:val="0"/>
          <w:sz w:val="24"/>
          <w:szCs w:val="24"/>
          <w:highlight w:val="none"/>
          <w:lang w:val="en-US" w:eastAsia="zh-CN"/>
        </w:rPr>
        <w:t xml:space="preserve"> 质量保证的形式包括质量保证金、质量保证担保、质量保证保险三种，由承包人自主选择。 </w:t>
      </w:r>
    </w:p>
    <w:p w14:paraId="4DBD487B">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（1）采用质量保证金形式的，在结清审定总造价时一次性扣留相应金额作为质量保证金。   （2）采用质量保证担保或质量保证保险的，承包人应在竣工验收时向发包人提交有效的商业保函、银行保函或保险合同（或保险单）原件，商业保函、银行保函或保险合同（或保险单）的有效期不得短于缺陷责任期。 </w:t>
      </w:r>
    </w:p>
    <w:p w14:paraId="796ED73D">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4.10.3</w:t>
      </w:r>
      <w:r>
        <w:rPr>
          <w:rFonts w:hint="eastAsia" w:ascii="宋体" w:hAnsi="宋体" w:eastAsia="宋体" w:cs="宋体"/>
          <w:bCs/>
          <w:snapToGrid w:val="0"/>
          <w:color w:val="auto"/>
          <w:kern w:val="0"/>
          <w:sz w:val="24"/>
          <w:szCs w:val="24"/>
          <w:highlight w:val="none"/>
          <w:lang w:val="en-US" w:eastAsia="zh-CN"/>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 </w:t>
      </w:r>
    </w:p>
    <w:p w14:paraId="02046B42">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由他人原因造成的缺陷，发包人负责组织维修，承包人不承担费用，且发包人不得从质量保证中扣除费用。 </w:t>
      </w:r>
    </w:p>
    <w:p w14:paraId="7C6CD6D1">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4.10.4</w:t>
      </w:r>
      <w:r>
        <w:rPr>
          <w:rFonts w:hint="eastAsia" w:ascii="宋体" w:hAnsi="宋体" w:eastAsia="宋体" w:cs="宋体"/>
          <w:bCs/>
          <w:snapToGrid w:val="0"/>
          <w:color w:val="auto"/>
          <w:kern w:val="0"/>
          <w:sz w:val="24"/>
          <w:szCs w:val="24"/>
          <w:highlight w:val="none"/>
          <w:lang w:val="en-US" w:eastAsia="zh-CN"/>
        </w:rPr>
        <w:t xml:space="preserve"> 缺陷责任期内，承包人应认真履行合同约定的责任。缺陷责任期到期后，承包人向发包人申请退还质量保证，发包人应按照《建设工程质量保证金管理办法》有关规定将质量保证退还给承包人。</w:t>
      </w:r>
    </w:p>
    <w:p w14:paraId="01F28B7C">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4.10.5</w:t>
      </w:r>
      <w:r>
        <w:rPr>
          <w:rFonts w:hint="eastAsia" w:ascii="宋体" w:hAnsi="宋体" w:eastAsia="宋体" w:cs="宋体"/>
          <w:bCs/>
          <w:snapToGrid w:val="0"/>
          <w:color w:val="auto"/>
          <w:spacing w:val="0"/>
          <w:kern w:val="0"/>
          <w:sz w:val="24"/>
          <w:szCs w:val="24"/>
          <w:highlight w:val="none"/>
          <w:lang w:val="en-US" w:eastAsia="zh-CN"/>
        </w:rPr>
        <w:t xml:space="preserve"> </w:t>
      </w:r>
      <w:r>
        <w:rPr>
          <w:rFonts w:hint="eastAsia" w:ascii="宋体" w:hAnsi="宋体" w:eastAsia="宋体" w:cs="宋体"/>
          <w:bCs/>
          <w:snapToGrid w:val="0"/>
          <w:color w:val="auto"/>
          <w:kern w:val="0"/>
          <w:sz w:val="24"/>
          <w:szCs w:val="24"/>
          <w:highlight w:val="none"/>
          <w:lang w:val="en-US" w:eastAsia="zh-CN"/>
        </w:rPr>
        <w:t>如承包人提交了等额质量保证担保或质量保证保险的，可于次月一次性结清审定结算价。</w:t>
      </w:r>
    </w:p>
    <w:p w14:paraId="2102D96B">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4.11</w:t>
      </w:r>
      <w:r>
        <w:rPr>
          <w:rFonts w:hint="eastAsia" w:ascii="宋体" w:hAnsi="宋体" w:eastAsia="宋体" w:cs="宋体"/>
          <w:bCs/>
          <w:snapToGrid w:val="0"/>
          <w:color w:val="auto"/>
          <w:spacing w:val="0"/>
          <w:kern w:val="0"/>
          <w:sz w:val="24"/>
          <w:szCs w:val="24"/>
          <w:highlight w:val="none"/>
          <w:lang w:val="en-US" w:eastAsia="zh-CN"/>
        </w:rPr>
        <w:t xml:space="preserve"> 不良行为处理 </w:t>
      </w:r>
    </w:p>
    <w:p w14:paraId="043D6EC9">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承包人及其有关人员有下列行为之一的，发包人应及时向建设行政主管部门报告。除按照有关法律、法规进行处罚外，不良行为将计入企业及有关个人诚信档案，并在韶关市住房和城乡建设管理局网站公示。 </w:t>
      </w:r>
    </w:p>
    <w:p w14:paraId="67A4E90D">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（1）转包、违法分包或违反投标承诺分包工程的； </w:t>
      </w:r>
    </w:p>
    <w:p w14:paraId="01E2E653">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（2）非原参加投标中标的项目经理负责组织施工或在实施过程中擅自更换项目经理的、项目的其他主要管理人员与中标文件确定的人员不相符的；</w:t>
      </w:r>
    </w:p>
    <w:p w14:paraId="4FF9DCC5">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（3）投标文件确定的大型机械设备没有进入施工现场的； </w:t>
      </w:r>
    </w:p>
    <w:p w14:paraId="2C56F212">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（4）与建设单位、监理单位串通，签认虚假工程量或工程造价的； </w:t>
      </w:r>
    </w:p>
    <w:p w14:paraId="32D0DD6E">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（5）项目经理施工现场管理不到位的； </w:t>
      </w:r>
    </w:p>
    <w:p w14:paraId="01C481BC">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（6）项目经理在非本人资格证书注册单位从事工程项目施工管理的； </w:t>
      </w:r>
    </w:p>
    <w:p w14:paraId="6E3D80EF">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（7）项目经理同时承担超过一项工程项目的； </w:t>
      </w:r>
    </w:p>
    <w:p w14:paraId="7A86FACA">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（8）违反有关法律、法规、规章规定的其它行为。 </w:t>
      </w:r>
    </w:p>
    <w:p w14:paraId="2E401662">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 xml:space="preserve">4.12 </w:t>
      </w:r>
      <w:r>
        <w:rPr>
          <w:rFonts w:hint="eastAsia" w:ascii="宋体" w:hAnsi="宋体" w:eastAsia="宋体" w:cs="宋体"/>
          <w:bCs/>
          <w:snapToGrid w:val="0"/>
          <w:color w:val="auto"/>
          <w:spacing w:val="0"/>
          <w:kern w:val="0"/>
          <w:sz w:val="24"/>
          <w:szCs w:val="24"/>
          <w:highlight w:val="none"/>
          <w:lang w:val="en-US" w:eastAsia="zh-CN"/>
        </w:rPr>
        <w:t xml:space="preserve">信用评价条款内容 </w:t>
      </w:r>
    </w:p>
    <w:p w14:paraId="00CEB1A4">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77423482">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4.13</w:t>
      </w:r>
      <w:r>
        <w:rPr>
          <w:rFonts w:hint="eastAsia" w:ascii="宋体" w:hAnsi="宋体" w:eastAsia="宋体" w:cs="宋体"/>
          <w:bCs/>
          <w:snapToGrid w:val="0"/>
          <w:color w:val="auto"/>
          <w:spacing w:val="0"/>
          <w:kern w:val="0"/>
          <w:sz w:val="24"/>
          <w:szCs w:val="24"/>
          <w:highlight w:val="none"/>
          <w:lang w:val="en-US" w:eastAsia="zh-CN"/>
        </w:rPr>
        <w:t xml:space="preserve"> 危险性较大的分部分项工程安全管理约定 。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29E4D296">
      <w:pPr>
        <w:keepNext w:val="0"/>
        <w:keepLines w:val="0"/>
        <w:pageBreakBefore w:val="0"/>
        <w:kinsoku/>
        <w:wordWrap w:val="0"/>
        <w:overflowPunct/>
        <w:topLinePunct w:val="0"/>
        <w:bidi w:val="0"/>
        <w:adjustRightInd w:val="0"/>
        <w:snapToGrid w:val="0"/>
        <w:spacing w:line="440" w:lineRule="exact"/>
        <w:ind w:right="84" w:rightChars="40" w:firstLine="480"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Cs/>
          <w:snapToGrid w:val="0"/>
          <w:color w:val="auto"/>
          <w:spacing w:val="0"/>
          <w:kern w:val="0"/>
          <w:sz w:val="24"/>
          <w:szCs w:val="24"/>
          <w:highlight w:val="none"/>
          <w:lang w:val="en-US" w:eastAsia="zh-CN"/>
        </w:rPr>
        <w:t xml:space="preserve">承包人应根据《危险性较大的分部分项工程安全管理规定》（住房城乡建设部令第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 </w:t>
      </w:r>
    </w:p>
    <w:p w14:paraId="54C50EB9">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4.14</w:t>
      </w:r>
      <w:r>
        <w:rPr>
          <w:rFonts w:hint="eastAsia" w:ascii="宋体" w:hAnsi="宋体" w:eastAsia="宋体" w:cs="宋体"/>
          <w:bCs/>
          <w:snapToGrid w:val="0"/>
          <w:color w:val="auto"/>
          <w:spacing w:val="0"/>
          <w:kern w:val="0"/>
          <w:sz w:val="24"/>
          <w:szCs w:val="24"/>
          <w:highlight w:val="none"/>
          <w:lang w:val="en-US" w:eastAsia="zh-CN"/>
        </w:rPr>
        <w:t xml:space="preserve"> 承包人在工程实施过程中，按照国家、省、市的相关规定制定相关的专项安全施工方案（如高支模、基坑支护、沉井等），编制专项施工方案报监理人、发包人审批后方可开展专项工程的施工。 </w:t>
      </w:r>
    </w:p>
    <w:p w14:paraId="155F342F">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4.15</w:t>
      </w:r>
      <w:r>
        <w:rPr>
          <w:rFonts w:hint="eastAsia" w:ascii="宋体" w:hAnsi="宋体" w:eastAsia="宋体" w:cs="宋体"/>
          <w:bCs/>
          <w:snapToGrid w:val="0"/>
          <w:color w:val="auto"/>
          <w:spacing w:val="0"/>
          <w:kern w:val="0"/>
          <w:sz w:val="24"/>
          <w:szCs w:val="24"/>
          <w:highlight w:val="none"/>
          <w:lang w:val="en-US" w:eastAsia="zh-CN"/>
        </w:rPr>
        <w:t xml:space="preserve"> 承包人须按照《韶关市建筑垃圾管理条例》（2021 年 5 月 1 日起施行），将弃土运至发包人指定的场所，否则发包人有权要求承包人无条件将弃土从违约弃土点运至发包人指定的场所并扣除违约金人民币</w:t>
      </w:r>
      <w:r>
        <w:rPr>
          <w:rFonts w:hint="eastAsia" w:ascii="宋体" w:hAnsi="宋体" w:eastAsia="宋体" w:cs="宋体"/>
          <w:color w:val="auto"/>
          <w:spacing w:val="0"/>
          <w:kern w:val="2"/>
          <w:sz w:val="24"/>
          <w:szCs w:val="24"/>
          <w:highlight w:val="none"/>
          <w:u w:val="single"/>
          <w:shd w:val="clear" w:color="auto" w:fill="FFFFFF"/>
          <w:lang w:val="en-US" w:eastAsia="zh-CN" w:bidi="ar-SA"/>
        </w:rPr>
        <w:t xml:space="preserve"> 壹 </w:t>
      </w:r>
      <w:r>
        <w:rPr>
          <w:rFonts w:hint="eastAsia" w:ascii="宋体" w:hAnsi="宋体" w:eastAsia="宋体" w:cs="宋体"/>
          <w:bCs/>
          <w:snapToGrid w:val="0"/>
          <w:color w:val="auto"/>
          <w:spacing w:val="0"/>
          <w:kern w:val="0"/>
          <w:sz w:val="24"/>
          <w:szCs w:val="24"/>
          <w:highlight w:val="none"/>
          <w:lang w:val="en-US" w:eastAsia="zh-CN"/>
        </w:rPr>
        <w:t xml:space="preserve">万元/次。承包人对建筑垃圾须按《韶关市建筑垃圾管理条例》（2021 年 5 月 1 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30E88A48">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 xml:space="preserve">4.16 </w:t>
      </w:r>
      <w:r>
        <w:rPr>
          <w:rFonts w:hint="eastAsia" w:ascii="宋体" w:hAnsi="宋体" w:eastAsia="宋体" w:cs="宋体"/>
          <w:bCs/>
          <w:snapToGrid w:val="0"/>
          <w:color w:val="auto"/>
          <w:spacing w:val="0"/>
          <w:kern w:val="0"/>
          <w:sz w:val="24"/>
          <w:szCs w:val="24"/>
          <w:highlight w:val="none"/>
          <w:lang w:val="en-US" w:eastAsia="zh-CN"/>
        </w:rPr>
        <w:t xml:space="preserve">工程竣工验收后 15 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 </w:t>
      </w:r>
    </w:p>
    <w:p w14:paraId="234A348F">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4.17</w:t>
      </w:r>
      <w:r>
        <w:rPr>
          <w:rFonts w:hint="eastAsia" w:ascii="宋体" w:hAnsi="宋体" w:eastAsia="宋体" w:cs="宋体"/>
          <w:bCs/>
          <w:snapToGrid w:val="0"/>
          <w:color w:val="auto"/>
          <w:spacing w:val="0"/>
          <w:kern w:val="0"/>
          <w:sz w:val="24"/>
          <w:szCs w:val="24"/>
          <w:highlight w:val="none"/>
          <w:lang w:val="en-US" w:eastAsia="zh-CN"/>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 </w:t>
      </w:r>
    </w:p>
    <w:p w14:paraId="3EA232A4">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4.18</w:t>
      </w:r>
      <w:r>
        <w:rPr>
          <w:rFonts w:hint="eastAsia" w:ascii="宋体" w:hAnsi="宋体" w:eastAsia="宋体" w:cs="宋体"/>
          <w:bCs/>
          <w:snapToGrid w:val="0"/>
          <w:color w:val="auto"/>
          <w:spacing w:val="0"/>
          <w:kern w:val="0"/>
          <w:sz w:val="24"/>
          <w:szCs w:val="24"/>
          <w:highlight w:val="none"/>
          <w:lang w:val="en-US" w:eastAsia="zh-CN"/>
        </w:rPr>
        <w:t xml:space="preserve"> 承包人中标后必须按规定及时缴交工人工资保证金、环保噪声排污费等。 </w:t>
      </w:r>
    </w:p>
    <w:p w14:paraId="232F19CC">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4.19</w:t>
      </w:r>
      <w:r>
        <w:rPr>
          <w:rFonts w:hint="eastAsia" w:ascii="宋体" w:hAnsi="宋体" w:eastAsia="宋体" w:cs="宋体"/>
          <w:bCs/>
          <w:snapToGrid w:val="0"/>
          <w:color w:val="auto"/>
          <w:spacing w:val="0"/>
          <w:kern w:val="0"/>
          <w:sz w:val="24"/>
          <w:szCs w:val="24"/>
          <w:highlight w:val="none"/>
          <w:lang w:val="en-US" w:eastAsia="zh-CN"/>
        </w:rPr>
        <w:t xml:space="preserve"> 工程质量保修期按《中华人民共和国建筑法》、《建设工程质量管理条例》等相关规定实施。 </w:t>
      </w:r>
    </w:p>
    <w:p w14:paraId="794DBDF2">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4.20</w:t>
      </w:r>
      <w:r>
        <w:rPr>
          <w:rFonts w:hint="eastAsia" w:ascii="宋体" w:hAnsi="宋体" w:eastAsia="宋体" w:cs="宋体"/>
          <w:bCs/>
          <w:snapToGrid w:val="0"/>
          <w:color w:val="auto"/>
          <w:spacing w:val="0"/>
          <w:kern w:val="0"/>
          <w:sz w:val="24"/>
          <w:szCs w:val="24"/>
          <w:highlight w:val="none"/>
          <w:lang w:val="en-US" w:eastAsia="zh-CN"/>
        </w:rPr>
        <w:t xml:space="preserve"> 如项目实施过程中发生了工程变更及工程签证，承包人需根据发布的《工程变更管理办法》和《工程签证管理办法》完善工程变更签证相关程序。 </w:t>
      </w:r>
    </w:p>
    <w:p w14:paraId="0657C355">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4.21</w:t>
      </w:r>
      <w:r>
        <w:rPr>
          <w:rFonts w:hint="eastAsia" w:ascii="宋体" w:hAnsi="宋体" w:eastAsia="宋体" w:cs="宋体"/>
          <w:bCs/>
          <w:snapToGrid w:val="0"/>
          <w:color w:val="auto"/>
          <w:spacing w:val="0"/>
          <w:kern w:val="0"/>
          <w:sz w:val="24"/>
          <w:szCs w:val="24"/>
          <w:highlight w:val="none"/>
          <w:lang w:val="en-US" w:eastAsia="zh-CN"/>
        </w:rPr>
        <w:t xml:space="preserve"> 承包人需按相关规定要求，设置本工程符合相关要求的永久性标牌及规划公示牌，投标人在投标报价时综合考虑在报价内，发包人不另行支付该部分费用。 </w:t>
      </w:r>
    </w:p>
    <w:p w14:paraId="1605F613">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rPr>
      </w:pPr>
      <w:r>
        <w:rPr>
          <w:rFonts w:hint="eastAsia" w:ascii="宋体" w:hAnsi="宋体" w:eastAsia="宋体" w:cs="宋体"/>
          <w:b/>
          <w:bCs w:val="0"/>
          <w:snapToGrid w:val="0"/>
          <w:color w:val="auto"/>
          <w:spacing w:val="0"/>
          <w:kern w:val="0"/>
          <w:sz w:val="24"/>
          <w:szCs w:val="24"/>
          <w:highlight w:val="none"/>
          <w:lang w:val="en-US" w:eastAsia="zh-CN"/>
        </w:rPr>
        <w:t>4.22</w:t>
      </w:r>
      <w:r>
        <w:rPr>
          <w:rFonts w:hint="eastAsia" w:ascii="宋体" w:hAnsi="宋体" w:eastAsia="宋体" w:cs="宋体"/>
          <w:bCs/>
          <w:snapToGrid w:val="0"/>
          <w:color w:val="auto"/>
          <w:spacing w:val="0"/>
          <w:kern w:val="0"/>
          <w:sz w:val="24"/>
          <w:szCs w:val="24"/>
          <w:highlight w:val="none"/>
          <w:lang w:val="en-US" w:eastAsia="zh-CN"/>
        </w:rPr>
        <w:t xml:space="preserve"> 承包人应在项目所在地住建管理部门办理诚信登记，发包人将严格按住建管理部门诚信登记管理办法对承包人履约情况进行考核。 </w:t>
      </w:r>
    </w:p>
    <w:p w14:paraId="7F42F4AA">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4.23</w:t>
      </w:r>
      <w:r>
        <w:rPr>
          <w:rFonts w:hint="eastAsia" w:ascii="宋体" w:hAnsi="宋体" w:eastAsia="宋体" w:cs="宋体"/>
          <w:bCs/>
          <w:snapToGrid w:val="0"/>
          <w:color w:val="auto"/>
          <w:spacing w:val="0"/>
          <w:kern w:val="0"/>
          <w:sz w:val="24"/>
          <w:szCs w:val="24"/>
          <w:highlight w:val="none"/>
          <w:lang w:val="en-US" w:eastAsia="zh-CN"/>
        </w:rPr>
        <w:t xml:space="preserve"> 承包人应按韶关市住房和城乡建设管理局、韶关市人力资源和社会保障局等职能部门对用工实名制的相关规定,落实工人及相关软硬件设施要求。</w:t>
      </w:r>
    </w:p>
    <w:p w14:paraId="6E4D0758">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4.24</w:t>
      </w:r>
      <w:r>
        <w:rPr>
          <w:rFonts w:hint="eastAsia" w:ascii="宋体" w:hAnsi="宋体" w:eastAsia="宋体" w:cs="宋体"/>
          <w:bCs/>
          <w:snapToGrid w:val="0"/>
          <w:color w:val="auto"/>
          <w:spacing w:val="0"/>
          <w:kern w:val="0"/>
          <w:sz w:val="24"/>
          <w:szCs w:val="24"/>
          <w:highlight w:val="none"/>
          <w:lang w:val="en-US" w:eastAsia="zh-CN"/>
        </w:rPr>
        <w:t xml:space="preserve"> 质量违约</w:t>
      </w:r>
    </w:p>
    <w:p w14:paraId="3501D770">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4.24.1</w:t>
      </w:r>
      <w:r>
        <w:rPr>
          <w:rFonts w:hint="eastAsia" w:ascii="宋体" w:hAnsi="宋体" w:eastAsia="宋体" w:cs="宋体"/>
          <w:bCs/>
          <w:snapToGrid w:val="0"/>
          <w:color w:val="auto"/>
          <w:spacing w:val="0"/>
          <w:kern w:val="0"/>
          <w:sz w:val="24"/>
          <w:szCs w:val="24"/>
          <w:highlight w:val="none"/>
          <w:lang w:val="en-US" w:eastAsia="zh-CN"/>
        </w:rPr>
        <w:t xml:space="preserve">材料违约处理：若发现材料不符合国家标准或发包人在技术规范中规定的标准， </w:t>
      </w:r>
    </w:p>
    <w:p w14:paraId="3A33DEBF">
      <w:pPr>
        <w:keepNext w:val="0"/>
        <w:keepLines w:val="0"/>
        <w:pageBreakBefore w:val="0"/>
        <w:kinsoku/>
        <w:wordWrap w:val="0"/>
        <w:overflowPunct/>
        <w:topLinePunct w:val="0"/>
        <w:bidi w:val="0"/>
        <w:adjustRightInd w:val="0"/>
        <w:snapToGrid w:val="0"/>
        <w:spacing w:line="440" w:lineRule="exact"/>
        <w:ind w:left="0" w:leftChars="0" w:right="84" w:rightChars="40" w:firstLine="0" w:firstLineChars="0"/>
        <w:rPr>
          <w:rFonts w:hint="eastAsia" w:ascii="宋体" w:hAnsi="宋体" w:eastAsia="宋体" w:cs="宋体"/>
          <w:bCs/>
          <w:snapToGrid w:val="0"/>
          <w:color w:val="auto"/>
          <w:spacing w:val="0"/>
          <w:kern w:val="0"/>
          <w:sz w:val="24"/>
          <w:szCs w:val="24"/>
          <w:highlight w:val="none"/>
          <w:lang w:val="en-US" w:eastAsia="zh-CN"/>
        </w:rPr>
      </w:pPr>
      <w:r>
        <w:rPr>
          <w:rFonts w:hint="eastAsia" w:ascii="宋体" w:hAnsi="宋体" w:eastAsia="宋体" w:cs="宋体"/>
          <w:bCs/>
          <w:snapToGrid w:val="0"/>
          <w:color w:val="auto"/>
          <w:spacing w:val="0"/>
          <w:kern w:val="0"/>
          <w:sz w:val="24"/>
          <w:szCs w:val="24"/>
          <w:highlight w:val="none"/>
          <w:lang w:val="en-US" w:eastAsia="zh-CN"/>
        </w:rPr>
        <w:t xml:space="preserve">视为承包人违约，按现行《建设工程质量管理条例》处理。 </w:t>
      </w:r>
    </w:p>
    <w:p w14:paraId="172C2EAF">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4.24.1.1</w:t>
      </w:r>
      <w:r>
        <w:rPr>
          <w:rFonts w:hint="eastAsia" w:ascii="宋体" w:hAnsi="宋体" w:eastAsia="宋体" w:cs="宋体"/>
          <w:bCs/>
          <w:snapToGrid w:val="0"/>
          <w:color w:val="auto"/>
          <w:spacing w:val="0"/>
          <w:kern w:val="0"/>
          <w:sz w:val="24"/>
          <w:szCs w:val="24"/>
          <w:highlight w:val="none"/>
          <w:lang w:val="en-US" w:eastAsia="zh-CN"/>
        </w:rPr>
        <w:t xml:space="preserve"> 成品采购项目在采购前，承包人必须先行书面征求监理人、发包人的同意并 </w:t>
      </w:r>
    </w:p>
    <w:p w14:paraId="0FE498C6">
      <w:pPr>
        <w:keepNext w:val="0"/>
        <w:keepLines w:val="0"/>
        <w:pageBreakBefore w:val="0"/>
        <w:kinsoku/>
        <w:wordWrap w:val="0"/>
        <w:overflowPunct/>
        <w:topLinePunct w:val="0"/>
        <w:bidi w:val="0"/>
        <w:adjustRightInd w:val="0"/>
        <w:snapToGrid w:val="0"/>
        <w:spacing w:line="440" w:lineRule="exact"/>
        <w:ind w:left="0" w:leftChars="0" w:right="84" w:rightChars="40" w:firstLine="0" w:firstLineChars="0"/>
        <w:rPr>
          <w:rFonts w:hint="eastAsia" w:ascii="宋体" w:hAnsi="宋体" w:eastAsia="宋体" w:cs="宋体"/>
          <w:bCs/>
          <w:snapToGrid w:val="0"/>
          <w:color w:val="auto"/>
          <w:spacing w:val="0"/>
          <w:kern w:val="0"/>
          <w:sz w:val="24"/>
          <w:szCs w:val="24"/>
          <w:highlight w:val="none"/>
          <w:lang w:val="en-US" w:eastAsia="zh-CN"/>
        </w:rPr>
      </w:pPr>
      <w:r>
        <w:rPr>
          <w:rFonts w:hint="eastAsia" w:ascii="宋体" w:hAnsi="宋体" w:eastAsia="宋体" w:cs="宋体"/>
          <w:bCs/>
          <w:snapToGrid w:val="0"/>
          <w:color w:val="auto"/>
          <w:spacing w:val="0"/>
          <w:kern w:val="0"/>
          <w:sz w:val="24"/>
          <w:szCs w:val="24"/>
          <w:highlight w:val="none"/>
          <w:lang w:val="en-US" w:eastAsia="zh-CN"/>
        </w:rPr>
        <w:t xml:space="preserve">一起看样定版后方能实施。未经监理人、发包人同意擅自先行采购和实施的，否则因不符 </w:t>
      </w:r>
    </w:p>
    <w:p w14:paraId="78BCD3A2">
      <w:pPr>
        <w:keepNext w:val="0"/>
        <w:keepLines w:val="0"/>
        <w:pageBreakBefore w:val="0"/>
        <w:kinsoku/>
        <w:wordWrap w:val="0"/>
        <w:overflowPunct/>
        <w:topLinePunct w:val="0"/>
        <w:bidi w:val="0"/>
        <w:adjustRightInd w:val="0"/>
        <w:snapToGrid w:val="0"/>
        <w:spacing w:line="440" w:lineRule="exact"/>
        <w:ind w:left="0" w:leftChars="0" w:right="84" w:rightChars="40" w:firstLine="0" w:firstLineChars="0"/>
        <w:rPr>
          <w:rFonts w:hint="eastAsia" w:ascii="宋体" w:hAnsi="宋体" w:eastAsia="宋体" w:cs="宋体"/>
          <w:bCs/>
          <w:snapToGrid w:val="0"/>
          <w:color w:val="auto"/>
          <w:spacing w:val="0"/>
          <w:kern w:val="0"/>
          <w:sz w:val="24"/>
          <w:szCs w:val="24"/>
          <w:highlight w:val="none"/>
          <w:lang w:val="en-US" w:eastAsia="zh-CN"/>
        </w:rPr>
      </w:pPr>
      <w:r>
        <w:rPr>
          <w:rFonts w:hint="eastAsia" w:ascii="宋体" w:hAnsi="宋体" w:eastAsia="宋体" w:cs="宋体"/>
          <w:bCs/>
          <w:snapToGrid w:val="0"/>
          <w:color w:val="auto"/>
          <w:spacing w:val="0"/>
          <w:kern w:val="0"/>
          <w:sz w:val="24"/>
          <w:szCs w:val="24"/>
          <w:highlight w:val="none"/>
          <w:lang w:val="en-US" w:eastAsia="zh-CN"/>
        </w:rPr>
        <w:t>合设计要求返工造成的费用由承包人承担。</w:t>
      </w:r>
    </w:p>
    <w:p w14:paraId="77B79619">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4.24.2</w:t>
      </w:r>
      <w:r>
        <w:rPr>
          <w:rFonts w:hint="eastAsia" w:ascii="宋体" w:hAnsi="宋体" w:eastAsia="宋体" w:cs="宋体"/>
          <w:b w:val="0"/>
          <w:bCs/>
          <w:snapToGrid w:val="0"/>
          <w:color w:val="auto"/>
          <w:spacing w:val="0"/>
          <w:kern w:val="0"/>
          <w:sz w:val="24"/>
          <w:szCs w:val="24"/>
          <w:highlight w:val="none"/>
          <w:lang w:val="en-US" w:eastAsia="zh-CN"/>
        </w:rPr>
        <w:t xml:space="preserve">工程质量违约： </w:t>
      </w:r>
    </w:p>
    <w:p w14:paraId="433283B4">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4.24.2.1</w:t>
      </w:r>
      <w:r>
        <w:rPr>
          <w:rFonts w:hint="eastAsia" w:ascii="宋体" w:hAnsi="宋体" w:eastAsia="宋体" w:cs="宋体"/>
          <w:b w:val="0"/>
          <w:bCs/>
          <w:snapToGrid w:val="0"/>
          <w:color w:val="auto"/>
          <w:spacing w:val="0"/>
          <w:kern w:val="0"/>
          <w:sz w:val="24"/>
          <w:szCs w:val="24"/>
          <w:highlight w:val="none"/>
          <w:lang w:val="en-US" w:eastAsia="zh-CN"/>
        </w:rPr>
        <w:t xml:space="preserve"> 在施工过程中经监理单位日常巡查或抽检发现未达到合格标准，责令承包人进 </w:t>
      </w:r>
    </w:p>
    <w:p w14:paraId="12C6716D">
      <w:pPr>
        <w:keepNext w:val="0"/>
        <w:keepLines w:val="0"/>
        <w:pageBreakBefore w:val="0"/>
        <w:kinsoku/>
        <w:wordWrap w:val="0"/>
        <w:overflowPunct/>
        <w:topLinePunct w:val="0"/>
        <w:bidi w:val="0"/>
        <w:adjustRightInd w:val="0"/>
        <w:snapToGrid w:val="0"/>
        <w:spacing w:line="440" w:lineRule="exact"/>
        <w:ind w:left="0" w:leftChars="0" w:right="84" w:rightChars="40" w:firstLine="0" w:firstLineChars="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t xml:space="preserve">行整改，如未按规定时间进行整改或整改不到位的，每次按 5000 元缴纳违约金给发包人，在进度款或结算款中一并扣除。 </w:t>
      </w:r>
    </w:p>
    <w:p w14:paraId="57557580">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4.24.2.2</w:t>
      </w:r>
      <w:r>
        <w:rPr>
          <w:rFonts w:hint="eastAsia" w:ascii="宋体" w:hAnsi="宋体" w:eastAsia="宋体" w:cs="宋体"/>
          <w:b w:val="0"/>
          <w:bCs/>
          <w:snapToGrid w:val="0"/>
          <w:color w:val="auto"/>
          <w:spacing w:val="0"/>
          <w:kern w:val="0"/>
          <w:sz w:val="24"/>
          <w:szCs w:val="24"/>
          <w:highlight w:val="none"/>
          <w:lang w:val="en-US" w:eastAsia="zh-CN"/>
        </w:rPr>
        <w:t xml:space="preserve"> 工程质量标准须达到国家验收合格标准。如未达到合格标准，除无偿返工至合 </w:t>
      </w:r>
    </w:p>
    <w:p w14:paraId="2A82A30B">
      <w:pPr>
        <w:keepNext w:val="0"/>
        <w:keepLines w:val="0"/>
        <w:pageBreakBefore w:val="0"/>
        <w:kinsoku/>
        <w:wordWrap w:val="0"/>
        <w:overflowPunct/>
        <w:topLinePunct w:val="0"/>
        <w:bidi w:val="0"/>
        <w:adjustRightInd w:val="0"/>
        <w:snapToGrid w:val="0"/>
        <w:spacing w:line="440" w:lineRule="exact"/>
        <w:ind w:left="0" w:leftChars="0" w:right="84" w:rightChars="40" w:firstLine="0" w:firstLineChars="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t xml:space="preserve">格外，还要按合同价款的 1%向招标人支付质量违约金，工期不予顺延。 </w:t>
      </w:r>
    </w:p>
    <w:p w14:paraId="44A72C4F">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4.25</w:t>
      </w:r>
      <w:r>
        <w:rPr>
          <w:rFonts w:hint="eastAsia" w:ascii="宋体" w:hAnsi="宋体" w:eastAsia="宋体" w:cs="宋体"/>
          <w:b w:val="0"/>
          <w:bCs/>
          <w:snapToGrid w:val="0"/>
          <w:color w:val="auto"/>
          <w:spacing w:val="0"/>
          <w:kern w:val="0"/>
          <w:sz w:val="24"/>
          <w:szCs w:val="24"/>
          <w:highlight w:val="none"/>
          <w:lang w:val="en-US" w:eastAsia="zh-CN"/>
        </w:rPr>
        <w:t xml:space="preserve"> 重大责任事故违约 </w:t>
      </w:r>
    </w:p>
    <w:p w14:paraId="7EC71D90">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4.25.1</w:t>
      </w:r>
      <w:r>
        <w:rPr>
          <w:rFonts w:hint="eastAsia" w:ascii="宋体" w:hAnsi="宋体" w:eastAsia="宋体" w:cs="宋体"/>
          <w:b w:val="0"/>
          <w:bCs/>
          <w:snapToGrid w:val="0"/>
          <w:color w:val="auto"/>
          <w:spacing w:val="0"/>
          <w:kern w:val="0"/>
          <w:sz w:val="24"/>
          <w:szCs w:val="24"/>
          <w:highlight w:val="none"/>
          <w:lang w:val="en-US" w:eastAsia="zh-CN"/>
        </w:rPr>
        <w:t xml:space="preserve"> 承包人因违反国家安全质量法规及合同有关条款约定,出现火灾、坍塌、人员重 </w:t>
      </w:r>
    </w:p>
    <w:p w14:paraId="3E6F36F7">
      <w:pPr>
        <w:keepNext w:val="0"/>
        <w:keepLines w:val="0"/>
        <w:pageBreakBefore w:val="0"/>
        <w:kinsoku/>
        <w:wordWrap w:val="0"/>
        <w:overflowPunct/>
        <w:topLinePunct w:val="0"/>
        <w:bidi w:val="0"/>
        <w:adjustRightInd w:val="0"/>
        <w:snapToGrid w:val="0"/>
        <w:spacing w:line="440" w:lineRule="exact"/>
        <w:ind w:left="0" w:leftChars="0" w:right="84" w:rightChars="40" w:firstLine="0" w:firstLineChars="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t xml:space="preserve">伤、死亡等重大责任事故,则承包人应承担全部损失,并按相关法规接受行政处罚；如造成发 </w:t>
      </w:r>
    </w:p>
    <w:p w14:paraId="105736B3">
      <w:pPr>
        <w:keepNext w:val="0"/>
        <w:keepLines w:val="0"/>
        <w:pageBreakBefore w:val="0"/>
        <w:kinsoku/>
        <w:wordWrap w:val="0"/>
        <w:overflowPunct/>
        <w:topLinePunct w:val="0"/>
        <w:bidi w:val="0"/>
        <w:adjustRightInd w:val="0"/>
        <w:snapToGrid w:val="0"/>
        <w:spacing w:line="440" w:lineRule="exact"/>
        <w:ind w:left="0" w:leftChars="0" w:right="84" w:rightChars="40" w:firstLine="0" w:firstLineChars="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t xml:space="preserve">包人及对第三人利益的损害,该等损害赔偿责任均由承包人承担。 </w:t>
      </w:r>
    </w:p>
    <w:p w14:paraId="5C6E18CD">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4.26</w:t>
      </w:r>
      <w:r>
        <w:rPr>
          <w:rFonts w:hint="eastAsia" w:ascii="宋体" w:hAnsi="宋体" w:eastAsia="宋体" w:cs="宋体"/>
          <w:b w:val="0"/>
          <w:bCs/>
          <w:snapToGrid w:val="0"/>
          <w:color w:val="auto"/>
          <w:spacing w:val="0"/>
          <w:kern w:val="0"/>
          <w:sz w:val="24"/>
          <w:szCs w:val="24"/>
          <w:highlight w:val="none"/>
          <w:lang w:val="en-US" w:eastAsia="zh-CN"/>
        </w:rPr>
        <w:t xml:space="preserve"> 用工违约 </w:t>
      </w:r>
    </w:p>
    <w:p w14:paraId="244A2040">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4.26.1</w:t>
      </w:r>
      <w:r>
        <w:rPr>
          <w:rFonts w:hint="eastAsia" w:ascii="宋体" w:hAnsi="宋体" w:eastAsia="宋体" w:cs="宋体"/>
          <w:b w:val="0"/>
          <w:bCs/>
          <w:snapToGrid w:val="0"/>
          <w:color w:val="auto"/>
          <w:spacing w:val="0"/>
          <w:kern w:val="0"/>
          <w:sz w:val="24"/>
          <w:szCs w:val="24"/>
          <w:highlight w:val="none"/>
          <w:lang w:val="en-US" w:eastAsia="zh-CN"/>
        </w:rPr>
        <w:t xml:space="preserve"> 在合同履行期间，如经查实承包人拖欠或克扣农民工或劳务工工资，导致劳资纠纷或发生危及公共安全或正常社会秩序的事件的，按承包人违约处理，承包人应按拖欠或克 </w:t>
      </w:r>
    </w:p>
    <w:p w14:paraId="6B19D6EE">
      <w:pPr>
        <w:keepNext w:val="0"/>
        <w:keepLines w:val="0"/>
        <w:pageBreakBefore w:val="0"/>
        <w:kinsoku/>
        <w:wordWrap w:val="0"/>
        <w:overflowPunct/>
        <w:topLinePunct w:val="0"/>
        <w:bidi w:val="0"/>
        <w:adjustRightInd w:val="0"/>
        <w:snapToGrid w:val="0"/>
        <w:spacing w:line="440" w:lineRule="exact"/>
        <w:ind w:left="0" w:leftChars="0" w:right="84" w:rightChars="40" w:firstLine="0" w:firstLineChars="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t xml:space="preserve">扣农民工工资总金额 2 倍的标准向发包人缴纳惩罚性违约金。 </w:t>
      </w:r>
    </w:p>
    <w:p w14:paraId="7980D17E">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4.27</w:t>
      </w:r>
      <w:r>
        <w:rPr>
          <w:rFonts w:hint="eastAsia" w:ascii="宋体" w:hAnsi="宋体" w:eastAsia="宋体" w:cs="宋体"/>
          <w:b w:val="0"/>
          <w:bCs/>
          <w:snapToGrid w:val="0"/>
          <w:color w:val="auto"/>
          <w:spacing w:val="0"/>
          <w:kern w:val="0"/>
          <w:sz w:val="24"/>
          <w:szCs w:val="24"/>
          <w:highlight w:val="none"/>
          <w:lang w:val="en-US" w:eastAsia="zh-CN"/>
        </w:rPr>
        <w:t xml:space="preserve"> 安全文明施工违约 </w:t>
      </w:r>
    </w:p>
    <w:p w14:paraId="58B06849">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4.27.1</w:t>
      </w:r>
      <w:r>
        <w:rPr>
          <w:rFonts w:hint="eastAsia" w:ascii="宋体" w:hAnsi="宋体" w:eastAsia="宋体" w:cs="宋体"/>
          <w:b w:val="0"/>
          <w:bCs/>
          <w:snapToGrid w:val="0"/>
          <w:color w:val="auto"/>
          <w:spacing w:val="0"/>
          <w:kern w:val="0"/>
          <w:sz w:val="24"/>
          <w:szCs w:val="24"/>
          <w:highlight w:val="none"/>
          <w:lang w:val="en-US" w:eastAsia="zh-CN"/>
        </w:rPr>
        <w:t xml:space="preserve"> 如承包人违反国家、广东省、发包人及合同关于安全文明施工的规定，但尚未造 </w:t>
      </w:r>
    </w:p>
    <w:p w14:paraId="0E250BDA">
      <w:pPr>
        <w:keepNext w:val="0"/>
        <w:keepLines w:val="0"/>
        <w:pageBreakBefore w:val="0"/>
        <w:kinsoku/>
        <w:wordWrap w:val="0"/>
        <w:overflowPunct/>
        <w:topLinePunct w:val="0"/>
        <w:bidi w:val="0"/>
        <w:adjustRightInd w:val="0"/>
        <w:snapToGrid w:val="0"/>
        <w:spacing w:line="440" w:lineRule="exact"/>
        <w:ind w:left="0" w:leftChars="0" w:right="84" w:rightChars="40" w:firstLine="0" w:firstLineChars="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t xml:space="preserve">成安全责任事故，承包人应及时改正行为并赔偿相关方的损失，如未及时整改,针对每一违约 </w:t>
      </w:r>
    </w:p>
    <w:p w14:paraId="4F637481">
      <w:pPr>
        <w:keepNext w:val="0"/>
        <w:keepLines w:val="0"/>
        <w:pageBreakBefore w:val="0"/>
        <w:kinsoku/>
        <w:wordWrap w:val="0"/>
        <w:overflowPunct/>
        <w:topLinePunct w:val="0"/>
        <w:bidi w:val="0"/>
        <w:adjustRightInd w:val="0"/>
        <w:snapToGrid w:val="0"/>
        <w:spacing w:line="440" w:lineRule="exact"/>
        <w:ind w:left="0" w:leftChars="0" w:right="84" w:rightChars="40" w:firstLine="0" w:firstLineChars="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t>行为每持续一天应缴纳违约金 1000.00 元。</w:t>
      </w:r>
    </w:p>
    <w:p w14:paraId="48A3EC33">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4.27.2</w:t>
      </w:r>
      <w:r>
        <w:rPr>
          <w:rFonts w:hint="eastAsia" w:ascii="宋体" w:hAnsi="宋体" w:eastAsia="宋体" w:cs="宋体"/>
          <w:b w:val="0"/>
          <w:bCs/>
          <w:snapToGrid w:val="0"/>
          <w:color w:val="auto"/>
          <w:spacing w:val="0"/>
          <w:kern w:val="0"/>
          <w:sz w:val="24"/>
          <w:szCs w:val="24"/>
          <w:highlight w:val="none"/>
          <w:lang w:val="en-US" w:eastAsia="zh-CN"/>
        </w:rPr>
        <w:t xml:space="preserve"> 承包人必须接受发包人及监理单位组织的安全、文明施工的检查，检查中的不合格项目、安全隐患必须在规定的时间内整改完成，否则每拖延一天处以 2000.00 元人民币违约金，直至整改合格。 </w:t>
      </w:r>
    </w:p>
    <w:p w14:paraId="1D39E82F">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4.28</w:t>
      </w:r>
      <w:r>
        <w:rPr>
          <w:rFonts w:hint="eastAsia" w:ascii="宋体" w:hAnsi="宋体" w:eastAsia="宋体" w:cs="宋体"/>
          <w:b w:val="0"/>
          <w:bCs/>
          <w:snapToGrid w:val="0"/>
          <w:color w:val="auto"/>
          <w:spacing w:val="0"/>
          <w:kern w:val="0"/>
          <w:sz w:val="24"/>
          <w:szCs w:val="24"/>
          <w:highlight w:val="none"/>
          <w:lang w:val="en-US" w:eastAsia="zh-CN"/>
        </w:rPr>
        <w:t xml:space="preserve"> 其他违约 </w:t>
      </w:r>
    </w:p>
    <w:p w14:paraId="3987CEFB">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4.28.1</w:t>
      </w:r>
      <w:r>
        <w:rPr>
          <w:rFonts w:hint="eastAsia" w:ascii="宋体" w:hAnsi="宋体" w:eastAsia="宋体" w:cs="宋体"/>
          <w:b w:val="0"/>
          <w:bCs/>
          <w:snapToGrid w:val="0"/>
          <w:color w:val="auto"/>
          <w:spacing w:val="0"/>
          <w:kern w:val="0"/>
          <w:sz w:val="24"/>
          <w:szCs w:val="24"/>
          <w:highlight w:val="none"/>
          <w:lang w:val="en-US" w:eastAsia="zh-CN"/>
        </w:rPr>
        <w:t xml:space="preserve"> 承包人安排在施工场地的主要管理人员（主要指项目经理、项目技术负责人和专职安全生产管理人员）应与承包人投标文件承诺的名单一致，并保持相对稳定。未经总监理工程师批准，上述人员不应无故不到位或被替换。若确实无法到位或需替换，需经总监理工</w:t>
      </w:r>
    </w:p>
    <w:p w14:paraId="7093E00C">
      <w:pPr>
        <w:keepNext w:val="0"/>
        <w:keepLines w:val="0"/>
        <w:pageBreakBefore w:val="0"/>
        <w:kinsoku/>
        <w:wordWrap w:val="0"/>
        <w:overflowPunct/>
        <w:topLinePunct w:val="0"/>
        <w:bidi w:val="0"/>
        <w:adjustRightInd w:val="0"/>
        <w:snapToGrid w:val="0"/>
        <w:spacing w:line="440" w:lineRule="exact"/>
        <w:ind w:right="84" w:rightChars="4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t xml:space="preserve">程师审核并报发包人批准后，承包人可安排同等资历的人员替换。 </w:t>
      </w:r>
    </w:p>
    <w:p w14:paraId="06E8294D">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4.28.2</w:t>
      </w:r>
      <w:r>
        <w:rPr>
          <w:rFonts w:hint="eastAsia" w:ascii="宋体" w:hAnsi="宋体" w:eastAsia="宋体" w:cs="宋体"/>
          <w:b w:val="0"/>
          <w:bCs/>
          <w:snapToGrid w:val="0"/>
          <w:color w:val="auto"/>
          <w:spacing w:val="0"/>
          <w:kern w:val="0"/>
          <w:sz w:val="24"/>
          <w:szCs w:val="24"/>
          <w:highlight w:val="none"/>
          <w:lang w:val="en-US" w:eastAsia="zh-CN"/>
        </w:rPr>
        <w:t xml:space="preserve"> 中标人施工资料必须与形象进度同步。</w:t>
      </w:r>
    </w:p>
    <w:p w14:paraId="7B1DB3D2">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Cs/>
          <w:snapToGrid w:val="0"/>
          <w:color w:val="auto"/>
          <w:spacing w:val="0"/>
          <w:kern w:val="0"/>
          <w:sz w:val="24"/>
          <w:szCs w:val="24"/>
          <w:highlight w:val="none"/>
          <w:lang w:val="en-US" w:eastAsia="zh-CN" w:bidi="ar-SA"/>
        </w:rPr>
      </w:pPr>
      <w:r>
        <w:rPr>
          <w:rFonts w:hint="eastAsia" w:ascii="宋体" w:hAnsi="宋体" w:eastAsia="宋体" w:cs="宋体"/>
          <w:b/>
          <w:bCs w:val="0"/>
          <w:snapToGrid w:val="0"/>
          <w:color w:val="auto"/>
          <w:spacing w:val="0"/>
          <w:kern w:val="0"/>
          <w:sz w:val="24"/>
          <w:szCs w:val="24"/>
          <w:highlight w:val="none"/>
          <w:lang w:val="en-US" w:eastAsia="zh-CN"/>
        </w:rPr>
        <w:t>4.28.3</w:t>
      </w:r>
      <w:r>
        <w:rPr>
          <w:rFonts w:hint="eastAsia" w:ascii="宋体" w:hAnsi="宋体" w:eastAsia="宋体" w:cs="宋体"/>
          <w:b w:val="0"/>
          <w:bCs/>
          <w:snapToGrid w:val="0"/>
          <w:color w:val="auto"/>
          <w:spacing w:val="0"/>
          <w:kern w:val="0"/>
          <w:sz w:val="24"/>
          <w:szCs w:val="24"/>
          <w:highlight w:val="none"/>
          <w:lang w:val="en-US" w:eastAsia="zh-CN"/>
        </w:rPr>
        <w:t xml:space="preserve"> 承包人没有正当合理的理由中途退场，可扣除承包人已递交的所有履约风险保证金。承包人因上述违约行为而须缴纳的违约金在工程进度款中或结算时一并扣除。</w:t>
      </w:r>
    </w:p>
    <w:p w14:paraId="22A28A70">
      <w:pPr>
        <w:keepNext w:val="0"/>
        <w:keepLines w:val="0"/>
        <w:pageBreakBefore w:val="0"/>
        <w:kinsoku/>
        <w:wordWrap w:val="0"/>
        <w:overflowPunct/>
        <w:topLinePunct w:val="0"/>
        <w:bidi w:val="0"/>
        <w:adjustRightInd w:val="0"/>
        <w:snapToGrid w:val="0"/>
        <w:spacing w:line="440" w:lineRule="exact"/>
        <w:ind w:right="84" w:rightChars="40" w:firstLine="482" w:firstLineChars="200"/>
        <w:rPr>
          <w:rFonts w:hint="eastAsia" w:ascii="宋体" w:hAnsi="宋体" w:eastAsia="宋体" w:cs="宋体"/>
          <w:b/>
          <w:bCs w:val="0"/>
          <w:snapToGrid w:val="0"/>
          <w:color w:val="auto"/>
          <w:spacing w:val="0"/>
          <w:kern w:val="0"/>
          <w:sz w:val="24"/>
          <w:szCs w:val="24"/>
          <w:highlight w:val="none"/>
          <w:lang w:val="en-US" w:eastAsia="zh-CN"/>
        </w:rPr>
      </w:pPr>
      <w:r>
        <w:rPr>
          <w:rFonts w:hint="eastAsia" w:ascii="宋体" w:hAnsi="宋体" w:eastAsia="宋体" w:cs="宋体"/>
          <w:b/>
          <w:bCs w:val="0"/>
          <w:snapToGrid w:val="0"/>
          <w:color w:val="auto"/>
          <w:spacing w:val="0"/>
          <w:kern w:val="0"/>
          <w:sz w:val="24"/>
          <w:szCs w:val="24"/>
          <w:highlight w:val="none"/>
          <w:lang w:val="en-US" w:eastAsia="zh-CN"/>
        </w:rPr>
        <w:t>5.其他合同条款由招标人与中标人自行协商约定</w:t>
      </w:r>
    </w:p>
    <w:p w14:paraId="76E3D22A">
      <w:pPr>
        <w:keepNext w:val="0"/>
        <w:keepLines w:val="0"/>
        <w:pageBreakBefore w:val="0"/>
        <w:kinsoku/>
        <w:wordWrap w:val="0"/>
        <w:overflowPunct/>
        <w:topLinePunct w:val="0"/>
        <w:bidi w:val="0"/>
        <w:ind w:right="84" w:rightChars="4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592C9070">
      <w:pPr>
        <w:keepNext w:val="0"/>
        <w:keepLines w:val="0"/>
        <w:pageBreakBefore w:val="0"/>
        <w:kinsoku/>
        <w:wordWrap w:val="0"/>
        <w:overflowPunct/>
        <w:topLinePunct w:val="0"/>
        <w:bidi w:val="0"/>
        <w:spacing w:before="78" w:line="219" w:lineRule="auto"/>
        <w:ind w:left="3273" w:right="84" w:rightChars="40"/>
        <w:outlineLvl w:val="0"/>
        <w:rPr>
          <w:rFonts w:hint="eastAsia" w:ascii="宋体" w:hAnsi="宋体" w:eastAsia="宋体" w:cs="宋体"/>
          <w:color w:val="auto"/>
          <w:spacing w:val="0"/>
          <w:highlight w:val="none"/>
        </w:rPr>
      </w:pPr>
      <w:bookmarkStart w:id="183" w:name="_Toc3929"/>
      <w:r>
        <w:rPr>
          <w:rFonts w:hint="eastAsia" w:ascii="宋体" w:hAnsi="宋体" w:eastAsia="宋体" w:cs="宋体"/>
          <w:b/>
          <w:bCs/>
          <w:color w:val="auto"/>
          <w:spacing w:val="0"/>
          <w:sz w:val="24"/>
          <w:szCs w:val="24"/>
          <w:highlight w:val="none"/>
        </w:rPr>
        <w:t>第四章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技术要求</w:t>
      </w:r>
      <w:bookmarkEnd w:id="183"/>
    </w:p>
    <w:p w14:paraId="3E6A87FB">
      <w:pPr>
        <w:pStyle w:val="5"/>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highlight w:val="none"/>
        </w:rPr>
      </w:pPr>
    </w:p>
    <w:p w14:paraId="39F1228B">
      <w:pPr>
        <w:keepNext w:val="0"/>
        <w:keepLines w:val="0"/>
        <w:pageBreakBefore w:val="0"/>
        <w:kinsoku/>
        <w:wordWrap w:val="0"/>
        <w:overflowPunct/>
        <w:topLinePunct w:val="0"/>
        <w:bidi w:val="0"/>
        <w:spacing w:before="78" w:line="221" w:lineRule="auto"/>
        <w:ind w:left="125" w:right="84" w:rightChars="40"/>
        <w:outlineLvl w:val="2"/>
        <w:rPr>
          <w:rFonts w:hint="eastAsia" w:ascii="宋体" w:hAnsi="宋体" w:eastAsia="宋体" w:cs="宋体"/>
          <w:color w:val="auto"/>
          <w:spacing w:val="0"/>
          <w:sz w:val="24"/>
          <w:szCs w:val="24"/>
          <w:highlight w:val="none"/>
        </w:rPr>
      </w:pPr>
      <w:bookmarkStart w:id="184" w:name="_Toc10155"/>
      <w:bookmarkStart w:id="185" w:name="_Toc3645"/>
      <w:r>
        <w:rPr>
          <w:rFonts w:hint="eastAsia" w:ascii="宋体" w:hAnsi="宋体" w:eastAsia="宋体" w:cs="宋体"/>
          <w:b/>
          <w:bCs/>
          <w:color w:val="auto"/>
          <w:spacing w:val="0"/>
          <w:sz w:val="24"/>
          <w:szCs w:val="24"/>
          <w:highlight w:val="none"/>
        </w:rPr>
        <w:t>1 ．房屋建筑工程建设项目</w:t>
      </w:r>
      <w:bookmarkEnd w:id="184"/>
      <w:bookmarkEnd w:id="185"/>
    </w:p>
    <w:p w14:paraId="0CE4FE26">
      <w:pPr>
        <w:keepNext w:val="0"/>
        <w:keepLines w:val="0"/>
        <w:pageBreakBefore w:val="0"/>
        <w:kinsoku/>
        <w:wordWrap w:val="0"/>
        <w:overflowPunct/>
        <w:topLinePunct w:val="0"/>
        <w:bidi w:val="0"/>
        <w:spacing w:before="152" w:line="220" w:lineRule="auto"/>
        <w:ind w:left="12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房屋建筑工程建设项目必须执行的现行技术规范，包括且不限于：</w:t>
      </w:r>
    </w:p>
    <w:p w14:paraId="2E913A2A">
      <w:pPr>
        <w:keepNext w:val="0"/>
        <w:keepLines w:val="0"/>
        <w:pageBreakBefore w:val="0"/>
        <w:kinsoku/>
        <w:wordWrap w:val="0"/>
        <w:overflowPunct/>
        <w:topLinePunct w:val="0"/>
        <w:bidi w:val="0"/>
        <w:spacing w:before="155" w:line="220"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（1）《建筑工程施工质量验收统一标准》；</w:t>
      </w:r>
    </w:p>
    <w:p w14:paraId="21289F3F">
      <w:pPr>
        <w:keepNext w:val="0"/>
        <w:keepLines w:val="0"/>
        <w:pageBreakBefore w:val="0"/>
        <w:kinsoku/>
        <w:wordWrap w:val="0"/>
        <w:overflowPunct/>
        <w:topLinePunct w:val="0"/>
        <w:bidi w:val="0"/>
        <w:spacing w:before="153" w:line="220"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（2）《建筑地基基础工程施工质量验收规范》；</w:t>
      </w:r>
    </w:p>
    <w:p w14:paraId="21379855">
      <w:pPr>
        <w:keepNext w:val="0"/>
        <w:keepLines w:val="0"/>
        <w:pageBreakBefore w:val="0"/>
        <w:kinsoku/>
        <w:wordWrap w:val="0"/>
        <w:overflowPunct/>
        <w:topLinePunct w:val="0"/>
        <w:bidi w:val="0"/>
        <w:spacing w:before="153" w:line="220"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（3）《砌体工程施工质量验收规范》；</w:t>
      </w:r>
    </w:p>
    <w:p w14:paraId="191C91D8">
      <w:pPr>
        <w:keepNext w:val="0"/>
        <w:keepLines w:val="0"/>
        <w:pageBreakBefore w:val="0"/>
        <w:kinsoku/>
        <w:wordWrap w:val="0"/>
        <w:overflowPunct/>
        <w:topLinePunct w:val="0"/>
        <w:bidi w:val="0"/>
        <w:spacing w:before="155" w:line="220"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（4）《混凝土结构工程施工质量验收规范》；</w:t>
      </w:r>
    </w:p>
    <w:p w14:paraId="3087379D">
      <w:pPr>
        <w:keepNext w:val="0"/>
        <w:keepLines w:val="0"/>
        <w:pageBreakBefore w:val="0"/>
        <w:kinsoku/>
        <w:wordWrap w:val="0"/>
        <w:overflowPunct/>
        <w:topLinePunct w:val="0"/>
        <w:bidi w:val="0"/>
        <w:spacing w:before="153" w:line="220"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（5）《屋面工程质量验收规范》；</w:t>
      </w:r>
    </w:p>
    <w:p w14:paraId="3B431104">
      <w:pPr>
        <w:keepNext w:val="0"/>
        <w:keepLines w:val="0"/>
        <w:pageBreakBefore w:val="0"/>
        <w:kinsoku/>
        <w:wordWrap w:val="0"/>
        <w:overflowPunct/>
        <w:topLinePunct w:val="0"/>
        <w:bidi w:val="0"/>
        <w:spacing w:before="153" w:line="220"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（6）《地下防水工程质量验收规范》；</w:t>
      </w:r>
    </w:p>
    <w:p w14:paraId="47AE272D">
      <w:pPr>
        <w:keepNext w:val="0"/>
        <w:keepLines w:val="0"/>
        <w:pageBreakBefore w:val="0"/>
        <w:kinsoku/>
        <w:wordWrap w:val="0"/>
        <w:overflowPunct/>
        <w:topLinePunct w:val="0"/>
        <w:bidi w:val="0"/>
        <w:spacing w:before="156" w:line="220"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（7）《建筑地面工程施工质量验收规范》；</w:t>
      </w:r>
    </w:p>
    <w:p w14:paraId="76A79CB0">
      <w:pPr>
        <w:keepNext w:val="0"/>
        <w:keepLines w:val="0"/>
        <w:pageBreakBefore w:val="0"/>
        <w:kinsoku/>
        <w:wordWrap w:val="0"/>
        <w:overflowPunct/>
        <w:topLinePunct w:val="0"/>
        <w:bidi w:val="0"/>
        <w:spacing w:before="153" w:line="220"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（8）《建筑装饰装修工程施工质量验收规范》；</w:t>
      </w:r>
    </w:p>
    <w:p w14:paraId="7E836C74">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（9）《建筑给排水及采暖工程施工质量验收规范》；</w:t>
      </w:r>
    </w:p>
    <w:p w14:paraId="27101421">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（10）《建筑电气工程施工质量验收规范》；</w:t>
      </w:r>
    </w:p>
    <w:p w14:paraId="64136A99">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（11）《住建部绿色建筑评价标准》；</w:t>
      </w:r>
    </w:p>
    <w:p w14:paraId="394AE18E">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（12）《建筑节能与可再生能源利用通用规范》（GB55015-2021）；</w:t>
      </w:r>
    </w:p>
    <w:p w14:paraId="5F96829D">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（13）《建筑环境通用规范》；</w:t>
      </w:r>
    </w:p>
    <w:p w14:paraId="0198E858">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rPr>
      </w:pPr>
      <w:bookmarkStart w:id="186" w:name="_Toc16294"/>
      <w:bookmarkStart w:id="187" w:name="_Toc12084"/>
      <w:r>
        <w:rPr>
          <w:rFonts w:hint="eastAsia" w:ascii="宋体" w:hAnsi="宋体" w:eastAsia="宋体" w:cs="宋体"/>
          <w:color w:val="auto"/>
          <w:spacing w:val="0"/>
          <w:sz w:val="24"/>
          <w:szCs w:val="24"/>
          <w:highlight w:val="none"/>
        </w:rPr>
        <w:t>（14）《建筑与市政工程无障碍通用规范》 GB 55019-2021；</w:t>
      </w:r>
      <w:bookmarkEnd w:id="186"/>
      <w:bookmarkEnd w:id="187"/>
    </w:p>
    <w:p w14:paraId="208415E7">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lang w:eastAsia="zh-CN"/>
        </w:rPr>
      </w:pPr>
      <w:bookmarkStart w:id="188" w:name="_Toc15158"/>
      <w:bookmarkStart w:id="189" w:name="_Toc1177"/>
      <w:r>
        <w:rPr>
          <w:rFonts w:hint="eastAsia" w:ascii="宋体" w:hAnsi="宋体" w:eastAsia="宋体" w:cs="宋体"/>
          <w:color w:val="auto"/>
          <w:spacing w:val="0"/>
          <w:sz w:val="24"/>
          <w:szCs w:val="24"/>
          <w:highlight w:val="none"/>
        </w:rPr>
        <w:t>（15）《建筑防火通用规范》GB 55037-2022</w:t>
      </w:r>
      <w:bookmarkEnd w:id="188"/>
      <w:bookmarkEnd w:id="189"/>
      <w:r>
        <w:rPr>
          <w:rFonts w:hint="eastAsia" w:ascii="宋体" w:hAnsi="宋体" w:eastAsia="宋体" w:cs="宋体"/>
          <w:color w:val="auto"/>
          <w:spacing w:val="0"/>
          <w:sz w:val="24"/>
          <w:szCs w:val="24"/>
          <w:highlight w:val="none"/>
          <w:lang w:eastAsia="zh-CN"/>
        </w:rPr>
        <w:t>；</w:t>
      </w:r>
    </w:p>
    <w:p w14:paraId="3CAEBDB1">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lang w:eastAsia="zh-CN"/>
        </w:rPr>
      </w:pPr>
      <w:bookmarkStart w:id="190" w:name="_Toc24233"/>
      <w:bookmarkStart w:id="191" w:name="_Toc2461"/>
      <w:r>
        <w:rPr>
          <w:rFonts w:hint="eastAsia" w:ascii="宋体" w:hAnsi="宋体" w:eastAsia="宋体" w:cs="宋体"/>
          <w:color w:val="auto"/>
          <w:spacing w:val="0"/>
          <w:sz w:val="24"/>
          <w:szCs w:val="24"/>
          <w:highlight w:val="none"/>
        </w:rPr>
        <w:t>（16）《建筑与市政工程抗震通用规范》GB55002-2001</w:t>
      </w:r>
      <w:bookmarkEnd w:id="190"/>
      <w:bookmarkEnd w:id="191"/>
      <w:r>
        <w:rPr>
          <w:rFonts w:hint="eastAsia" w:ascii="宋体" w:hAnsi="宋体" w:eastAsia="宋体" w:cs="宋体"/>
          <w:color w:val="auto"/>
          <w:spacing w:val="0"/>
          <w:sz w:val="24"/>
          <w:szCs w:val="24"/>
          <w:highlight w:val="none"/>
          <w:lang w:eastAsia="zh-CN"/>
        </w:rPr>
        <w:t>；</w:t>
      </w:r>
    </w:p>
    <w:p w14:paraId="685DD796">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lang w:eastAsia="zh-CN"/>
        </w:rPr>
      </w:pPr>
      <w:bookmarkStart w:id="192" w:name="_Toc8109"/>
      <w:bookmarkStart w:id="193" w:name="_Toc5777"/>
      <w:r>
        <w:rPr>
          <w:rFonts w:hint="eastAsia" w:ascii="宋体" w:hAnsi="宋体" w:eastAsia="宋体" w:cs="宋体"/>
          <w:color w:val="auto"/>
          <w:spacing w:val="0"/>
          <w:sz w:val="24"/>
          <w:szCs w:val="24"/>
          <w:highlight w:val="none"/>
        </w:rPr>
        <w:t>（17）《建筑与市政地基基础通用规范》GB55003-20</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1</w:t>
      </w:r>
      <w:bookmarkEnd w:id="192"/>
      <w:bookmarkEnd w:id="193"/>
      <w:r>
        <w:rPr>
          <w:rFonts w:hint="eastAsia" w:ascii="宋体" w:hAnsi="宋体" w:eastAsia="宋体" w:cs="宋体"/>
          <w:color w:val="auto"/>
          <w:spacing w:val="0"/>
          <w:sz w:val="24"/>
          <w:szCs w:val="24"/>
          <w:highlight w:val="none"/>
          <w:lang w:eastAsia="zh-CN"/>
        </w:rPr>
        <w:t>；</w:t>
      </w:r>
    </w:p>
    <w:p w14:paraId="00DBFC09">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（18）《广东省住房和城乡建设厅绿色施工导则》；</w:t>
      </w:r>
    </w:p>
    <w:p w14:paraId="5D7737AC">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（19）《广东省建筑工程绿色施工评价标准》；</w:t>
      </w:r>
    </w:p>
    <w:p w14:paraId="5CD8C62F">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（20）《广东省建筑节能与绿色建筑工程施工质量验收规范》</w:t>
      </w:r>
      <w:r>
        <w:rPr>
          <w:rFonts w:hint="eastAsia" w:ascii="宋体" w:hAnsi="宋体" w:eastAsia="宋体" w:cs="宋体"/>
          <w:color w:val="auto"/>
          <w:spacing w:val="0"/>
          <w:sz w:val="24"/>
          <w:szCs w:val="24"/>
          <w:highlight w:val="none"/>
          <w:lang w:eastAsia="zh-CN"/>
        </w:rPr>
        <w:t>；</w:t>
      </w:r>
    </w:p>
    <w:p w14:paraId="067E85AF">
      <w:pPr>
        <w:keepNext w:val="0"/>
        <w:keepLines w:val="0"/>
        <w:pageBreakBefore w:val="0"/>
        <w:kinsoku/>
        <w:wordWrap w:val="0"/>
        <w:overflowPunct/>
        <w:topLinePunct w:val="0"/>
        <w:bidi w:val="0"/>
        <w:spacing w:before="153" w:line="219"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（21）其他现行国家、广东省关于房建工程的施工及验收规范、定额、规程、标准。</w:t>
      </w:r>
    </w:p>
    <w:p w14:paraId="36B34C1F">
      <w:pPr>
        <w:pStyle w:val="5"/>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highlight w:val="none"/>
        </w:rPr>
      </w:pPr>
    </w:p>
    <w:p w14:paraId="75E00F81">
      <w:pPr>
        <w:keepNext w:val="0"/>
        <w:keepLines w:val="0"/>
        <w:pageBreakBefore w:val="0"/>
        <w:kinsoku/>
        <w:wordWrap w:val="0"/>
        <w:overflowPunct/>
        <w:topLinePunct w:val="0"/>
        <w:bidi w:val="0"/>
        <w:spacing w:before="78" w:line="220" w:lineRule="auto"/>
        <w:ind w:left="115" w:right="84" w:rightChars="40"/>
        <w:outlineLvl w:val="2"/>
        <w:rPr>
          <w:rFonts w:hint="eastAsia" w:ascii="宋体" w:hAnsi="宋体" w:eastAsia="宋体" w:cs="宋体"/>
          <w:color w:val="auto"/>
          <w:spacing w:val="0"/>
          <w:sz w:val="24"/>
          <w:szCs w:val="24"/>
          <w:highlight w:val="none"/>
        </w:rPr>
      </w:pPr>
      <w:bookmarkStart w:id="194" w:name="_Toc15654"/>
      <w:bookmarkStart w:id="195" w:name="_Toc15652"/>
      <w:r>
        <w:rPr>
          <w:rFonts w:hint="eastAsia" w:ascii="宋体" w:hAnsi="宋体" w:eastAsia="宋体" w:cs="宋体"/>
          <w:b/>
          <w:bCs/>
          <w:color w:val="auto"/>
          <w:spacing w:val="0"/>
          <w:sz w:val="24"/>
          <w:szCs w:val="24"/>
          <w:highlight w:val="none"/>
        </w:rPr>
        <w:t>2 ．市政基础设施工程建设项目</w:t>
      </w:r>
      <w:bookmarkEnd w:id="194"/>
      <w:bookmarkEnd w:id="195"/>
    </w:p>
    <w:p w14:paraId="1DE67B68">
      <w:pPr>
        <w:keepNext w:val="0"/>
        <w:keepLines w:val="0"/>
        <w:pageBreakBefore w:val="0"/>
        <w:kinsoku/>
        <w:wordWrap w:val="0"/>
        <w:overflowPunct/>
        <w:topLinePunct w:val="0"/>
        <w:bidi w:val="0"/>
        <w:spacing w:before="154" w:line="220" w:lineRule="auto"/>
        <w:ind w:left="12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市政基础设施工程建设项目必须执行的现行技术规范，包括且不限于：</w:t>
      </w:r>
    </w:p>
    <w:p w14:paraId="7EF67537">
      <w:pPr>
        <w:keepNext w:val="0"/>
        <w:keepLines w:val="0"/>
        <w:pageBreakBefore w:val="0"/>
        <w:kinsoku/>
        <w:wordWrap w:val="0"/>
        <w:overflowPunct/>
        <w:topLinePunct w:val="0"/>
        <w:bidi w:val="0"/>
        <w:spacing w:before="155" w:line="220"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（1）《公路路基施工技术规范》；</w:t>
      </w:r>
    </w:p>
    <w:p w14:paraId="0FD09BDA">
      <w:pPr>
        <w:keepNext w:val="0"/>
        <w:keepLines w:val="0"/>
        <w:pageBreakBefore w:val="0"/>
        <w:kinsoku/>
        <w:wordWrap w:val="0"/>
        <w:overflowPunct/>
        <w:topLinePunct w:val="0"/>
        <w:bidi w:val="0"/>
        <w:spacing w:before="153" w:line="220"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（2）《市政道路工程质量检验评定标准》；</w:t>
      </w:r>
    </w:p>
    <w:p w14:paraId="5E4C6C0A">
      <w:pPr>
        <w:keepNext w:val="0"/>
        <w:keepLines w:val="0"/>
        <w:pageBreakBefore w:val="0"/>
        <w:kinsoku/>
        <w:wordWrap w:val="0"/>
        <w:overflowPunct/>
        <w:topLinePunct w:val="0"/>
        <w:bidi w:val="0"/>
        <w:spacing w:before="154" w:line="220" w:lineRule="auto"/>
        <w:ind w:left="13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（3）《市政排水管渠工程质量检验评定标准》；</w:t>
      </w:r>
    </w:p>
    <w:p w14:paraId="5FFAA5AA">
      <w:pPr>
        <w:keepNext w:val="0"/>
        <w:keepLines w:val="0"/>
        <w:pageBreakBefore w:val="0"/>
        <w:widowControl w:val="0"/>
        <w:kinsoku/>
        <w:wordWrap w:val="0"/>
        <w:overflowPunct/>
        <w:topLinePunct w:val="0"/>
        <w:autoSpaceDE w:val="0"/>
        <w:autoSpaceDN w:val="0"/>
        <w:bidi w:val="0"/>
        <w:adjustRightInd w:val="0"/>
        <w:snapToGrid w:val="0"/>
        <w:spacing w:before="155" w:line="220" w:lineRule="auto"/>
        <w:ind w:left="130" w:right="84" w:rightChars="4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（4）《给水排水管道工程施工及验收规范》；</w:t>
      </w:r>
    </w:p>
    <w:p w14:paraId="5C80DC30">
      <w:pPr>
        <w:keepNext w:val="0"/>
        <w:keepLines w:val="0"/>
        <w:pageBreakBefore w:val="0"/>
        <w:widowControl w:val="0"/>
        <w:kinsoku/>
        <w:wordWrap w:val="0"/>
        <w:overflowPunct/>
        <w:topLinePunct w:val="0"/>
        <w:autoSpaceDE w:val="0"/>
        <w:autoSpaceDN w:val="0"/>
        <w:bidi w:val="0"/>
        <w:adjustRightInd w:val="0"/>
        <w:snapToGrid w:val="0"/>
        <w:spacing w:before="78"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（5）《城市道路路基工程施工及验收规范》；</w:t>
      </w:r>
    </w:p>
    <w:p w14:paraId="3DE05869">
      <w:pPr>
        <w:keepNext w:val="0"/>
        <w:keepLines w:val="0"/>
        <w:pageBreakBefore w:val="0"/>
        <w:widowControl w:val="0"/>
        <w:kinsoku/>
        <w:wordWrap w:val="0"/>
        <w:overflowPunct/>
        <w:topLinePunct w:val="0"/>
        <w:autoSpaceDE w:val="0"/>
        <w:autoSpaceDN w:val="0"/>
        <w:bidi w:val="0"/>
        <w:adjustRightInd w:val="0"/>
        <w:snapToGrid w:val="0"/>
        <w:spacing w:before="155"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（6）《水泥砼路面施工及验收规范》；</w:t>
      </w:r>
    </w:p>
    <w:p w14:paraId="2D0FA851">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（7）《公路水泥砼路面施工技术规范》；</w:t>
      </w:r>
    </w:p>
    <w:p w14:paraId="3DDEEDA6">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（8）《埋地硬聚氯乙烯排水管道工程技术规程》；</w:t>
      </w:r>
    </w:p>
    <w:p w14:paraId="0C40551B">
      <w:pPr>
        <w:keepNext w:val="0"/>
        <w:keepLines w:val="0"/>
        <w:pageBreakBefore w:val="0"/>
        <w:widowControl w:val="0"/>
        <w:kinsoku/>
        <w:wordWrap w:val="0"/>
        <w:overflowPunct/>
        <w:topLinePunct w:val="0"/>
        <w:autoSpaceDE w:val="0"/>
        <w:autoSpaceDN w:val="0"/>
        <w:bidi w:val="0"/>
        <w:adjustRightInd w:val="0"/>
        <w:snapToGrid w:val="0"/>
        <w:spacing w:before="122" w:line="219"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（9）《沥青路面施工及验收规范》；</w:t>
      </w:r>
    </w:p>
    <w:p w14:paraId="051F222E">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（10）《广东省市政工程施工质量技术资料统一用表》。</w:t>
      </w:r>
    </w:p>
    <w:p w14:paraId="71A0E2DE">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bookmarkStart w:id="196" w:name="_Toc8494"/>
      <w:bookmarkStart w:id="197" w:name="_Toc30781"/>
      <w:r>
        <w:rPr>
          <w:rFonts w:hint="eastAsia" w:ascii="宋体" w:hAnsi="宋体" w:eastAsia="宋体" w:cs="宋体"/>
          <w:color w:val="auto"/>
          <w:spacing w:val="0"/>
          <w:sz w:val="24"/>
          <w:szCs w:val="24"/>
          <w:highlight w:val="none"/>
        </w:rPr>
        <w:t>（11）《建筑与市政工程无障碍通用规范》 GB 55019-2021；</w:t>
      </w:r>
      <w:bookmarkEnd w:id="196"/>
      <w:bookmarkEnd w:id="197"/>
    </w:p>
    <w:p w14:paraId="0BB30486">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lang w:eastAsia="zh-CN"/>
        </w:rPr>
      </w:pPr>
      <w:bookmarkStart w:id="198" w:name="_Toc17383"/>
      <w:bookmarkStart w:id="199" w:name="_Toc31143"/>
      <w:r>
        <w:rPr>
          <w:rFonts w:hint="eastAsia" w:ascii="宋体" w:hAnsi="宋体" w:eastAsia="宋体" w:cs="宋体"/>
          <w:color w:val="auto"/>
          <w:spacing w:val="0"/>
          <w:sz w:val="24"/>
          <w:szCs w:val="24"/>
          <w:highlight w:val="none"/>
        </w:rPr>
        <w:t>（12）《建筑防火通用规范》GB 55037-2022</w:t>
      </w:r>
      <w:bookmarkEnd w:id="198"/>
      <w:bookmarkEnd w:id="199"/>
      <w:r>
        <w:rPr>
          <w:rFonts w:hint="eastAsia" w:ascii="宋体" w:hAnsi="宋体" w:eastAsia="宋体" w:cs="宋体"/>
          <w:color w:val="auto"/>
          <w:spacing w:val="0"/>
          <w:sz w:val="24"/>
          <w:szCs w:val="24"/>
          <w:highlight w:val="none"/>
          <w:lang w:eastAsia="zh-CN"/>
        </w:rPr>
        <w:t>；</w:t>
      </w:r>
    </w:p>
    <w:p w14:paraId="3167F8CD">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lang w:eastAsia="zh-CN"/>
        </w:rPr>
      </w:pPr>
      <w:bookmarkStart w:id="200" w:name="_Toc32476"/>
      <w:bookmarkStart w:id="201" w:name="_Toc954"/>
      <w:r>
        <w:rPr>
          <w:rFonts w:hint="eastAsia" w:ascii="宋体" w:hAnsi="宋体" w:eastAsia="宋体" w:cs="宋体"/>
          <w:color w:val="auto"/>
          <w:spacing w:val="0"/>
          <w:sz w:val="24"/>
          <w:szCs w:val="24"/>
          <w:highlight w:val="none"/>
        </w:rPr>
        <w:t>（13）《建筑与市政工程抗震通用规范》GB55002-2001</w:t>
      </w:r>
      <w:bookmarkEnd w:id="200"/>
      <w:bookmarkEnd w:id="201"/>
      <w:r>
        <w:rPr>
          <w:rFonts w:hint="eastAsia" w:ascii="宋体" w:hAnsi="宋体" w:eastAsia="宋体" w:cs="宋体"/>
          <w:color w:val="auto"/>
          <w:spacing w:val="0"/>
          <w:sz w:val="24"/>
          <w:szCs w:val="24"/>
          <w:highlight w:val="none"/>
          <w:lang w:eastAsia="zh-CN"/>
        </w:rPr>
        <w:t>；</w:t>
      </w:r>
    </w:p>
    <w:p w14:paraId="7E7E1132">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lang w:eastAsia="zh-CN"/>
        </w:rPr>
      </w:pPr>
      <w:bookmarkStart w:id="202" w:name="_Toc7185"/>
      <w:bookmarkStart w:id="203" w:name="_Toc27898"/>
      <w:r>
        <w:rPr>
          <w:rFonts w:hint="eastAsia" w:ascii="宋体" w:hAnsi="宋体" w:eastAsia="宋体" w:cs="宋体"/>
          <w:color w:val="auto"/>
          <w:spacing w:val="0"/>
          <w:sz w:val="24"/>
          <w:szCs w:val="24"/>
          <w:highlight w:val="none"/>
        </w:rPr>
        <w:t>（14）《建筑与市政地基基础通用规范》GB55003-20</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1</w:t>
      </w:r>
      <w:bookmarkEnd w:id="202"/>
      <w:bookmarkEnd w:id="203"/>
      <w:r>
        <w:rPr>
          <w:rFonts w:hint="eastAsia" w:ascii="宋体" w:hAnsi="宋体" w:eastAsia="宋体" w:cs="宋体"/>
          <w:color w:val="auto"/>
          <w:spacing w:val="0"/>
          <w:sz w:val="24"/>
          <w:szCs w:val="24"/>
          <w:highlight w:val="none"/>
          <w:lang w:eastAsia="zh-CN"/>
        </w:rPr>
        <w:t>；</w:t>
      </w:r>
    </w:p>
    <w:p w14:paraId="598E0BAE">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bookmarkStart w:id="204" w:name="_Toc29669"/>
      <w:bookmarkStart w:id="205" w:name="_Toc17281"/>
      <w:r>
        <w:rPr>
          <w:rFonts w:hint="eastAsia" w:ascii="宋体" w:hAnsi="宋体" w:eastAsia="宋体" w:cs="宋体"/>
          <w:color w:val="auto"/>
          <w:spacing w:val="0"/>
          <w:sz w:val="24"/>
          <w:szCs w:val="24"/>
          <w:highlight w:val="none"/>
        </w:rPr>
        <w:t>（15）《城市道路照明设计标准》（CJJ45-2015）；</w:t>
      </w:r>
      <w:bookmarkEnd w:id="204"/>
      <w:bookmarkEnd w:id="205"/>
    </w:p>
    <w:p w14:paraId="17AD9E79">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bookmarkStart w:id="206" w:name="_Toc31812"/>
      <w:bookmarkStart w:id="207" w:name="_Toc9161"/>
      <w:r>
        <w:rPr>
          <w:rFonts w:hint="eastAsia" w:ascii="宋体" w:hAnsi="宋体" w:eastAsia="宋体" w:cs="宋体"/>
          <w:color w:val="auto"/>
          <w:spacing w:val="0"/>
          <w:sz w:val="24"/>
          <w:szCs w:val="24"/>
          <w:highlight w:val="none"/>
        </w:rPr>
        <w:t>（16）《低压配电设计规范》（GB50054-2011）；</w:t>
      </w:r>
      <w:bookmarkEnd w:id="206"/>
      <w:bookmarkEnd w:id="207"/>
    </w:p>
    <w:p w14:paraId="39AD9BAB">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bookmarkStart w:id="208" w:name="_Toc18255"/>
      <w:bookmarkStart w:id="209" w:name="_Toc6405"/>
      <w:r>
        <w:rPr>
          <w:rFonts w:hint="eastAsia" w:ascii="宋体" w:hAnsi="宋体" w:eastAsia="宋体" w:cs="宋体"/>
          <w:color w:val="auto"/>
          <w:spacing w:val="0"/>
          <w:sz w:val="24"/>
          <w:szCs w:val="24"/>
          <w:highlight w:val="none"/>
        </w:rPr>
        <w:t>（17）《城市道路照明工程施工及验收规程》（CJJ89-2012）；</w:t>
      </w:r>
      <w:bookmarkEnd w:id="208"/>
      <w:bookmarkEnd w:id="209"/>
    </w:p>
    <w:p w14:paraId="5C08A858">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（18）《LED 道路照明工程技术规范》（DB44/T 1898-2016）；</w:t>
      </w:r>
    </w:p>
    <w:p w14:paraId="2E0247A6">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（19）《灯具第 1 部分：一般要求与试验》（GB7000.1-2015）；</w:t>
      </w:r>
    </w:p>
    <w:p w14:paraId="304A14BA">
      <w:pPr>
        <w:keepNext w:val="0"/>
        <w:keepLines w:val="0"/>
        <w:pageBreakBefore w:val="0"/>
        <w:widowControl w:val="0"/>
        <w:kinsoku/>
        <w:wordWrap w:val="0"/>
        <w:overflowPunct/>
        <w:topLinePunct w:val="0"/>
        <w:autoSpaceDE w:val="0"/>
        <w:autoSpaceDN w:val="0"/>
        <w:bidi w:val="0"/>
        <w:adjustRightInd w:val="0"/>
        <w:snapToGrid w:val="0"/>
        <w:spacing w:before="153" w:line="220" w:lineRule="auto"/>
        <w:ind w:left="216" w:leftChars="103" w:right="84" w:rightChars="40"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（20）《电缆工程电缆设计标准》（GB50217-2018）；</w:t>
      </w:r>
    </w:p>
    <w:p w14:paraId="2781CAEA">
      <w:pPr>
        <w:keepNext w:val="0"/>
        <w:keepLines w:val="0"/>
        <w:pageBreakBefore w:val="0"/>
        <w:widowControl w:val="0"/>
        <w:kinsoku/>
        <w:wordWrap w:val="0"/>
        <w:overflowPunct/>
        <w:topLinePunct w:val="0"/>
        <w:autoSpaceDE w:val="0"/>
        <w:autoSpaceDN w:val="0"/>
        <w:bidi w:val="0"/>
        <w:adjustRightInd w:val="0"/>
        <w:snapToGrid w:val="0"/>
        <w:spacing w:before="146" w:line="220" w:lineRule="auto"/>
        <w:ind w:left="216" w:leftChars="103" w:right="84" w:rightChars="40" w:firstLine="0" w:firstLineChars="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（21）其他现行国家、广东省关于市政工程的技术及验收规范、定额、规程、标准。</w:t>
      </w:r>
    </w:p>
    <w:p w14:paraId="4A2CCAE5">
      <w:pPr>
        <w:pStyle w:val="5"/>
        <w:keepNext w:val="0"/>
        <w:keepLines w:val="0"/>
        <w:pageBreakBefore w:val="0"/>
        <w:widowControl w:val="0"/>
        <w:kinsoku/>
        <w:wordWrap w:val="0"/>
        <w:overflowPunct/>
        <w:topLinePunct w:val="0"/>
        <w:autoSpaceDE w:val="0"/>
        <w:autoSpaceDN w:val="0"/>
        <w:bidi w:val="0"/>
        <w:adjustRightInd w:val="0"/>
        <w:snapToGrid w:val="0"/>
        <w:spacing w:line="255" w:lineRule="auto"/>
        <w:ind w:right="84" w:rightChars="40"/>
        <w:textAlignment w:val="baseline"/>
        <w:rPr>
          <w:rFonts w:hint="eastAsia" w:ascii="宋体" w:hAnsi="宋体" w:eastAsia="宋体" w:cs="宋体"/>
          <w:color w:val="auto"/>
          <w:spacing w:val="0"/>
          <w:highlight w:val="none"/>
        </w:rPr>
      </w:pPr>
    </w:p>
    <w:p w14:paraId="4C853389">
      <w:pPr>
        <w:pStyle w:val="5"/>
        <w:keepNext w:val="0"/>
        <w:keepLines w:val="0"/>
        <w:pageBreakBefore w:val="0"/>
        <w:widowControl w:val="0"/>
        <w:kinsoku/>
        <w:wordWrap w:val="0"/>
        <w:overflowPunct/>
        <w:topLinePunct w:val="0"/>
        <w:autoSpaceDE w:val="0"/>
        <w:autoSpaceDN w:val="0"/>
        <w:bidi w:val="0"/>
        <w:adjustRightInd w:val="0"/>
        <w:snapToGrid w:val="0"/>
        <w:spacing w:line="255" w:lineRule="auto"/>
        <w:ind w:right="84" w:rightChars="40"/>
        <w:textAlignment w:val="baseline"/>
        <w:rPr>
          <w:rFonts w:hint="eastAsia" w:ascii="宋体" w:hAnsi="宋体" w:eastAsia="宋体" w:cs="宋体"/>
          <w:color w:val="auto"/>
          <w:spacing w:val="0"/>
          <w:highlight w:val="none"/>
        </w:rPr>
      </w:pPr>
    </w:p>
    <w:p w14:paraId="75A42B65">
      <w:pPr>
        <w:keepNext w:val="0"/>
        <w:keepLines w:val="0"/>
        <w:pageBreakBefore w:val="0"/>
        <w:widowControl w:val="0"/>
        <w:kinsoku/>
        <w:wordWrap w:val="0"/>
        <w:overflowPunct/>
        <w:topLinePunct w:val="0"/>
        <w:autoSpaceDE w:val="0"/>
        <w:autoSpaceDN w:val="0"/>
        <w:bidi w:val="0"/>
        <w:adjustRightInd w:val="0"/>
        <w:snapToGrid w:val="0"/>
        <w:spacing w:before="78" w:line="222" w:lineRule="auto"/>
        <w:ind w:left="556" w:right="84" w:rightChars="40"/>
        <w:textAlignment w:val="baseline"/>
        <w:outlineLvl w:val="2"/>
        <w:rPr>
          <w:rFonts w:hint="eastAsia" w:ascii="宋体" w:hAnsi="宋体" w:eastAsia="宋体" w:cs="宋体"/>
          <w:color w:val="auto"/>
          <w:spacing w:val="0"/>
          <w:sz w:val="24"/>
          <w:szCs w:val="24"/>
          <w:highlight w:val="none"/>
        </w:rPr>
      </w:pPr>
      <w:bookmarkStart w:id="210" w:name="_Toc24857"/>
      <w:bookmarkStart w:id="211" w:name="_Toc9200"/>
      <w:r>
        <w:rPr>
          <w:rFonts w:hint="eastAsia" w:ascii="宋体" w:hAnsi="宋体" w:eastAsia="宋体" w:cs="宋体"/>
          <w:b/>
          <w:bCs/>
          <w:color w:val="auto"/>
          <w:spacing w:val="0"/>
          <w:sz w:val="24"/>
          <w:szCs w:val="24"/>
          <w:highlight w:val="none"/>
        </w:rPr>
        <w:t>3 ．备查要求</w:t>
      </w:r>
      <w:bookmarkEnd w:id="210"/>
      <w:bookmarkEnd w:id="211"/>
    </w:p>
    <w:p w14:paraId="0334C0EA">
      <w:pPr>
        <w:keepNext w:val="0"/>
        <w:keepLines w:val="0"/>
        <w:pageBreakBefore w:val="0"/>
        <w:widowControl w:val="0"/>
        <w:kinsoku/>
        <w:wordWrap w:val="0"/>
        <w:overflowPunct/>
        <w:topLinePunct w:val="0"/>
        <w:autoSpaceDE w:val="0"/>
        <w:autoSpaceDN w:val="0"/>
        <w:bidi w:val="0"/>
        <w:adjustRightInd w:val="0"/>
        <w:snapToGrid w:val="0"/>
        <w:spacing w:before="155" w:line="324" w:lineRule="auto"/>
        <w:ind w:right="84" w:rightChars="40" w:firstLine="561"/>
        <w:jc w:val="both"/>
        <w:textAlignment w:val="baseline"/>
        <w:rPr>
          <w:rFonts w:hint="eastAsia" w:ascii="宋体" w:hAnsi="宋体" w:eastAsia="宋体" w:cs="宋体"/>
          <w:color w:val="auto"/>
          <w:spacing w:val="0"/>
          <w:highlight w:val="none"/>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pacing w:val="0"/>
          <w:sz w:val="24"/>
          <w:szCs w:val="24"/>
          <w:highlight w:val="none"/>
        </w:rPr>
        <w:t>承包人必须在施工现场准备至少一套上述规范，发包人和监理单位可随时检查承 包人的上述规范，并监督承包人按规范要求执行。</w:t>
      </w:r>
    </w:p>
    <w:p w14:paraId="4E917614">
      <w:pPr>
        <w:keepNext w:val="0"/>
        <w:keepLines w:val="0"/>
        <w:pageBreakBefore w:val="0"/>
        <w:kinsoku/>
        <w:wordWrap w:val="0"/>
        <w:overflowPunct/>
        <w:topLinePunct w:val="0"/>
        <w:bidi w:val="0"/>
        <w:spacing w:before="78" w:line="219" w:lineRule="auto"/>
        <w:ind w:right="84" w:rightChars="40"/>
        <w:jc w:val="center"/>
        <w:outlineLvl w:val="0"/>
        <w:rPr>
          <w:rFonts w:hint="eastAsia" w:ascii="宋体" w:hAnsi="宋体" w:eastAsia="宋体" w:cs="宋体"/>
          <w:color w:val="auto"/>
          <w:spacing w:val="0"/>
          <w:sz w:val="24"/>
          <w:szCs w:val="24"/>
          <w:highlight w:val="none"/>
        </w:rPr>
      </w:pPr>
      <w:bookmarkStart w:id="212" w:name="bookmark146"/>
      <w:bookmarkEnd w:id="212"/>
      <w:bookmarkStart w:id="213" w:name="bookmark100"/>
      <w:bookmarkEnd w:id="213"/>
      <w:bookmarkStart w:id="214" w:name="_Toc2281"/>
      <w:r>
        <w:rPr>
          <w:rFonts w:hint="eastAsia" w:ascii="宋体" w:hAnsi="宋体" w:eastAsia="宋体" w:cs="宋体"/>
          <w:b/>
          <w:bCs/>
          <w:color w:val="auto"/>
          <w:spacing w:val="0"/>
          <w:sz w:val="24"/>
          <w:szCs w:val="24"/>
          <w:highlight w:val="none"/>
        </w:rPr>
        <w:t>第五章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图纸和招标工程量清单</w:t>
      </w:r>
      <w:bookmarkEnd w:id="214"/>
    </w:p>
    <w:p w14:paraId="5FC74284">
      <w:pPr>
        <w:pStyle w:val="5"/>
        <w:keepNext w:val="0"/>
        <w:keepLines w:val="0"/>
        <w:pageBreakBefore w:val="0"/>
        <w:kinsoku/>
        <w:wordWrap w:val="0"/>
        <w:overflowPunct/>
        <w:topLinePunct w:val="0"/>
        <w:bidi w:val="0"/>
        <w:spacing w:line="283" w:lineRule="auto"/>
        <w:ind w:right="84" w:rightChars="40"/>
        <w:rPr>
          <w:rFonts w:hint="eastAsia" w:ascii="宋体" w:hAnsi="宋体" w:eastAsia="宋体" w:cs="宋体"/>
          <w:color w:val="auto"/>
          <w:spacing w:val="0"/>
          <w:highlight w:val="none"/>
        </w:rPr>
      </w:pPr>
    </w:p>
    <w:p w14:paraId="4531523B">
      <w:pPr>
        <w:pStyle w:val="5"/>
        <w:keepNext w:val="0"/>
        <w:keepLines w:val="0"/>
        <w:pageBreakBefore w:val="0"/>
        <w:kinsoku/>
        <w:wordWrap w:val="0"/>
        <w:overflowPunct/>
        <w:topLinePunct w:val="0"/>
        <w:bidi w:val="0"/>
        <w:spacing w:line="284" w:lineRule="auto"/>
        <w:ind w:right="84" w:rightChars="40"/>
        <w:rPr>
          <w:rFonts w:hint="eastAsia" w:ascii="宋体" w:hAnsi="宋体" w:eastAsia="宋体" w:cs="宋体"/>
          <w:color w:val="auto"/>
          <w:spacing w:val="0"/>
          <w:highlight w:val="none"/>
        </w:rPr>
      </w:pPr>
    </w:p>
    <w:p w14:paraId="57E54AE6">
      <w:pPr>
        <w:keepNext w:val="0"/>
        <w:keepLines w:val="0"/>
        <w:pageBreakBefore w:val="0"/>
        <w:kinsoku/>
        <w:wordWrap w:val="0"/>
        <w:overflowPunct/>
        <w:topLinePunct w:val="0"/>
        <w:bidi w:val="0"/>
        <w:spacing w:before="78" w:line="219" w:lineRule="auto"/>
        <w:ind w:left="1064"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□有，另附复印件         </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有，自行网上下载(浏览)           □无</w:t>
      </w:r>
    </w:p>
    <w:p w14:paraId="78499731">
      <w:pPr>
        <w:pStyle w:val="5"/>
        <w:keepNext w:val="0"/>
        <w:keepLines w:val="0"/>
        <w:pageBreakBefore w:val="0"/>
        <w:kinsoku/>
        <w:wordWrap w:val="0"/>
        <w:overflowPunct/>
        <w:topLinePunct w:val="0"/>
        <w:bidi w:val="0"/>
        <w:spacing w:line="265" w:lineRule="auto"/>
        <w:ind w:right="84" w:rightChars="40"/>
        <w:rPr>
          <w:rFonts w:hint="eastAsia" w:ascii="宋体" w:hAnsi="宋体" w:eastAsia="宋体" w:cs="宋体"/>
          <w:color w:val="auto"/>
          <w:spacing w:val="0"/>
          <w:highlight w:val="none"/>
        </w:rPr>
      </w:pPr>
    </w:p>
    <w:p w14:paraId="660835A9">
      <w:pPr>
        <w:keepNext w:val="0"/>
        <w:keepLines w:val="0"/>
        <w:pageBreakBefore w:val="0"/>
        <w:kinsoku/>
        <w:wordWrap w:val="0"/>
        <w:overflowPunct/>
        <w:topLinePunct w:val="0"/>
        <w:bidi w:val="0"/>
        <w:spacing w:before="151" w:line="222" w:lineRule="auto"/>
        <w:ind w:left="715" w:right="84" w:rightChars="40"/>
        <w:outlineLvl w:val="2"/>
        <w:rPr>
          <w:rFonts w:hint="eastAsia" w:ascii="宋体" w:hAnsi="宋体" w:eastAsia="宋体" w:cs="宋体"/>
          <w:color w:val="auto"/>
          <w:spacing w:val="0"/>
          <w:sz w:val="24"/>
          <w:szCs w:val="24"/>
          <w:highlight w:val="none"/>
        </w:rPr>
      </w:pPr>
      <w:bookmarkStart w:id="215" w:name="_Toc9588"/>
      <w:bookmarkStart w:id="216" w:name="_Toc24446"/>
      <w:r>
        <w:rPr>
          <w:rFonts w:hint="eastAsia" w:ascii="宋体" w:hAnsi="宋体" w:eastAsia="宋体" w:cs="宋体"/>
          <w:b/>
          <w:bCs/>
          <w:color w:val="auto"/>
          <w:spacing w:val="0"/>
          <w:sz w:val="24"/>
          <w:szCs w:val="24"/>
          <w:highlight w:val="none"/>
        </w:rPr>
        <w:t>1 ．图纸</w:t>
      </w:r>
      <w:bookmarkEnd w:id="215"/>
      <w:bookmarkEnd w:id="216"/>
    </w:p>
    <w:p w14:paraId="00652F97">
      <w:pPr>
        <w:keepNext w:val="0"/>
        <w:keepLines w:val="0"/>
        <w:pageBreakBefore w:val="0"/>
        <w:kinsoku/>
        <w:wordWrap w:val="0"/>
        <w:overflowPunct/>
        <w:topLinePunct w:val="0"/>
        <w:bidi w:val="0"/>
        <w:spacing w:before="150" w:line="330" w:lineRule="auto"/>
        <w:ind w:left="230" w:right="84" w:rightChars="40" w:firstLine="48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本招标文件随文另附施工图（电子文件）一套。</w:t>
      </w:r>
    </w:p>
    <w:p w14:paraId="48EB0DBD">
      <w:pPr>
        <w:pStyle w:val="5"/>
        <w:keepNext w:val="0"/>
        <w:keepLines w:val="0"/>
        <w:pageBreakBefore w:val="0"/>
        <w:kinsoku/>
        <w:wordWrap w:val="0"/>
        <w:overflowPunct/>
        <w:topLinePunct w:val="0"/>
        <w:bidi w:val="0"/>
        <w:spacing w:line="253" w:lineRule="auto"/>
        <w:ind w:right="84" w:rightChars="40"/>
        <w:rPr>
          <w:rFonts w:hint="eastAsia" w:ascii="宋体" w:hAnsi="宋体" w:eastAsia="宋体" w:cs="宋体"/>
          <w:color w:val="auto"/>
          <w:spacing w:val="0"/>
          <w:highlight w:val="none"/>
        </w:rPr>
      </w:pPr>
    </w:p>
    <w:p w14:paraId="7191C978">
      <w:pPr>
        <w:keepNext w:val="0"/>
        <w:keepLines w:val="0"/>
        <w:pageBreakBefore w:val="0"/>
        <w:kinsoku/>
        <w:wordWrap w:val="0"/>
        <w:overflowPunct/>
        <w:topLinePunct w:val="0"/>
        <w:bidi w:val="0"/>
        <w:spacing w:before="79" w:line="221" w:lineRule="auto"/>
        <w:ind w:left="705" w:right="84" w:rightChars="40"/>
        <w:outlineLvl w:val="2"/>
        <w:rPr>
          <w:rFonts w:hint="eastAsia" w:ascii="宋体" w:hAnsi="宋体" w:eastAsia="宋体" w:cs="宋体"/>
          <w:color w:val="auto"/>
          <w:spacing w:val="0"/>
          <w:sz w:val="24"/>
          <w:szCs w:val="24"/>
          <w:highlight w:val="none"/>
        </w:rPr>
      </w:pPr>
      <w:bookmarkStart w:id="217" w:name="_Toc26384"/>
      <w:bookmarkStart w:id="218" w:name="_Toc9064"/>
      <w:r>
        <w:rPr>
          <w:rFonts w:hint="eastAsia" w:ascii="宋体" w:hAnsi="宋体" w:eastAsia="宋体" w:cs="宋体"/>
          <w:b/>
          <w:bCs/>
          <w:color w:val="auto"/>
          <w:spacing w:val="0"/>
          <w:sz w:val="24"/>
          <w:szCs w:val="24"/>
          <w:highlight w:val="none"/>
        </w:rPr>
        <w:t>2 ．招标工程量清单</w:t>
      </w:r>
      <w:bookmarkEnd w:id="217"/>
      <w:bookmarkEnd w:id="218"/>
    </w:p>
    <w:p w14:paraId="6A47FAFD">
      <w:pPr>
        <w:keepNext w:val="0"/>
        <w:keepLines w:val="0"/>
        <w:pageBreakBefore w:val="0"/>
        <w:kinsoku/>
        <w:wordWrap w:val="0"/>
        <w:overflowPunct/>
        <w:topLinePunct w:val="0"/>
        <w:bidi w:val="0"/>
        <w:spacing w:before="117" w:line="312" w:lineRule="auto"/>
        <w:ind w:left="231" w:right="84" w:rightChars="40"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2.1  </w:t>
      </w:r>
      <w:r>
        <w:rPr>
          <w:rFonts w:hint="eastAsia" w:ascii="宋体" w:hAnsi="宋体" w:eastAsia="宋体" w:cs="宋体"/>
          <w:color w:val="auto"/>
          <w:spacing w:val="0"/>
          <w:sz w:val="24"/>
          <w:szCs w:val="24"/>
          <w:highlight w:val="none"/>
        </w:rPr>
        <w:t>本</w:t>
      </w:r>
      <w:r>
        <w:rPr>
          <w:rFonts w:hint="eastAsia" w:ascii="宋体" w:hAnsi="宋体" w:eastAsia="宋体" w:cs="宋体"/>
          <w:b w:val="0"/>
          <w:bCs w:val="0"/>
          <w:color w:val="auto"/>
          <w:spacing w:val="-3"/>
          <w:sz w:val="24"/>
          <w:szCs w:val="24"/>
          <w:highlight w:val="none"/>
        </w:rPr>
        <w:t>本招标文件随文另附招标工程量清单的PDF版/EXCEL版电子文件一套</w:t>
      </w:r>
      <w:r>
        <w:rPr>
          <w:rFonts w:hint="eastAsia" w:ascii="宋体" w:hAnsi="宋体" w:eastAsia="宋体" w:cs="宋体"/>
          <w:color w:val="auto"/>
          <w:spacing w:val="0"/>
          <w:sz w:val="24"/>
          <w:szCs w:val="24"/>
          <w:highlight w:val="none"/>
        </w:rPr>
        <w:t>。</w:t>
      </w:r>
    </w:p>
    <w:p w14:paraId="076FE901">
      <w:pPr>
        <w:keepNext w:val="0"/>
        <w:keepLines w:val="0"/>
        <w:pageBreakBefore w:val="0"/>
        <w:kinsoku/>
        <w:wordWrap w:val="0"/>
        <w:overflowPunct/>
        <w:topLinePunct w:val="0"/>
        <w:bidi w:val="0"/>
        <w:spacing w:before="78" w:line="219" w:lineRule="auto"/>
        <w:ind w:left="478" w:right="84" w:rightChars="40" w:firstLine="241" w:firstLineChars="100"/>
        <w:rPr>
          <w:rFonts w:hint="eastAsia" w:ascii="宋体" w:hAnsi="宋体" w:eastAsia="宋体" w:cs="宋体"/>
          <w:color w:val="auto"/>
          <w:spacing w:val="0"/>
          <w:sz w:val="24"/>
          <w:szCs w:val="24"/>
          <w:highlight w:val="none"/>
        </w:rPr>
      </w:pPr>
      <w:bookmarkStart w:id="219" w:name="bookmark147"/>
      <w:bookmarkEnd w:id="219"/>
      <w:r>
        <w:rPr>
          <w:rFonts w:hint="eastAsia" w:ascii="宋体" w:hAnsi="宋体" w:eastAsia="宋体" w:cs="宋体"/>
          <w:b/>
          <w:bCs/>
          <w:color w:val="auto"/>
          <w:spacing w:val="0"/>
          <w:sz w:val="24"/>
          <w:szCs w:val="24"/>
          <w:highlight w:val="none"/>
        </w:rPr>
        <w:t xml:space="preserve">2.2  </w:t>
      </w:r>
      <w:r>
        <w:rPr>
          <w:rFonts w:hint="eastAsia" w:ascii="宋体" w:hAnsi="宋体" w:eastAsia="宋体" w:cs="宋体"/>
          <w:color w:val="auto"/>
          <w:spacing w:val="0"/>
          <w:sz w:val="24"/>
          <w:szCs w:val="24"/>
          <w:highlight w:val="none"/>
        </w:rPr>
        <w:t>本工程按照以下依据编制</w:t>
      </w:r>
      <w:r>
        <w:rPr>
          <w:rFonts w:hint="eastAsia" w:ascii="宋体" w:hAnsi="宋体" w:eastAsia="宋体" w:cs="宋体"/>
          <w:color w:val="auto"/>
          <w:spacing w:val="0"/>
          <w:sz w:val="24"/>
          <w:szCs w:val="24"/>
          <w:highlight w:val="none"/>
          <w:u w:val="single"/>
        </w:rPr>
        <w:t>招标工程量清单</w:t>
      </w:r>
      <w:r>
        <w:rPr>
          <w:rFonts w:hint="eastAsia" w:ascii="宋体" w:hAnsi="宋体" w:eastAsia="宋体" w:cs="宋体"/>
          <w:color w:val="auto"/>
          <w:spacing w:val="0"/>
          <w:sz w:val="24"/>
          <w:szCs w:val="24"/>
          <w:highlight w:val="none"/>
        </w:rPr>
        <w:t>：</w:t>
      </w:r>
    </w:p>
    <w:p w14:paraId="678730BC">
      <w:pPr>
        <w:keepNext w:val="0"/>
        <w:keepLines w:val="0"/>
        <w:pageBreakBefore w:val="0"/>
        <w:kinsoku/>
        <w:wordWrap w:val="0"/>
        <w:overflowPunct/>
        <w:topLinePunct w:val="0"/>
        <w:bidi w:val="0"/>
        <w:spacing w:before="123" w:line="219" w:lineRule="auto"/>
        <w:ind w:left="493"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53E00F35">
      <w:pPr>
        <w:keepNext w:val="0"/>
        <w:keepLines w:val="0"/>
        <w:pageBreakBefore w:val="0"/>
        <w:kinsoku/>
        <w:wordWrap w:val="0"/>
        <w:overflowPunct/>
        <w:topLinePunct w:val="0"/>
        <w:bidi w:val="0"/>
        <w:spacing w:before="115" w:line="299" w:lineRule="auto"/>
        <w:ind w:right="84" w:rightChars="40" w:firstLine="49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须知 ”规定提交的要求招标人澄清的其他问题一起提交给招标人，招标人将根据实际情况决定是否颁发</w:t>
      </w:r>
      <w:r>
        <w:rPr>
          <w:rFonts w:hint="eastAsia" w:ascii="宋体" w:hAnsi="宋体" w:eastAsia="宋体" w:cs="宋体"/>
          <w:color w:val="auto"/>
          <w:spacing w:val="0"/>
          <w:sz w:val="24"/>
          <w:szCs w:val="24"/>
          <w:highlight w:val="none"/>
          <w:u w:val="single"/>
        </w:rPr>
        <w:t>工程量清单</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的补充和(或)修改文件。</w:t>
      </w:r>
    </w:p>
    <w:p w14:paraId="3E496F3B">
      <w:pPr>
        <w:keepNext w:val="0"/>
        <w:keepLines w:val="0"/>
        <w:pageBreakBefore w:val="0"/>
        <w:kinsoku/>
        <w:wordWrap w:val="0"/>
        <w:overflowPunct/>
        <w:topLinePunct w:val="0"/>
        <w:bidi w:val="0"/>
        <w:spacing w:before="79" w:line="263" w:lineRule="auto"/>
        <w:ind w:left="2" w:right="84" w:rightChars="40"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（3）本招标工程量清单措施项目中的</w:t>
      </w:r>
      <w:r>
        <w:rPr>
          <w:rFonts w:hint="eastAsia" w:ascii="宋体" w:hAnsi="宋体" w:eastAsia="宋体" w:cs="宋体"/>
          <w:b/>
          <w:bCs/>
          <w:color w:val="auto"/>
          <w:spacing w:val="0"/>
          <w:sz w:val="24"/>
          <w:szCs w:val="24"/>
          <w:highlight w:val="none"/>
        </w:rPr>
        <w:t>暂列金额、暂估价</w:t>
      </w:r>
      <w:r>
        <w:rPr>
          <w:rFonts w:hint="eastAsia" w:ascii="宋体" w:hAnsi="宋体" w:eastAsia="宋体" w:cs="宋体"/>
          <w:color w:val="auto"/>
          <w:spacing w:val="0"/>
          <w:sz w:val="24"/>
          <w:szCs w:val="24"/>
          <w:highlight w:val="none"/>
        </w:rPr>
        <w:t>不得作为竞争性费用，投标报价必须按本招标工程量清单规定的金额填报。</w:t>
      </w:r>
    </w:p>
    <w:p w14:paraId="24C45CC5">
      <w:pPr>
        <w:keepNext w:val="0"/>
        <w:keepLines w:val="0"/>
        <w:pageBreakBefore w:val="0"/>
        <w:kinsoku/>
        <w:wordWrap w:val="0"/>
        <w:overflowPunct/>
        <w:topLinePunct w:val="0"/>
        <w:bidi w:val="0"/>
        <w:spacing w:before="118" w:line="265" w:lineRule="auto"/>
        <w:ind w:left="7" w:right="84" w:rightChars="40" w:firstLine="48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（4）投标报价使用的表格格式须按照《</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5D89ED6B">
      <w:pPr>
        <w:keepNext w:val="0"/>
        <w:keepLines w:val="0"/>
        <w:pageBreakBefore w:val="0"/>
        <w:kinsoku/>
        <w:wordWrap w:val="0"/>
        <w:overflowPunct/>
        <w:topLinePunct w:val="0"/>
        <w:bidi w:val="0"/>
        <w:spacing w:before="107" w:line="286" w:lineRule="auto"/>
        <w:ind w:right="84" w:rightChars="40"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市政工程工程量计算标准》(GB/T50857-2024）、《园林绿化工程工程量计算标准》(GB/T50858-2024）、2018年《广东省市政工程综合定额》、2018年《广东省园林绿化工程综合定额》及现行的建筑施工规范和省市有关文件、规定为编制依据进行编制；</w:t>
      </w:r>
    </w:p>
    <w:p w14:paraId="4B3D583F">
      <w:pPr>
        <w:keepNext w:val="0"/>
        <w:keepLines w:val="0"/>
        <w:pageBreakBefore w:val="0"/>
        <w:kinsoku/>
        <w:wordWrap w:val="0"/>
        <w:overflowPunct/>
        <w:topLinePunct w:val="0"/>
        <w:bidi w:val="0"/>
        <w:spacing w:before="146" w:line="221" w:lineRule="auto"/>
        <w:ind w:left="493"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（6）施工图及相关资料；</w:t>
      </w:r>
    </w:p>
    <w:p w14:paraId="2C855D25">
      <w:pPr>
        <w:keepNext w:val="0"/>
        <w:keepLines w:val="0"/>
        <w:pageBreakBefore w:val="0"/>
        <w:kinsoku/>
        <w:wordWrap w:val="0"/>
        <w:overflowPunct/>
        <w:topLinePunct w:val="0"/>
        <w:bidi w:val="0"/>
        <w:spacing w:before="153" w:line="220" w:lineRule="auto"/>
        <w:ind w:left="493"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（7）招标文件；</w:t>
      </w:r>
    </w:p>
    <w:p w14:paraId="7D4A78D6">
      <w:pPr>
        <w:keepNext w:val="0"/>
        <w:keepLines w:val="0"/>
        <w:pageBreakBefore w:val="0"/>
        <w:kinsoku/>
        <w:wordWrap w:val="0"/>
        <w:overflowPunct/>
        <w:topLinePunct w:val="0"/>
        <w:bidi w:val="0"/>
        <w:spacing w:before="155" w:line="220" w:lineRule="auto"/>
        <w:ind w:left="493"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（8）施工现场情况、地勘水文资料、工程特点及常规施工方案；</w:t>
      </w:r>
    </w:p>
    <w:p w14:paraId="617E9DDC">
      <w:pPr>
        <w:keepNext w:val="0"/>
        <w:keepLines w:val="0"/>
        <w:pageBreakBefore w:val="0"/>
        <w:kinsoku/>
        <w:wordWrap w:val="0"/>
        <w:overflowPunct/>
        <w:topLinePunct w:val="0"/>
        <w:bidi w:val="0"/>
        <w:spacing w:before="153" w:line="219" w:lineRule="auto"/>
        <w:ind w:left="493"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（9）与建设工程有关的标准、规范、技术资料、材料设备信息价或市场价格等。</w:t>
      </w:r>
    </w:p>
    <w:p w14:paraId="12618F59">
      <w:pPr>
        <w:pStyle w:val="24"/>
        <w:keepNext w:val="0"/>
        <w:keepLines w:val="0"/>
        <w:pageBreakBefore w:val="0"/>
        <w:kinsoku/>
        <w:bidi w:val="0"/>
        <w:ind w:right="84" w:rightChars="40"/>
        <w:rPr>
          <w:rFonts w:hint="eastAsia" w:ascii="宋体" w:hAnsi="宋体" w:eastAsia="宋体" w:cs="宋体"/>
          <w:color w:val="auto"/>
          <w:highlight w:val="none"/>
        </w:rPr>
      </w:pPr>
    </w:p>
    <w:p w14:paraId="499D0013">
      <w:pPr>
        <w:keepNext w:val="0"/>
        <w:keepLines w:val="0"/>
        <w:pageBreakBefore w:val="0"/>
        <w:kinsoku/>
        <w:wordWrap w:val="0"/>
        <w:overflowPunct/>
        <w:topLinePunct w:val="0"/>
        <w:bidi w:val="0"/>
        <w:spacing w:line="219" w:lineRule="auto"/>
        <w:ind w:right="84" w:rightChars="40"/>
        <w:rPr>
          <w:rFonts w:hint="eastAsia" w:ascii="宋体" w:hAnsi="宋体" w:eastAsia="宋体" w:cs="宋体"/>
          <w:color w:val="auto"/>
          <w:spacing w:val="0"/>
          <w:sz w:val="24"/>
          <w:szCs w:val="24"/>
          <w:highlight w:val="none"/>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C94DD83">
      <w:pPr>
        <w:pStyle w:val="5"/>
        <w:keepNext w:val="0"/>
        <w:keepLines w:val="0"/>
        <w:pageBreakBefore w:val="0"/>
        <w:kinsoku/>
        <w:wordWrap w:val="0"/>
        <w:overflowPunct/>
        <w:topLinePunct w:val="0"/>
        <w:bidi w:val="0"/>
        <w:spacing w:line="304" w:lineRule="auto"/>
        <w:ind w:right="84" w:rightChars="40"/>
        <w:rPr>
          <w:rFonts w:hint="eastAsia" w:ascii="宋体" w:hAnsi="宋体" w:eastAsia="宋体" w:cs="宋体"/>
          <w:color w:val="auto"/>
          <w:spacing w:val="0"/>
          <w:highlight w:val="none"/>
        </w:rPr>
      </w:pPr>
    </w:p>
    <w:p w14:paraId="0C8B4CB9">
      <w:pPr>
        <w:keepNext w:val="0"/>
        <w:keepLines w:val="0"/>
        <w:pageBreakBefore w:val="0"/>
        <w:kinsoku/>
        <w:wordWrap w:val="0"/>
        <w:overflowPunct/>
        <w:topLinePunct w:val="0"/>
        <w:bidi w:val="0"/>
        <w:spacing w:before="78" w:line="219" w:lineRule="auto"/>
        <w:ind w:left="3357" w:right="84" w:rightChars="40"/>
        <w:outlineLvl w:val="0"/>
        <w:rPr>
          <w:rFonts w:hint="eastAsia" w:ascii="宋体" w:hAnsi="宋体" w:eastAsia="宋体" w:cs="宋体"/>
          <w:color w:val="auto"/>
          <w:spacing w:val="0"/>
          <w:sz w:val="24"/>
          <w:szCs w:val="24"/>
          <w:highlight w:val="none"/>
        </w:rPr>
      </w:pPr>
      <w:bookmarkStart w:id="220" w:name="_Toc8944"/>
      <w:r>
        <w:rPr>
          <w:rFonts w:hint="eastAsia" w:ascii="宋体" w:hAnsi="宋体" w:eastAsia="宋体" w:cs="宋体"/>
          <w:b/>
          <w:bCs/>
          <w:color w:val="auto"/>
          <w:spacing w:val="0"/>
          <w:sz w:val="24"/>
          <w:szCs w:val="24"/>
          <w:highlight w:val="none"/>
        </w:rPr>
        <w:t>第六章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投标文件格式</w:t>
      </w:r>
      <w:bookmarkEnd w:id="220"/>
    </w:p>
    <w:p w14:paraId="5B1AE375">
      <w:pPr>
        <w:pStyle w:val="5"/>
        <w:keepNext w:val="0"/>
        <w:keepLines w:val="0"/>
        <w:pageBreakBefore w:val="0"/>
        <w:kinsoku/>
        <w:wordWrap w:val="0"/>
        <w:overflowPunct/>
        <w:topLinePunct w:val="0"/>
        <w:bidi w:val="0"/>
        <w:spacing w:line="302" w:lineRule="auto"/>
        <w:ind w:right="84" w:rightChars="40"/>
        <w:jc w:val="right"/>
        <w:rPr>
          <w:rFonts w:hint="eastAsia" w:ascii="宋体" w:hAnsi="宋体" w:eastAsia="宋体" w:cs="宋体"/>
          <w:color w:val="auto"/>
          <w:spacing w:val="0"/>
          <w:highlight w:val="none"/>
        </w:rPr>
      </w:pPr>
    </w:p>
    <w:p w14:paraId="732FF561">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color w:val="auto"/>
          <w:spacing w:val="0"/>
          <w:sz w:val="24"/>
          <w:szCs w:val="24"/>
          <w:highlight w:val="none"/>
        </w:rPr>
      </w:pPr>
      <w:bookmarkStart w:id="221" w:name="_Toc23014"/>
      <w:r>
        <w:rPr>
          <w:rFonts w:hint="eastAsia" w:ascii="宋体" w:hAnsi="宋体" w:eastAsia="宋体" w:cs="宋体"/>
          <w:b/>
          <w:bCs/>
          <w:color w:val="auto"/>
          <w:spacing w:val="0"/>
          <w:sz w:val="24"/>
          <w:szCs w:val="24"/>
          <w:highlight w:val="none"/>
        </w:rPr>
        <w:t>格式一</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封面</w:t>
      </w:r>
      <w:bookmarkEnd w:id="221"/>
    </w:p>
    <w:p w14:paraId="3D936F71">
      <w:pPr>
        <w:pStyle w:val="5"/>
        <w:keepNext w:val="0"/>
        <w:keepLines w:val="0"/>
        <w:pageBreakBefore w:val="0"/>
        <w:kinsoku/>
        <w:wordWrap w:val="0"/>
        <w:overflowPunct/>
        <w:topLinePunct w:val="0"/>
        <w:bidi w:val="0"/>
        <w:spacing w:line="258" w:lineRule="auto"/>
        <w:ind w:right="84" w:rightChars="40"/>
        <w:rPr>
          <w:rFonts w:hint="eastAsia" w:ascii="宋体" w:hAnsi="宋体" w:eastAsia="宋体" w:cs="宋体"/>
          <w:color w:val="auto"/>
          <w:spacing w:val="0"/>
          <w:highlight w:val="none"/>
        </w:rPr>
      </w:pPr>
    </w:p>
    <w:p w14:paraId="068AB70E">
      <w:pPr>
        <w:pStyle w:val="5"/>
        <w:keepNext w:val="0"/>
        <w:keepLines w:val="0"/>
        <w:pageBreakBefore w:val="0"/>
        <w:kinsoku/>
        <w:wordWrap w:val="0"/>
        <w:overflowPunct/>
        <w:topLinePunct w:val="0"/>
        <w:bidi w:val="0"/>
        <w:spacing w:line="259" w:lineRule="auto"/>
        <w:ind w:right="84" w:rightChars="40"/>
        <w:rPr>
          <w:rFonts w:hint="eastAsia" w:ascii="宋体" w:hAnsi="宋体" w:eastAsia="宋体" w:cs="宋体"/>
          <w:color w:val="auto"/>
          <w:spacing w:val="0"/>
          <w:highlight w:val="none"/>
        </w:rPr>
      </w:pPr>
    </w:p>
    <w:p w14:paraId="0DE0F809">
      <w:pPr>
        <w:pStyle w:val="5"/>
        <w:keepNext w:val="0"/>
        <w:keepLines w:val="0"/>
        <w:pageBreakBefore w:val="0"/>
        <w:kinsoku/>
        <w:wordWrap w:val="0"/>
        <w:overflowPunct/>
        <w:topLinePunct w:val="0"/>
        <w:bidi w:val="0"/>
        <w:spacing w:line="259" w:lineRule="auto"/>
        <w:ind w:right="84" w:rightChars="40"/>
        <w:rPr>
          <w:rFonts w:hint="eastAsia" w:ascii="宋体" w:hAnsi="宋体" w:eastAsia="宋体" w:cs="宋体"/>
          <w:color w:val="auto"/>
          <w:spacing w:val="0"/>
          <w:highlight w:val="none"/>
        </w:rPr>
      </w:pPr>
    </w:p>
    <w:p w14:paraId="5ED9FBF6">
      <w:pPr>
        <w:keepNext w:val="0"/>
        <w:keepLines w:val="0"/>
        <w:pageBreakBefore w:val="0"/>
        <w:kinsoku/>
        <w:wordWrap w:val="0"/>
        <w:overflowPunct/>
        <w:topLinePunct w:val="0"/>
        <w:bidi w:val="0"/>
        <w:spacing w:before="153" w:line="225" w:lineRule="auto"/>
        <w:ind w:left="-1" w:leftChars="0" w:right="84" w:rightChars="40" w:firstLine="0" w:firstLineChars="0"/>
        <w:jc w:val="center"/>
        <w:rPr>
          <w:rFonts w:hint="eastAsia" w:ascii="宋体" w:hAnsi="宋体" w:eastAsia="宋体" w:cs="宋体"/>
          <w:color w:val="auto"/>
          <w:spacing w:val="0"/>
          <w:sz w:val="47"/>
          <w:szCs w:val="47"/>
          <w:highlight w:val="none"/>
        </w:rPr>
      </w:pPr>
      <w:r>
        <w:rPr>
          <w:rFonts w:hint="eastAsia" w:ascii="宋体" w:hAnsi="宋体" w:eastAsia="宋体" w:cs="宋体"/>
          <w:b/>
          <w:bCs/>
          <w:color w:val="auto"/>
          <w:spacing w:val="0"/>
          <w:sz w:val="47"/>
          <w:szCs w:val="47"/>
          <w:highlight w:val="none"/>
          <w:u w:val="single"/>
          <w:lang w:val="en-US" w:eastAsia="zh-CN"/>
        </w:rPr>
        <w:t xml:space="preserve">    </w:t>
      </w:r>
      <w:r>
        <w:rPr>
          <w:rFonts w:hint="eastAsia" w:ascii="宋体" w:hAnsi="宋体" w:eastAsia="宋体" w:cs="宋体"/>
          <w:b/>
          <w:bCs/>
          <w:color w:val="auto"/>
          <w:spacing w:val="0"/>
          <w:sz w:val="47"/>
          <w:szCs w:val="47"/>
          <w:highlight w:val="none"/>
          <w:u w:val="single"/>
        </w:rPr>
        <w:t>（项目名称）</w:t>
      </w:r>
      <w:r>
        <w:rPr>
          <w:rFonts w:hint="eastAsia" w:ascii="宋体" w:hAnsi="宋体" w:eastAsia="宋体" w:cs="宋体"/>
          <w:b/>
          <w:bCs/>
          <w:color w:val="auto"/>
          <w:spacing w:val="0"/>
          <w:sz w:val="47"/>
          <w:szCs w:val="47"/>
          <w:highlight w:val="none"/>
        </w:rPr>
        <w:t>招标</w:t>
      </w:r>
    </w:p>
    <w:p w14:paraId="6DEABEF4">
      <w:pPr>
        <w:pStyle w:val="5"/>
        <w:keepNext w:val="0"/>
        <w:keepLines w:val="0"/>
        <w:pageBreakBefore w:val="0"/>
        <w:kinsoku/>
        <w:wordWrap w:val="0"/>
        <w:overflowPunct/>
        <w:topLinePunct w:val="0"/>
        <w:bidi w:val="0"/>
        <w:spacing w:line="247" w:lineRule="auto"/>
        <w:ind w:right="84" w:rightChars="40"/>
        <w:rPr>
          <w:rFonts w:hint="eastAsia" w:ascii="宋体" w:hAnsi="宋体" w:eastAsia="宋体" w:cs="宋体"/>
          <w:color w:val="auto"/>
          <w:spacing w:val="0"/>
          <w:highlight w:val="none"/>
        </w:rPr>
      </w:pPr>
    </w:p>
    <w:p w14:paraId="5EF5EDE9">
      <w:pPr>
        <w:pStyle w:val="5"/>
        <w:keepNext w:val="0"/>
        <w:keepLines w:val="0"/>
        <w:pageBreakBefore w:val="0"/>
        <w:kinsoku/>
        <w:wordWrap w:val="0"/>
        <w:overflowPunct/>
        <w:topLinePunct w:val="0"/>
        <w:bidi w:val="0"/>
        <w:spacing w:line="247" w:lineRule="auto"/>
        <w:ind w:right="84" w:rightChars="40"/>
        <w:rPr>
          <w:rFonts w:hint="eastAsia" w:ascii="宋体" w:hAnsi="宋体" w:eastAsia="宋体" w:cs="宋体"/>
          <w:color w:val="auto"/>
          <w:spacing w:val="0"/>
          <w:highlight w:val="none"/>
        </w:rPr>
      </w:pPr>
    </w:p>
    <w:p w14:paraId="34AB878A">
      <w:pPr>
        <w:pStyle w:val="5"/>
        <w:keepNext w:val="0"/>
        <w:keepLines w:val="0"/>
        <w:pageBreakBefore w:val="0"/>
        <w:kinsoku/>
        <w:wordWrap w:val="0"/>
        <w:overflowPunct/>
        <w:topLinePunct w:val="0"/>
        <w:bidi w:val="0"/>
        <w:spacing w:line="247" w:lineRule="auto"/>
        <w:ind w:right="84" w:rightChars="40"/>
        <w:rPr>
          <w:rFonts w:hint="eastAsia" w:ascii="宋体" w:hAnsi="宋体" w:eastAsia="宋体" w:cs="宋体"/>
          <w:color w:val="auto"/>
          <w:spacing w:val="0"/>
          <w:highlight w:val="none"/>
        </w:rPr>
      </w:pPr>
    </w:p>
    <w:p w14:paraId="15E641E6">
      <w:pPr>
        <w:pStyle w:val="5"/>
        <w:keepNext w:val="0"/>
        <w:keepLines w:val="0"/>
        <w:pageBreakBefore w:val="0"/>
        <w:kinsoku/>
        <w:wordWrap w:val="0"/>
        <w:overflowPunct/>
        <w:topLinePunct w:val="0"/>
        <w:bidi w:val="0"/>
        <w:spacing w:line="247" w:lineRule="auto"/>
        <w:ind w:right="84" w:rightChars="40"/>
        <w:rPr>
          <w:rFonts w:hint="eastAsia" w:ascii="宋体" w:hAnsi="宋体" w:eastAsia="宋体" w:cs="宋体"/>
          <w:color w:val="auto"/>
          <w:spacing w:val="0"/>
          <w:highlight w:val="none"/>
        </w:rPr>
      </w:pPr>
    </w:p>
    <w:p w14:paraId="3098056B">
      <w:pPr>
        <w:pStyle w:val="5"/>
        <w:keepNext w:val="0"/>
        <w:keepLines w:val="0"/>
        <w:pageBreakBefore w:val="0"/>
        <w:kinsoku/>
        <w:wordWrap w:val="0"/>
        <w:overflowPunct/>
        <w:topLinePunct w:val="0"/>
        <w:bidi w:val="0"/>
        <w:spacing w:line="248" w:lineRule="auto"/>
        <w:ind w:right="84" w:rightChars="40"/>
        <w:rPr>
          <w:rFonts w:hint="eastAsia" w:ascii="宋体" w:hAnsi="宋体" w:eastAsia="宋体" w:cs="宋体"/>
          <w:color w:val="auto"/>
          <w:spacing w:val="0"/>
          <w:highlight w:val="none"/>
        </w:rPr>
      </w:pPr>
    </w:p>
    <w:p w14:paraId="4ECB4A2E">
      <w:pPr>
        <w:keepNext w:val="0"/>
        <w:keepLines w:val="0"/>
        <w:pageBreakBefore w:val="0"/>
        <w:kinsoku/>
        <w:wordWrap w:val="0"/>
        <w:overflowPunct/>
        <w:topLinePunct w:val="0"/>
        <w:bidi w:val="0"/>
        <w:spacing w:before="231" w:line="223" w:lineRule="auto"/>
        <w:ind w:right="84" w:rightChars="40"/>
        <w:jc w:val="center"/>
        <w:rPr>
          <w:rFonts w:hint="eastAsia" w:ascii="宋体" w:hAnsi="宋体" w:eastAsia="宋体" w:cs="宋体"/>
          <w:color w:val="auto"/>
          <w:spacing w:val="0"/>
          <w:sz w:val="71"/>
          <w:szCs w:val="71"/>
          <w:highlight w:val="none"/>
        </w:rPr>
      </w:pPr>
      <w:r>
        <w:rPr>
          <w:rFonts w:hint="eastAsia" w:ascii="宋体" w:hAnsi="宋体" w:eastAsia="宋体" w:cs="宋体"/>
          <w:b/>
          <w:bCs/>
          <w:color w:val="auto"/>
          <w:spacing w:val="0"/>
          <w:sz w:val="71"/>
          <w:szCs w:val="71"/>
          <w:highlight w:val="none"/>
        </w:rPr>
        <w:t>投</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件</w:t>
      </w:r>
    </w:p>
    <w:p w14:paraId="23F78714">
      <w:pPr>
        <w:pStyle w:val="5"/>
        <w:keepNext w:val="0"/>
        <w:keepLines w:val="0"/>
        <w:pageBreakBefore w:val="0"/>
        <w:kinsoku/>
        <w:wordWrap w:val="0"/>
        <w:overflowPunct/>
        <w:topLinePunct w:val="0"/>
        <w:bidi w:val="0"/>
        <w:spacing w:line="293" w:lineRule="auto"/>
        <w:ind w:right="84" w:rightChars="40"/>
        <w:rPr>
          <w:rFonts w:hint="eastAsia" w:ascii="宋体" w:hAnsi="宋体" w:eastAsia="宋体" w:cs="宋体"/>
          <w:color w:val="auto"/>
          <w:spacing w:val="0"/>
          <w:highlight w:val="none"/>
        </w:rPr>
      </w:pPr>
    </w:p>
    <w:p w14:paraId="0CD43441">
      <w:pPr>
        <w:pStyle w:val="5"/>
        <w:keepNext w:val="0"/>
        <w:keepLines w:val="0"/>
        <w:pageBreakBefore w:val="0"/>
        <w:kinsoku/>
        <w:wordWrap w:val="0"/>
        <w:overflowPunct/>
        <w:topLinePunct w:val="0"/>
        <w:bidi w:val="0"/>
        <w:spacing w:line="293" w:lineRule="auto"/>
        <w:ind w:right="84" w:rightChars="40"/>
        <w:rPr>
          <w:rFonts w:hint="eastAsia" w:ascii="宋体" w:hAnsi="宋体" w:eastAsia="宋体" w:cs="宋体"/>
          <w:color w:val="auto"/>
          <w:spacing w:val="0"/>
          <w:highlight w:val="none"/>
        </w:rPr>
      </w:pPr>
    </w:p>
    <w:p w14:paraId="48210BB7">
      <w:pPr>
        <w:keepNext w:val="0"/>
        <w:keepLines w:val="0"/>
        <w:pageBreakBefore w:val="0"/>
        <w:kinsoku/>
        <w:wordWrap w:val="0"/>
        <w:overflowPunct/>
        <w:topLinePunct w:val="0"/>
        <w:bidi w:val="0"/>
        <w:spacing w:before="152" w:line="223" w:lineRule="auto"/>
        <w:ind w:right="84" w:rightChars="40"/>
        <w:jc w:val="center"/>
        <w:rPr>
          <w:rFonts w:hint="eastAsia" w:ascii="宋体" w:hAnsi="宋体" w:eastAsia="宋体" w:cs="宋体"/>
          <w:b/>
          <w:bCs/>
          <w:color w:val="auto"/>
          <w:spacing w:val="0"/>
          <w:sz w:val="40"/>
          <w:szCs w:val="40"/>
          <w:highlight w:val="none"/>
        </w:rPr>
      </w:pPr>
      <w:bookmarkStart w:id="222" w:name="bookmark105"/>
      <w:bookmarkEnd w:id="222"/>
      <w:r>
        <w:rPr>
          <w:rFonts w:hint="eastAsia" w:ascii="宋体" w:hAnsi="宋体" w:eastAsia="宋体" w:cs="宋体"/>
          <w:b/>
          <w:bCs/>
          <w:color w:val="auto"/>
          <w:spacing w:val="0"/>
          <w:sz w:val="40"/>
          <w:szCs w:val="40"/>
          <w:highlight w:val="none"/>
        </w:rPr>
        <w:t>（商务标书／经济标书／施工组织设计</w:t>
      </w:r>
      <w:r>
        <w:rPr>
          <w:rFonts w:hint="eastAsia" w:ascii="宋体" w:hAnsi="宋体" w:eastAsia="宋体" w:cs="宋体"/>
          <w:b/>
          <w:bCs/>
          <w:color w:val="auto"/>
          <w:spacing w:val="0"/>
          <w:sz w:val="40"/>
          <w:szCs w:val="40"/>
          <w:highlight w:val="none"/>
          <w:lang w:eastAsia="zh-CN"/>
        </w:rPr>
        <w:t>／定标文件</w:t>
      </w:r>
      <w:r>
        <w:rPr>
          <w:rFonts w:hint="eastAsia" w:ascii="宋体" w:hAnsi="宋体" w:eastAsia="宋体" w:cs="宋体"/>
          <w:b/>
          <w:bCs/>
          <w:color w:val="auto"/>
          <w:spacing w:val="0"/>
          <w:sz w:val="40"/>
          <w:szCs w:val="40"/>
          <w:highlight w:val="none"/>
        </w:rPr>
        <w:t>）</w:t>
      </w:r>
    </w:p>
    <w:p w14:paraId="33EFFA4B">
      <w:pPr>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p w14:paraId="71694CDA">
      <w:pPr>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p w14:paraId="7C6BCB43">
      <w:pPr>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p w14:paraId="10E86CD1">
      <w:pPr>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p w14:paraId="7AB4BF47">
      <w:pPr>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p w14:paraId="306BB099">
      <w:pPr>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p w14:paraId="17C1C6BE">
      <w:pPr>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p w14:paraId="313F4F70">
      <w:pPr>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p w14:paraId="2D1F340C">
      <w:pPr>
        <w:pStyle w:val="45"/>
        <w:keepNext w:val="0"/>
        <w:keepLines w:val="0"/>
        <w:pageBreakBefore w:val="0"/>
        <w:widowControl w:val="0"/>
        <w:kinsoku/>
        <w:wordWrap w:val="0"/>
        <w:overflowPunct/>
        <w:topLinePunct w:val="0"/>
        <w:bidi w:val="0"/>
        <w:adjustRightInd w:val="0"/>
        <w:snapToGrid w:val="0"/>
        <w:spacing w:line="360" w:lineRule="auto"/>
        <w:ind w:right="84" w:rightChars="40"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投标人：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（盖单位章）</w:t>
      </w:r>
    </w:p>
    <w:p w14:paraId="711C8DA7">
      <w:pPr>
        <w:pStyle w:val="45"/>
        <w:keepNext w:val="0"/>
        <w:keepLines w:val="0"/>
        <w:pageBreakBefore w:val="0"/>
        <w:widowControl w:val="0"/>
        <w:kinsoku/>
        <w:wordWrap w:val="0"/>
        <w:overflowPunct/>
        <w:topLinePunct w:val="0"/>
        <w:bidi w:val="0"/>
        <w:adjustRightInd w:val="0"/>
        <w:snapToGrid w:val="0"/>
        <w:spacing w:line="360" w:lineRule="auto"/>
        <w:ind w:right="84" w:rightChars="40" w:firstLine="0"/>
        <w:jc w:val="center"/>
        <w:rPr>
          <w:rFonts w:hint="eastAsia" w:ascii="宋体" w:hAnsi="宋体" w:eastAsia="宋体" w:cs="宋体"/>
          <w:bCs/>
          <w:snapToGrid w:val="0"/>
          <w:color w:val="auto"/>
          <w:spacing w:val="0"/>
          <w:sz w:val="32"/>
          <w:highlight w:val="none"/>
        </w:rPr>
      </w:pPr>
    </w:p>
    <w:p w14:paraId="3752A510">
      <w:pPr>
        <w:pStyle w:val="45"/>
        <w:keepNext w:val="0"/>
        <w:keepLines w:val="0"/>
        <w:pageBreakBefore w:val="0"/>
        <w:widowControl w:val="0"/>
        <w:kinsoku/>
        <w:wordWrap w:val="0"/>
        <w:overflowPunct/>
        <w:topLinePunct w:val="0"/>
        <w:bidi w:val="0"/>
        <w:adjustRightInd w:val="0"/>
        <w:snapToGrid w:val="0"/>
        <w:spacing w:line="360" w:lineRule="auto"/>
        <w:ind w:right="84" w:rightChars="40" w:firstLine="0"/>
        <w:jc w:val="center"/>
        <w:rPr>
          <w:rFonts w:hint="eastAsia" w:ascii="宋体" w:hAnsi="宋体" w:eastAsia="宋体" w:cs="宋体"/>
          <w:bCs/>
          <w:snapToGrid w:val="0"/>
          <w:color w:val="auto"/>
          <w:spacing w:val="0"/>
          <w:sz w:val="32"/>
          <w:highlight w:val="none"/>
        </w:rPr>
      </w:pPr>
    </w:p>
    <w:p w14:paraId="7191B422">
      <w:pPr>
        <w:pStyle w:val="45"/>
        <w:keepNext w:val="0"/>
        <w:keepLines w:val="0"/>
        <w:pageBreakBefore w:val="0"/>
        <w:widowControl w:val="0"/>
        <w:kinsoku/>
        <w:wordWrap w:val="0"/>
        <w:overflowPunct/>
        <w:topLinePunct w:val="0"/>
        <w:bidi w:val="0"/>
        <w:adjustRightInd w:val="0"/>
        <w:snapToGrid w:val="0"/>
        <w:spacing w:line="360" w:lineRule="auto"/>
        <w:ind w:right="84" w:rightChars="40"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法定代表人或其委托代理人：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（签字或盖章）</w:t>
      </w:r>
    </w:p>
    <w:p w14:paraId="76469CE6">
      <w:pPr>
        <w:pStyle w:val="45"/>
        <w:keepNext w:val="0"/>
        <w:keepLines w:val="0"/>
        <w:pageBreakBefore w:val="0"/>
        <w:widowControl w:val="0"/>
        <w:kinsoku/>
        <w:wordWrap w:val="0"/>
        <w:overflowPunct/>
        <w:topLinePunct w:val="0"/>
        <w:bidi w:val="0"/>
        <w:adjustRightInd w:val="0"/>
        <w:snapToGrid w:val="0"/>
        <w:spacing w:line="360" w:lineRule="auto"/>
        <w:ind w:right="84" w:rightChars="40" w:firstLine="0"/>
        <w:jc w:val="center"/>
        <w:rPr>
          <w:rFonts w:hint="eastAsia" w:ascii="宋体" w:hAnsi="宋体" w:eastAsia="宋体" w:cs="宋体"/>
          <w:bCs/>
          <w:snapToGrid w:val="0"/>
          <w:color w:val="auto"/>
          <w:spacing w:val="0"/>
          <w:sz w:val="32"/>
          <w:highlight w:val="none"/>
        </w:rPr>
      </w:pPr>
    </w:p>
    <w:p w14:paraId="06FBE36F">
      <w:pPr>
        <w:pStyle w:val="45"/>
        <w:keepNext w:val="0"/>
        <w:keepLines w:val="0"/>
        <w:pageBreakBefore w:val="0"/>
        <w:widowControl w:val="0"/>
        <w:kinsoku/>
        <w:wordWrap w:val="0"/>
        <w:overflowPunct/>
        <w:topLinePunct w:val="0"/>
        <w:bidi w:val="0"/>
        <w:adjustRightInd w:val="0"/>
        <w:snapToGrid w:val="0"/>
        <w:spacing w:line="360" w:lineRule="auto"/>
        <w:ind w:right="84" w:rightChars="40" w:firstLine="0"/>
        <w:jc w:val="center"/>
        <w:rPr>
          <w:rFonts w:hint="eastAsia" w:ascii="宋体" w:hAnsi="宋体" w:eastAsia="宋体" w:cs="宋体"/>
          <w:bCs/>
          <w:snapToGrid w:val="0"/>
          <w:color w:val="auto"/>
          <w:spacing w:val="0"/>
          <w:sz w:val="32"/>
          <w:highlight w:val="none"/>
          <w:u w:val="single"/>
        </w:rPr>
      </w:pPr>
    </w:p>
    <w:p w14:paraId="6C1EC974">
      <w:pPr>
        <w:pStyle w:val="45"/>
        <w:keepNext w:val="0"/>
        <w:keepLines w:val="0"/>
        <w:pageBreakBefore w:val="0"/>
        <w:widowControl w:val="0"/>
        <w:kinsoku/>
        <w:wordWrap w:val="0"/>
        <w:overflowPunct/>
        <w:topLinePunct w:val="0"/>
        <w:bidi w:val="0"/>
        <w:adjustRightInd w:val="0"/>
        <w:snapToGrid w:val="0"/>
        <w:spacing w:line="360" w:lineRule="auto"/>
        <w:ind w:right="84" w:rightChars="40" w:firstLine="0"/>
        <w:jc w:val="center"/>
        <w:rPr>
          <w:rFonts w:hint="eastAsia" w:ascii="宋体" w:hAnsi="宋体" w:eastAsia="宋体" w:cs="宋体"/>
          <w:b/>
          <w:snapToGrid w:val="0"/>
          <w:color w:val="auto"/>
          <w:spacing w:val="0"/>
          <w:highlight w:val="none"/>
        </w:rPr>
      </w:pP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年</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月</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日</w:t>
      </w:r>
    </w:p>
    <w:p w14:paraId="22D60B74">
      <w:pPr>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p w14:paraId="39C38B38">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23" w:name="_Toc28466"/>
      <w:r>
        <w:rPr>
          <w:rFonts w:hint="eastAsia" w:ascii="宋体" w:hAnsi="宋体" w:eastAsia="宋体" w:cs="宋体"/>
          <w:b/>
          <w:bCs/>
          <w:color w:val="auto"/>
          <w:spacing w:val="0"/>
          <w:sz w:val="24"/>
          <w:szCs w:val="24"/>
          <w:highlight w:val="none"/>
        </w:rPr>
        <w:t>格式二 投标函</w:t>
      </w:r>
      <w:bookmarkEnd w:id="223"/>
    </w:p>
    <w:p w14:paraId="392E4C63">
      <w:pPr>
        <w:pStyle w:val="5"/>
        <w:keepNext w:val="0"/>
        <w:keepLines w:val="0"/>
        <w:pageBreakBefore w:val="0"/>
        <w:kinsoku/>
        <w:wordWrap w:val="0"/>
        <w:overflowPunct/>
        <w:topLinePunct w:val="0"/>
        <w:bidi w:val="0"/>
        <w:spacing w:line="261" w:lineRule="auto"/>
        <w:ind w:right="84" w:rightChars="40"/>
        <w:rPr>
          <w:rFonts w:hint="eastAsia" w:ascii="宋体" w:hAnsi="宋体" w:eastAsia="宋体" w:cs="宋体"/>
          <w:color w:val="auto"/>
          <w:spacing w:val="0"/>
          <w:highlight w:val="none"/>
        </w:rPr>
      </w:pPr>
    </w:p>
    <w:p w14:paraId="2E98BF1A">
      <w:pPr>
        <w:keepNext w:val="0"/>
        <w:keepLines w:val="0"/>
        <w:pageBreakBefore w:val="0"/>
        <w:kinsoku/>
        <w:wordWrap w:val="0"/>
        <w:overflowPunct/>
        <w:topLinePunct w:val="0"/>
        <w:bidi w:val="0"/>
        <w:spacing w:before="97" w:line="221" w:lineRule="auto"/>
        <w:ind w:left="3799" w:right="84" w:rightChars="40"/>
        <w:outlineLvl w:val="9"/>
        <w:rPr>
          <w:rFonts w:hint="eastAsia" w:ascii="宋体" w:hAnsi="宋体" w:eastAsia="宋体" w:cs="宋体"/>
          <w:color w:val="auto"/>
          <w:spacing w:val="0"/>
          <w:sz w:val="30"/>
          <w:szCs w:val="30"/>
          <w:highlight w:val="none"/>
        </w:rPr>
      </w:pPr>
      <w:bookmarkStart w:id="224" w:name="bookmark148"/>
      <w:bookmarkEnd w:id="224"/>
      <w:bookmarkStart w:id="225" w:name="_Toc317"/>
      <w:bookmarkStart w:id="226" w:name="_Toc297"/>
      <w:bookmarkStart w:id="227" w:name="_Toc27397"/>
      <w:r>
        <w:rPr>
          <w:rFonts w:hint="eastAsia" w:ascii="宋体" w:hAnsi="宋体" w:eastAsia="宋体" w:cs="宋体"/>
          <w:b/>
          <w:bCs/>
          <w:color w:val="auto"/>
          <w:spacing w:val="0"/>
          <w:sz w:val="30"/>
          <w:szCs w:val="30"/>
          <w:highlight w:val="none"/>
        </w:rPr>
        <w:t>投</w:t>
      </w:r>
      <w:r>
        <w:rPr>
          <w:rFonts w:hint="eastAsia" w:ascii="宋体" w:hAnsi="宋体" w:eastAsia="宋体" w:cs="宋体"/>
          <w:color w:val="auto"/>
          <w:spacing w:val="0"/>
          <w:sz w:val="30"/>
          <w:szCs w:val="30"/>
          <w:highlight w:val="none"/>
        </w:rPr>
        <w:t xml:space="preserve">  </w:t>
      </w:r>
      <w:r>
        <w:rPr>
          <w:rFonts w:hint="eastAsia" w:ascii="宋体" w:hAnsi="宋体" w:eastAsia="宋体" w:cs="宋体"/>
          <w:b/>
          <w:bCs/>
          <w:color w:val="auto"/>
          <w:spacing w:val="0"/>
          <w:sz w:val="30"/>
          <w:szCs w:val="30"/>
          <w:highlight w:val="none"/>
        </w:rPr>
        <w:t>标</w:t>
      </w:r>
      <w:r>
        <w:rPr>
          <w:rFonts w:hint="eastAsia" w:ascii="宋体" w:hAnsi="宋体" w:eastAsia="宋体" w:cs="宋体"/>
          <w:color w:val="auto"/>
          <w:spacing w:val="0"/>
          <w:sz w:val="30"/>
          <w:szCs w:val="30"/>
          <w:highlight w:val="none"/>
        </w:rPr>
        <w:t xml:space="preserve">  </w:t>
      </w:r>
      <w:r>
        <w:rPr>
          <w:rFonts w:hint="eastAsia" w:ascii="宋体" w:hAnsi="宋体" w:eastAsia="宋体" w:cs="宋体"/>
          <w:b/>
          <w:bCs/>
          <w:color w:val="auto"/>
          <w:spacing w:val="0"/>
          <w:sz w:val="30"/>
          <w:szCs w:val="30"/>
          <w:highlight w:val="none"/>
        </w:rPr>
        <w:t>函</w:t>
      </w:r>
      <w:bookmarkEnd w:id="225"/>
      <w:bookmarkEnd w:id="226"/>
      <w:bookmarkEnd w:id="227"/>
    </w:p>
    <w:p w14:paraId="58F05F57">
      <w:pPr>
        <w:pStyle w:val="5"/>
        <w:keepNext w:val="0"/>
        <w:keepLines w:val="0"/>
        <w:pageBreakBefore w:val="0"/>
        <w:kinsoku/>
        <w:wordWrap w:val="0"/>
        <w:overflowPunct/>
        <w:topLinePunct w:val="0"/>
        <w:bidi w:val="0"/>
        <w:spacing w:line="249" w:lineRule="auto"/>
        <w:ind w:right="84" w:rightChars="40"/>
        <w:rPr>
          <w:rFonts w:hint="eastAsia" w:ascii="宋体" w:hAnsi="宋体" w:eastAsia="宋体" w:cs="宋体"/>
          <w:color w:val="auto"/>
          <w:spacing w:val="0"/>
          <w:highlight w:val="none"/>
        </w:rPr>
      </w:pPr>
    </w:p>
    <w:p w14:paraId="08B6DA1F">
      <w:pPr>
        <w:pStyle w:val="5"/>
        <w:keepNext w:val="0"/>
        <w:keepLines w:val="0"/>
        <w:pageBreakBefore w:val="0"/>
        <w:kinsoku/>
        <w:wordWrap w:val="0"/>
        <w:overflowPunct/>
        <w:topLinePunct w:val="0"/>
        <w:bidi w:val="0"/>
        <w:spacing w:line="250" w:lineRule="auto"/>
        <w:ind w:right="84" w:rightChars="40"/>
        <w:rPr>
          <w:rFonts w:hint="eastAsia" w:ascii="宋体" w:hAnsi="宋体" w:eastAsia="宋体" w:cs="宋体"/>
          <w:color w:val="auto"/>
          <w:spacing w:val="0"/>
          <w:highlight w:val="none"/>
        </w:rPr>
      </w:pPr>
    </w:p>
    <w:p w14:paraId="1E3DA538">
      <w:pPr>
        <w:pStyle w:val="5"/>
        <w:keepNext w:val="0"/>
        <w:keepLines w:val="0"/>
        <w:pageBreakBefore w:val="0"/>
        <w:kinsoku/>
        <w:wordWrap w:val="0"/>
        <w:overflowPunct/>
        <w:topLinePunct w:val="0"/>
        <w:bidi w:val="0"/>
        <w:spacing w:line="250" w:lineRule="auto"/>
        <w:ind w:right="84" w:rightChars="40"/>
        <w:rPr>
          <w:rFonts w:hint="eastAsia" w:ascii="宋体" w:hAnsi="宋体" w:eastAsia="宋体" w:cs="宋体"/>
          <w:color w:val="auto"/>
          <w:spacing w:val="0"/>
          <w:highlight w:val="none"/>
        </w:rPr>
      </w:pPr>
    </w:p>
    <w:p w14:paraId="448E62A4">
      <w:pPr>
        <w:keepNext w:val="0"/>
        <w:keepLines w:val="0"/>
        <w:pageBreakBefore w:val="0"/>
        <w:kinsoku/>
        <w:wordWrap w:val="0"/>
        <w:overflowPunct/>
        <w:topLinePunct w:val="0"/>
        <w:bidi w:val="0"/>
        <w:spacing w:before="78" w:line="221" w:lineRule="auto"/>
        <w:ind w:left="9"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（招标人名称）</w:t>
      </w:r>
    </w:p>
    <w:p w14:paraId="342E60C5">
      <w:pPr>
        <w:pStyle w:val="5"/>
        <w:keepNext w:val="0"/>
        <w:keepLines w:val="0"/>
        <w:pageBreakBefore w:val="0"/>
        <w:kinsoku/>
        <w:wordWrap w:val="0"/>
        <w:overflowPunct/>
        <w:topLinePunct w:val="0"/>
        <w:bidi w:val="0"/>
        <w:spacing w:before="156" w:line="328" w:lineRule="auto"/>
        <w:ind w:left="9" w:right="84" w:rightChars="40" w:firstLine="589"/>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我方考察现场并充分研究</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（项目名称）（以下简称“本项目 ”）招标文件所有内容后，结合自身资质、能力和特点，愿意接受招标文件的全部内容和条件，兹以人民币（大写）：</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 xml:space="preserve"> (¥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 xml:space="preserve"> ) 的投标总价竞投本项目施工。</w:t>
      </w:r>
    </w:p>
    <w:p w14:paraId="19F6B28C">
      <w:pPr>
        <w:keepNext w:val="0"/>
        <w:keepLines w:val="0"/>
        <w:pageBreakBefore w:val="0"/>
        <w:kinsoku/>
        <w:wordWrap w:val="0"/>
        <w:overflowPunct/>
        <w:topLinePunct w:val="0"/>
        <w:bidi w:val="0"/>
        <w:spacing w:before="39" w:line="323" w:lineRule="auto"/>
        <w:ind w:right="84" w:rightChars="40" w:firstLine="57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在我方的上述投标总价中，包括：</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none"/>
          <w:lang w:eastAsia="zh-CN"/>
        </w:rPr>
        <w:t>；暂列金额</w:t>
      </w:r>
      <w:r>
        <w:rPr>
          <w:rFonts w:hint="eastAsia" w:ascii="宋体" w:hAnsi="宋体" w:eastAsia="宋体" w:cs="宋体"/>
          <w:color w:val="auto"/>
          <w:spacing w:val="0"/>
          <w:sz w:val="24"/>
          <w:szCs w:val="24"/>
          <w:highlight w:val="none"/>
          <w:u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none"/>
          <w:lang w:eastAsia="zh-CN"/>
        </w:rPr>
        <w:t>；暂估价</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w:t>
      </w:r>
    </w:p>
    <w:p w14:paraId="725455D2">
      <w:pPr>
        <w:keepNext w:val="0"/>
        <w:keepLines w:val="0"/>
        <w:pageBreakBefore w:val="0"/>
        <w:kinsoku/>
        <w:wordWrap w:val="0"/>
        <w:overflowPunct/>
        <w:topLinePunct w:val="0"/>
        <w:bidi w:val="0"/>
        <w:spacing w:before="38" w:line="280" w:lineRule="auto"/>
        <w:ind w:left="13" w:right="84" w:rightChars="40" w:firstLine="56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如果我方中标，我方保证按照合同约定的开工日期开始本项目的施工，</w:t>
      </w:r>
      <w:bookmarkStart w:id="228" w:name="OLE_LINK34"/>
      <w:r>
        <w:rPr>
          <w:rFonts w:hint="eastAsia" w:ascii="宋体" w:hAnsi="宋体" w:eastAsia="宋体" w:cs="宋体"/>
          <w:color w:val="auto"/>
          <w:spacing w:val="0"/>
          <w:sz w:val="24"/>
          <w:szCs w:val="24"/>
          <w:highlight w:val="none"/>
          <w:u w:val="single"/>
          <w:lang w:val="en-US" w:eastAsia="zh-CN"/>
        </w:rPr>
        <w:t xml:space="preserve">     </w:t>
      </w:r>
      <w:bookmarkEnd w:id="228"/>
      <w:r>
        <w:rPr>
          <w:rFonts w:hint="eastAsia" w:ascii="宋体" w:hAnsi="宋体" w:eastAsia="宋体" w:cs="宋体"/>
          <w:color w:val="auto"/>
          <w:spacing w:val="0"/>
          <w:sz w:val="24"/>
          <w:szCs w:val="24"/>
          <w:highlight w:val="none"/>
        </w:rPr>
        <w:t>个日历天内竣工，并确保工程质量达到</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标准和维修其中的任何缺陷。</w:t>
      </w:r>
    </w:p>
    <w:p w14:paraId="10E8DA76">
      <w:pPr>
        <w:keepNext w:val="0"/>
        <w:keepLines w:val="0"/>
        <w:pageBreakBefore w:val="0"/>
        <w:kinsoku/>
        <w:wordWrap w:val="0"/>
        <w:overflowPunct/>
        <w:topLinePunct w:val="0"/>
        <w:bidi w:val="0"/>
        <w:spacing w:before="152" w:line="279" w:lineRule="auto"/>
        <w:ind w:left="11" w:right="84" w:rightChars="40" w:firstLine="56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本投标函在你方接收我方递交的投标文件之日起、到招标文件规定的投标有效期期满前对我方具有约束力。我方随时准备接受你方发出的中标通知书。</w:t>
      </w:r>
    </w:p>
    <w:p w14:paraId="36F81C92">
      <w:pPr>
        <w:keepNext w:val="0"/>
        <w:keepLines w:val="0"/>
        <w:pageBreakBefore w:val="0"/>
        <w:kinsoku/>
        <w:wordWrap w:val="0"/>
        <w:overflowPunct/>
        <w:topLinePunct w:val="0"/>
        <w:bidi w:val="0"/>
        <w:spacing w:before="156" w:line="279" w:lineRule="auto"/>
        <w:ind w:left="11" w:right="84" w:rightChars="40" w:firstLine="56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4 ．我方在此声明，我方不存在本项目招标文件第一章第三节第 </w:t>
      </w:r>
      <w:r>
        <w:rPr>
          <w:rFonts w:hint="eastAsia" w:ascii="宋体" w:hAnsi="宋体" w:eastAsia="宋体" w:cs="宋体"/>
          <w:b/>
          <w:bCs/>
          <w:color w:val="auto"/>
          <w:spacing w:val="0"/>
          <w:sz w:val="24"/>
          <w:szCs w:val="24"/>
          <w:highlight w:val="none"/>
        </w:rPr>
        <w:t>2.4</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条“禁止投标条款 ”所列出的任何一种情形，并愿意承担因我方就此弄虚作假所引起的一切法律后果。</w:t>
      </w:r>
    </w:p>
    <w:p w14:paraId="0E71490A">
      <w:pPr>
        <w:keepNext w:val="0"/>
        <w:keepLines w:val="0"/>
        <w:pageBreakBefore w:val="0"/>
        <w:kinsoku/>
        <w:wordWrap w:val="0"/>
        <w:overflowPunct/>
        <w:topLinePunct w:val="0"/>
        <w:bidi w:val="0"/>
        <w:spacing w:before="153" w:line="280" w:lineRule="auto"/>
        <w:ind w:left="9" w:right="84" w:rightChars="40" w:firstLine="57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．我方在此承诺，所递交投标文件的全部内容均为真实、有效、准确的，并愿意承担因我方就此弄虚作假所引起的一切法律后果，同时理解和同意有可能被要求提供更多的资料。</w:t>
      </w:r>
    </w:p>
    <w:p w14:paraId="0954415E">
      <w:pPr>
        <w:keepNext w:val="0"/>
        <w:keepLines w:val="0"/>
        <w:pageBreakBefore w:val="0"/>
        <w:kinsoku/>
        <w:wordWrap w:val="0"/>
        <w:overflowPunct/>
        <w:topLinePunct w:val="0"/>
        <w:bidi w:val="0"/>
        <w:spacing w:before="153" w:line="326" w:lineRule="auto"/>
        <w:ind w:left="13" w:right="84" w:rightChars="40" w:firstLine="5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  我方理解你方不一定要接纳收到的最低投标总价或任何投标总价的投标人中标， 也不要求你方解释我方是否中标的原因。</w:t>
      </w:r>
    </w:p>
    <w:p w14:paraId="665C13C8">
      <w:pPr>
        <w:pStyle w:val="5"/>
        <w:keepNext w:val="0"/>
        <w:keepLines w:val="0"/>
        <w:pageBreakBefore w:val="0"/>
        <w:kinsoku/>
        <w:wordWrap w:val="0"/>
        <w:overflowPunct/>
        <w:topLinePunct w:val="0"/>
        <w:bidi w:val="0"/>
        <w:spacing w:line="276" w:lineRule="auto"/>
        <w:ind w:right="84" w:rightChars="40"/>
        <w:rPr>
          <w:rFonts w:hint="eastAsia" w:ascii="宋体" w:hAnsi="宋体" w:eastAsia="宋体" w:cs="宋体"/>
          <w:color w:val="auto"/>
          <w:spacing w:val="0"/>
          <w:highlight w:val="none"/>
        </w:rPr>
      </w:pPr>
    </w:p>
    <w:p w14:paraId="6A293A0C">
      <w:pPr>
        <w:pStyle w:val="5"/>
        <w:keepNext w:val="0"/>
        <w:keepLines w:val="0"/>
        <w:pageBreakBefore w:val="0"/>
        <w:kinsoku/>
        <w:wordWrap w:val="0"/>
        <w:overflowPunct/>
        <w:topLinePunct w:val="0"/>
        <w:bidi w:val="0"/>
        <w:spacing w:line="277" w:lineRule="auto"/>
        <w:ind w:right="84" w:rightChars="40"/>
        <w:rPr>
          <w:rFonts w:hint="eastAsia" w:ascii="宋体" w:hAnsi="宋体" w:eastAsia="宋体" w:cs="宋体"/>
          <w:color w:val="auto"/>
          <w:spacing w:val="0"/>
          <w:highlight w:val="none"/>
        </w:rPr>
      </w:pPr>
    </w:p>
    <w:p w14:paraId="1338C97A">
      <w:pPr>
        <w:pStyle w:val="5"/>
        <w:keepNext w:val="0"/>
        <w:keepLines w:val="0"/>
        <w:pageBreakBefore w:val="0"/>
        <w:kinsoku/>
        <w:wordWrap w:val="0"/>
        <w:overflowPunct/>
        <w:topLinePunct w:val="0"/>
        <w:bidi w:val="0"/>
        <w:spacing w:line="277" w:lineRule="auto"/>
        <w:ind w:right="84" w:rightChars="40"/>
        <w:rPr>
          <w:rFonts w:hint="eastAsia" w:ascii="宋体" w:hAnsi="宋体" w:eastAsia="宋体" w:cs="宋体"/>
          <w:color w:val="auto"/>
          <w:spacing w:val="0"/>
          <w:highlight w:val="none"/>
        </w:rPr>
      </w:pPr>
    </w:p>
    <w:p w14:paraId="6D644921">
      <w:pPr>
        <w:keepNext w:val="0"/>
        <w:keepLines w:val="0"/>
        <w:pageBreakBefore w:val="0"/>
        <w:kinsoku/>
        <w:wordWrap w:val="0"/>
        <w:overflowPunct/>
        <w:topLinePunct w:val="0"/>
        <w:bidi w:val="0"/>
        <w:spacing w:before="79" w:line="219" w:lineRule="auto"/>
        <w:ind w:right="84" w:rightChars="40" w:firstLine="5760" w:firstLineChars="24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（盖单位章）</w:t>
      </w:r>
    </w:p>
    <w:p w14:paraId="53B9F8FC">
      <w:pPr>
        <w:pStyle w:val="5"/>
        <w:keepNext w:val="0"/>
        <w:keepLines w:val="0"/>
        <w:pageBreakBefore w:val="0"/>
        <w:kinsoku/>
        <w:wordWrap w:val="0"/>
        <w:overflowPunct/>
        <w:topLinePunct w:val="0"/>
        <w:bidi w:val="0"/>
        <w:spacing w:line="256" w:lineRule="auto"/>
        <w:ind w:right="84" w:rightChars="40"/>
        <w:jc w:val="right"/>
        <w:rPr>
          <w:rFonts w:hint="eastAsia" w:ascii="宋体" w:hAnsi="宋体" w:eastAsia="宋体" w:cs="宋体"/>
          <w:color w:val="auto"/>
          <w:spacing w:val="0"/>
          <w:highlight w:val="none"/>
        </w:rPr>
      </w:pPr>
    </w:p>
    <w:p w14:paraId="1FE5B2A2">
      <w:pPr>
        <w:pStyle w:val="5"/>
        <w:keepNext w:val="0"/>
        <w:keepLines w:val="0"/>
        <w:pageBreakBefore w:val="0"/>
        <w:kinsoku/>
        <w:wordWrap w:val="0"/>
        <w:overflowPunct/>
        <w:topLinePunct w:val="0"/>
        <w:bidi w:val="0"/>
        <w:spacing w:line="256" w:lineRule="auto"/>
        <w:ind w:right="84" w:rightChars="40"/>
        <w:jc w:val="right"/>
        <w:rPr>
          <w:rFonts w:hint="eastAsia" w:ascii="宋体" w:hAnsi="宋体" w:eastAsia="宋体" w:cs="宋体"/>
          <w:color w:val="auto"/>
          <w:spacing w:val="0"/>
          <w:highlight w:val="none"/>
        </w:rPr>
      </w:pPr>
    </w:p>
    <w:p w14:paraId="70C6C00B">
      <w:pPr>
        <w:keepNext w:val="0"/>
        <w:keepLines w:val="0"/>
        <w:pageBreakBefore w:val="0"/>
        <w:kinsoku/>
        <w:wordWrap w:val="0"/>
        <w:overflowPunct/>
        <w:topLinePunct w:val="0"/>
        <w:bidi w:val="0"/>
        <w:spacing w:before="78" w:line="219" w:lineRule="auto"/>
        <w:ind w:left="3922"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（签字或盖章）</w:t>
      </w:r>
    </w:p>
    <w:p w14:paraId="37331156">
      <w:pPr>
        <w:pStyle w:val="5"/>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highlight w:val="none"/>
        </w:rPr>
      </w:pPr>
    </w:p>
    <w:p w14:paraId="3063FEBF">
      <w:pPr>
        <w:pStyle w:val="5"/>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highlight w:val="none"/>
        </w:rPr>
      </w:pPr>
    </w:p>
    <w:p w14:paraId="27512AB8">
      <w:pPr>
        <w:keepNext w:val="0"/>
        <w:keepLines w:val="0"/>
        <w:pageBreakBefore w:val="0"/>
        <w:kinsoku/>
        <w:wordWrap w:val="0"/>
        <w:overflowPunct/>
        <w:topLinePunct w:val="0"/>
        <w:bidi w:val="0"/>
        <w:spacing w:before="79" w:line="220" w:lineRule="auto"/>
        <w:ind w:left="6970"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日</w:t>
      </w:r>
    </w:p>
    <w:p w14:paraId="02A06E5B">
      <w:pPr>
        <w:keepNext w:val="0"/>
        <w:keepLines w:val="0"/>
        <w:pageBreakBefore w:val="0"/>
        <w:kinsoku/>
        <w:wordWrap w:val="0"/>
        <w:overflowPunct/>
        <w:topLinePunct w:val="0"/>
        <w:bidi w:val="0"/>
        <w:spacing w:line="220" w:lineRule="auto"/>
        <w:ind w:right="84" w:rightChars="40"/>
        <w:rPr>
          <w:rFonts w:hint="eastAsia" w:ascii="宋体" w:hAnsi="宋体" w:eastAsia="宋体" w:cs="宋体"/>
          <w:color w:val="auto"/>
          <w:spacing w:val="0"/>
          <w:sz w:val="24"/>
          <w:szCs w:val="24"/>
          <w:highlight w:val="none"/>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05EF889">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29" w:name="_Toc21234"/>
      <w:r>
        <w:rPr>
          <w:rFonts w:hint="eastAsia" w:ascii="宋体" w:hAnsi="宋体" w:eastAsia="宋体" w:cs="宋体"/>
          <w:b/>
          <w:bCs/>
          <w:color w:val="auto"/>
          <w:spacing w:val="0"/>
          <w:sz w:val="24"/>
          <w:szCs w:val="24"/>
          <w:highlight w:val="none"/>
        </w:rPr>
        <w:t>格式三 各项承诺一览表</w:t>
      </w:r>
      <w:bookmarkEnd w:id="229"/>
    </w:p>
    <w:p w14:paraId="51E0204F">
      <w:pPr>
        <w:pStyle w:val="5"/>
        <w:keepNext w:val="0"/>
        <w:keepLines w:val="0"/>
        <w:pageBreakBefore w:val="0"/>
        <w:kinsoku/>
        <w:wordWrap w:val="0"/>
        <w:overflowPunct/>
        <w:topLinePunct w:val="0"/>
        <w:bidi w:val="0"/>
        <w:spacing w:line="254" w:lineRule="auto"/>
        <w:ind w:right="84" w:rightChars="40"/>
        <w:rPr>
          <w:rFonts w:hint="eastAsia" w:ascii="宋体" w:hAnsi="宋体" w:eastAsia="宋体" w:cs="宋体"/>
          <w:color w:val="auto"/>
          <w:spacing w:val="0"/>
          <w:highlight w:val="none"/>
        </w:rPr>
      </w:pPr>
    </w:p>
    <w:p w14:paraId="34B1A1A4">
      <w:pPr>
        <w:keepNext w:val="0"/>
        <w:keepLines w:val="0"/>
        <w:pageBreakBefore w:val="0"/>
        <w:kinsoku/>
        <w:wordWrap w:val="0"/>
        <w:overflowPunct/>
        <w:topLinePunct w:val="0"/>
        <w:bidi w:val="0"/>
        <w:spacing w:before="98" w:line="220" w:lineRule="auto"/>
        <w:ind w:left="3581" w:right="84" w:rightChars="40"/>
        <w:outlineLvl w:val="9"/>
        <w:rPr>
          <w:rFonts w:hint="eastAsia" w:ascii="宋体" w:hAnsi="宋体" w:eastAsia="宋体" w:cs="宋体"/>
          <w:color w:val="auto"/>
          <w:spacing w:val="0"/>
          <w:sz w:val="30"/>
          <w:szCs w:val="30"/>
          <w:highlight w:val="none"/>
        </w:rPr>
      </w:pPr>
      <w:bookmarkStart w:id="230" w:name="bookmark149"/>
      <w:bookmarkEnd w:id="230"/>
      <w:bookmarkStart w:id="231" w:name="_Toc10326"/>
      <w:bookmarkStart w:id="232" w:name="_Toc4767"/>
      <w:bookmarkStart w:id="233" w:name="_Toc2936"/>
      <w:r>
        <w:rPr>
          <w:rFonts w:hint="eastAsia" w:ascii="宋体" w:hAnsi="宋体" w:eastAsia="宋体" w:cs="宋体"/>
          <w:b/>
          <w:bCs/>
          <w:color w:val="auto"/>
          <w:spacing w:val="0"/>
          <w:sz w:val="30"/>
          <w:szCs w:val="30"/>
          <w:highlight w:val="none"/>
        </w:rPr>
        <w:t>各项承诺一览表</w:t>
      </w:r>
      <w:bookmarkEnd w:id="231"/>
      <w:bookmarkEnd w:id="232"/>
      <w:bookmarkEnd w:id="233"/>
    </w:p>
    <w:p w14:paraId="5C63A27F">
      <w:pPr>
        <w:keepNext w:val="0"/>
        <w:keepLines w:val="0"/>
        <w:pageBreakBefore w:val="0"/>
        <w:kinsoku/>
        <w:wordWrap w:val="0"/>
        <w:overflowPunct/>
        <w:topLinePunct w:val="0"/>
        <w:bidi w:val="0"/>
        <w:spacing w:before="6"/>
        <w:ind w:right="84" w:rightChars="40"/>
        <w:rPr>
          <w:rFonts w:hint="eastAsia" w:ascii="宋体" w:hAnsi="宋体" w:eastAsia="宋体" w:cs="宋体"/>
          <w:color w:val="auto"/>
          <w:spacing w:val="0"/>
          <w:highlight w:val="none"/>
        </w:rPr>
      </w:pPr>
    </w:p>
    <w:tbl>
      <w:tblPr>
        <w:tblStyle w:val="14"/>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5204A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54B582C">
            <w:pPr>
              <w:keepNext w:val="0"/>
              <w:keepLines w:val="0"/>
              <w:pageBreakBefore w:val="0"/>
              <w:widowControl/>
              <w:kinsoku/>
              <w:wordWrap w:val="0"/>
              <w:overflowPunct/>
              <w:topLinePunct w:val="0"/>
              <w:autoSpaceDE w:val="0"/>
              <w:autoSpaceDN w:val="0"/>
              <w:bidi w:val="0"/>
              <w:adjustRightInd w:val="0"/>
              <w:snapToGrid w:val="0"/>
              <w:spacing w:before="209" w:line="288" w:lineRule="auto"/>
              <w:ind w:left="126" w:right="84" w:rightChars="4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序号</w:t>
            </w:r>
          </w:p>
        </w:tc>
        <w:tc>
          <w:tcPr>
            <w:tcW w:w="1675" w:type="dxa"/>
            <w:vAlign w:val="top"/>
          </w:tcPr>
          <w:p w14:paraId="1CCE799E">
            <w:pPr>
              <w:keepNext w:val="0"/>
              <w:keepLines w:val="0"/>
              <w:pageBreakBefore w:val="0"/>
              <w:widowControl/>
              <w:kinsoku/>
              <w:wordWrap w:val="0"/>
              <w:overflowPunct/>
              <w:topLinePunct w:val="0"/>
              <w:autoSpaceDE w:val="0"/>
              <w:autoSpaceDN w:val="0"/>
              <w:bidi w:val="0"/>
              <w:adjustRightInd w:val="0"/>
              <w:snapToGrid w:val="0"/>
              <w:spacing w:before="208" w:line="288" w:lineRule="auto"/>
              <w:ind w:left="310" w:right="84" w:rightChars="4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承诺事项</w:t>
            </w:r>
          </w:p>
        </w:tc>
        <w:tc>
          <w:tcPr>
            <w:tcW w:w="3107" w:type="dxa"/>
            <w:vAlign w:val="top"/>
          </w:tcPr>
          <w:p w14:paraId="4EBB8A6D">
            <w:pPr>
              <w:keepNext w:val="0"/>
              <w:keepLines w:val="0"/>
              <w:pageBreakBefore w:val="0"/>
              <w:widowControl/>
              <w:kinsoku/>
              <w:wordWrap w:val="0"/>
              <w:overflowPunct/>
              <w:topLinePunct w:val="0"/>
              <w:autoSpaceDE w:val="0"/>
              <w:autoSpaceDN w:val="0"/>
              <w:bidi w:val="0"/>
              <w:adjustRightInd w:val="0"/>
              <w:snapToGrid w:val="0"/>
              <w:spacing w:before="209" w:line="288" w:lineRule="auto"/>
              <w:ind w:left="987" w:right="84" w:rightChars="4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承诺内容</w:t>
            </w:r>
          </w:p>
        </w:tc>
        <w:tc>
          <w:tcPr>
            <w:tcW w:w="4272" w:type="dxa"/>
            <w:vAlign w:val="top"/>
          </w:tcPr>
          <w:p w14:paraId="31A27193">
            <w:pPr>
              <w:keepNext w:val="0"/>
              <w:keepLines w:val="0"/>
              <w:pageBreakBefore w:val="0"/>
              <w:widowControl/>
              <w:kinsoku/>
              <w:wordWrap w:val="0"/>
              <w:overflowPunct/>
              <w:topLinePunct w:val="0"/>
              <w:autoSpaceDE w:val="0"/>
              <w:autoSpaceDN w:val="0"/>
              <w:bidi w:val="0"/>
              <w:adjustRightInd w:val="0"/>
              <w:snapToGrid w:val="0"/>
              <w:spacing w:before="209" w:line="288" w:lineRule="auto"/>
              <w:ind w:left="1537" w:right="84" w:rightChars="4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违约承诺</w:t>
            </w:r>
          </w:p>
        </w:tc>
      </w:tr>
      <w:tr w14:paraId="2A006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48261D65">
            <w:pPr>
              <w:keepNext w:val="0"/>
              <w:keepLines w:val="0"/>
              <w:pageBreakBefore w:val="0"/>
              <w:widowControl/>
              <w:kinsoku/>
              <w:wordWrap w:val="0"/>
              <w:overflowPunct/>
              <w:topLinePunct w:val="0"/>
              <w:autoSpaceDE w:val="0"/>
              <w:autoSpaceDN w:val="0"/>
              <w:bidi w:val="0"/>
              <w:adjustRightInd w:val="0"/>
              <w:snapToGrid w:val="0"/>
              <w:spacing w:before="58" w:line="288" w:lineRule="auto"/>
              <w:ind w:left="0" w:right="84" w:rightChars="4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w:t>
            </w:r>
          </w:p>
        </w:tc>
        <w:tc>
          <w:tcPr>
            <w:tcW w:w="1675" w:type="dxa"/>
            <w:vAlign w:val="center"/>
          </w:tcPr>
          <w:p w14:paraId="01CAE980">
            <w:pPr>
              <w:keepNext w:val="0"/>
              <w:keepLines w:val="0"/>
              <w:pageBreakBefore w:val="0"/>
              <w:widowControl/>
              <w:kinsoku/>
              <w:wordWrap w:val="0"/>
              <w:overflowPunct/>
              <w:topLinePunct w:val="0"/>
              <w:autoSpaceDE w:val="0"/>
              <w:autoSpaceDN w:val="0"/>
              <w:bidi w:val="0"/>
              <w:adjustRightInd w:val="0"/>
              <w:snapToGrid w:val="0"/>
              <w:spacing w:before="65"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自愿接受招标文件条款的承诺</w:t>
            </w:r>
          </w:p>
        </w:tc>
        <w:tc>
          <w:tcPr>
            <w:tcW w:w="3107" w:type="dxa"/>
            <w:vAlign w:val="top"/>
          </w:tcPr>
          <w:p w14:paraId="2CDC7B50">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41955F4E">
            <w:pPr>
              <w:keepNext w:val="0"/>
              <w:keepLines w:val="0"/>
              <w:pageBreakBefore w:val="0"/>
              <w:widowControl/>
              <w:kinsoku/>
              <w:wordWrap w:val="0"/>
              <w:overflowPunct/>
              <w:topLinePunct w:val="0"/>
              <w:autoSpaceDE w:val="0"/>
              <w:autoSpaceDN w:val="0"/>
              <w:bidi w:val="0"/>
              <w:adjustRightInd w:val="0"/>
              <w:snapToGrid w:val="0"/>
              <w:spacing w:before="65" w:line="288" w:lineRule="auto"/>
              <w:ind w:left="10" w:right="84" w:rightChars="40" w:firstLine="421"/>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我方自愿接受招标文件的所有条款，所递交的投标文件已经充分响应招标文件的实质性要求。</w:t>
            </w:r>
          </w:p>
        </w:tc>
        <w:tc>
          <w:tcPr>
            <w:tcW w:w="4272" w:type="dxa"/>
            <w:vAlign w:val="top"/>
          </w:tcPr>
          <w:p w14:paraId="31B3DB23">
            <w:pPr>
              <w:keepNext w:val="0"/>
              <w:keepLines w:val="0"/>
              <w:pageBreakBefore w:val="0"/>
              <w:widowControl/>
              <w:kinsoku/>
              <w:wordWrap w:val="0"/>
              <w:overflowPunct/>
              <w:topLinePunct w:val="0"/>
              <w:autoSpaceDE w:val="0"/>
              <w:autoSpaceDN w:val="0"/>
              <w:bidi w:val="0"/>
              <w:adjustRightInd w:val="0"/>
              <w:snapToGrid w:val="0"/>
              <w:spacing w:before="122" w:line="288" w:lineRule="auto"/>
              <w:ind w:left="14" w:right="84" w:rightChars="40"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如果我方的投标文件未响应、违反、偏 离招标文件的实质性要求，我方接受招标人或其授权的招标代理机构或其组建的评标委员会依据招标文件作出的相应处理，包括否决投标。</w:t>
            </w:r>
          </w:p>
        </w:tc>
      </w:tr>
      <w:tr w14:paraId="10B0D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F577063">
            <w:pPr>
              <w:keepNext w:val="0"/>
              <w:keepLines w:val="0"/>
              <w:pageBreakBefore w:val="0"/>
              <w:widowControl/>
              <w:kinsoku/>
              <w:wordWrap w:val="0"/>
              <w:overflowPunct/>
              <w:topLinePunct w:val="0"/>
              <w:autoSpaceDE w:val="0"/>
              <w:autoSpaceDN w:val="0"/>
              <w:bidi w:val="0"/>
              <w:adjustRightInd w:val="0"/>
              <w:snapToGrid w:val="0"/>
              <w:spacing w:before="58" w:line="288" w:lineRule="auto"/>
              <w:ind w:left="0" w:right="84" w:rightChars="4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w:t>
            </w:r>
          </w:p>
        </w:tc>
        <w:tc>
          <w:tcPr>
            <w:tcW w:w="1675" w:type="dxa"/>
            <w:vAlign w:val="center"/>
          </w:tcPr>
          <w:p w14:paraId="796EA612">
            <w:pPr>
              <w:keepNext w:val="0"/>
              <w:keepLines w:val="0"/>
              <w:pageBreakBefore w:val="0"/>
              <w:widowControl/>
              <w:kinsoku/>
              <w:wordWrap w:val="0"/>
              <w:overflowPunct/>
              <w:topLinePunct w:val="0"/>
              <w:autoSpaceDE w:val="0"/>
              <w:autoSpaceDN w:val="0"/>
              <w:bidi w:val="0"/>
              <w:adjustRightInd w:val="0"/>
              <w:snapToGrid w:val="0"/>
              <w:spacing w:before="65"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无禁止投标情形的承诺</w:t>
            </w:r>
          </w:p>
        </w:tc>
        <w:tc>
          <w:tcPr>
            <w:tcW w:w="3107" w:type="dxa"/>
            <w:vAlign w:val="top"/>
          </w:tcPr>
          <w:p w14:paraId="6DBD4A30">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168E3A76">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37C38C6C">
            <w:pPr>
              <w:keepNext w:val="0"/>
              <w:keepLines w:val="0"/>
              <w:pageBreakBefore w:val="0"/>
              <w:widowControl/>
              <w:kinsoku/>
              <w:wordWrap w:val="0"/>
              <w:overflowPunct/>
              <w:topLinePunct w:val="0"/>
              <w:autoSpaceDE w:val="0"/>
              <w:autoSpaceDN w:val="0"/>
              <w:bidi w:val="0"/>
              <w:adjustRightInd w:val="0"/>
              <w:snapToGrid w:val="0"/>
              <w:spacing w:before="65" w:line="288" w:lineRule="auto"/>
              <w:ind w:left="10" w:right="84" w:rightChars="40"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我方不存在招标文件第一 章第三节第 </w:t>
            </w:r>
            <w:r>
              <w:rPr>
                <w:rFonts w:hint="eastAsia" w:ascii="宋体" w:hAnsi="宋体" w:eastAsia="宋体" w:cs="宋体"/>
                <w:b/>
                <w:bCs/>
                <w:color w:val="auto"/>
                <w:spacing w:val="0"/>
                <w:sz w:val="21"/>
                <w:szCs w:val="21"/>
                <w:highlight w:val="none"/>
              </w:rPr>
              <w:t xml:space="preserve">2.4 </w:t>
            </w:r>
            <w:r>
              <w:rPr>
                <w:rFonts w:hint="eastAsia" w:ascii="宋体" w:hAnsi="宋体" w:eastAsia="宋体" w:cs="宋体"/>
                <w:color w:val="auto"/>
                <w:spacing w:val="0"/>
                <w:sz w:val="21"/>
                <w:szCs w:val="21"/>
                <w:highlight w:val="none"/>
              </w:rPr>
              <w:t>条“禁止投标条 款 ”规定的任何一种情形。</w:t>
            </w:r>
          </w:p>
        </w:tc>
        <w:tc>
          <w:tcPr>
            <w:tcW w:w="4272" w:type="dxa"/>
            <w:vAlign w:val="top"/>
          </w:tcPr>
          <w:p w14:paraId="5C557624">
            <w:pPr>
              <w:keepNext w:val="0"/>
              <w:keepLines w:val="0"/>
              <w:pageBreakBefore w:val="0"/>
              <w:widowControl/>
              <w:kinsoku/>
              <w:wordWrap w:val="0"/>
              <w:overflowPunct/>
              <w:topLinePunct w:val="0"/>
              <w:autoSpaceDE w:val="0"/>
              <w:autoSpaceDN w:val="0"/>
              <w:bidi w:val="0"/>
              <w:adjustRightInd w:val="0"/>
              <w:snapToGrid w:val="0"/>
              <w:spacing w:before="122" w:line="288" w:lineRule="auto"/>
              <w:ind w:left="9" w:right="84" w:rightChars="40" w:firstLine="42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如果我方有招标文件第一章第三节第 </w:t>
            </w:r>
            <w:r>
              <w:rPr>
                <w:rFonts w:hint="eastAsia" w:ascii="宋体" w:hAnsi="宋体" w:eastAsia="宋体" w:cs="宋体"/>
                <w:b/>
                <w:bCs/>
                <w:color w:val="auto"/>
                <w:spacing w:val="0"/>
                <w:sz w:val="21"/>
                <w:szCs w:val="21"/>
                <w:highlight w:val="none"/>
              </w:rPr>
              <w:t xml:space="preserve">2.  4 </w:t>
            </w:r>
            <w:r>
              <w:rPr>
                <w:rFonts w:hint="eastAsia" w:ascii="宋体" w:hAnsi="宋体" w:eastAsia="宋体" w:cs="宋体"/>
                <w:color w:val="auto"/>
                <w:spacing w:val="0"/>
                <w:sz w:val="21"/>
                <w:szCs w:val="21"/>
                <w:highlight w:val="none"/>
              </w:rPr>
              <w:t>条“禁止投标条款 ”规定的任何一种情形，我方接受招标人或其授权的招标代理机构或 其组建的评标委员会依据招标文件作出的相应处理以及有关监督部门作出的行政处罚，并承担由此引起的一切法律后果。</w:t>
            </w:r>
          </w:p>
        </w:tc>
      </w:tr>
      <w:tr w14:paraId="6BAE3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6D41129A">
            <w:pPr>
              <w:keepNext w:val="0"/>
              <w:keepLines w:val="0"/>
              <w:pageBreakBefore w:val="0"/>
              <w:widowControl/>
              <w:kinsoku/>
              <w:wordWrap w:val="0"/>
              <w:overflowPunct/>
              <w:topLinePunct w:val="0"/>
              <w:autoSpaceDE w:val="0"/>
              <w:autoSpaceDN w:val="0"/>
              <w:bidi w:val="0"/>
              <w:adjustRightInd w:val="0"/>
              <w:snapToGrid w:val="0"/>
              <w:spacing w:before="57" w:line="288" w:lineRule="auto"/>
              <w:ind w:left="0" w:right="84" w:rightChars="4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w:t>
            </w:r>
          </w:p>
        </w:tc>
        <w:tc>
          <w:tcPr>
            <w:tcW w:w="1675" w:type="dxa"/>
            <w:vAlign w:val="center"/>
          </w:tcPr>
          <w:p w14:paraId="7EDF57FD">
            <w:pPr>
              <w:keepNext w:val="0"/>
              <w:keepLines w:val="0"/>
              <w:pageBreakBefore w:val="0"/>
              <w:widowControl/>
              <w:kinsoku/>
              <w:wordWrap w:val="0"/>
              <w:overflowPunct/>
              <w:topLinePunct w:val="0"/>
              <w:autoSpaceDE w:val="0"/>
              <w:autoSpaceDN w:val="0"/>
              <w:bidi w:val="0"/>
              <w:adjustRightInd w:val="0"/>
              <w:snapToGrid w:val="0"/>
              <w:spacing w:before="65"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自觉抵制围标</w:t>
            </w:r>
          </w:p>
          <w:p w14:paraId="7350A53C">
            <w:pPr>
              <w:keepNext w:val="0"/>
              <w:keepLines w:val="0"/>
              <w:pageBreakBefore w:val="0"/>
              <w:widowControl/>
              <w:kinsoku/>
              <w:wordWrap w:val="0"/>
              <w:overflowPunct/>
              <w:topLinePunct w:val="0"/>
              <w:autoSpaceDE w:val="0"/>
              <w:autoSpaceDN w:val="0"/>
              <w:bidi w:val="0"/>
              <w:adjustRightInd w:val="0"/>
              <w:snapToGrid w:val="0"/>
              <w:spacing w:before="131"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串标和弄虚</w:t>
            </w:r>
          </w:p>
          <w:p w14:paraId="18E84040">
            <w:pPr>
              <w:keepNext w:val="0"/>
              <w:keepLines w:val="0"/>
              <w:pageBreakBefore w:val="0"/>
              <w:widowControl/>
              <w:kinsoku/>
              <w:wordWrap w:val="0"/>
              <w:overflowPunct/>
              <w:topLinePunct w:val="0"/>
              <w:autoSpaceDE w:val="0"/>
              <w:autoSpaceDN w:val="0"/>
              <w:bidi w:val="0"/>
              <w:adjustRightInd w:val="0"/>
              <w:snapToGrid w:val="0"/>
              <w:spacing w:before="133"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作假行为的承诺</w:t>
            </w:r>
          </w:p>
        </w:tc>
        <w:tc>
          <w:tcPr>
            <w:tcW w:w="3107" w:type="dxa"/>
            <w:vAlign w:val="top"/>
          </w:tcPr>
          <w:p w14:paraId="62CF0363">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3960F528">
            <w:pPr>
              <w:keepNext w:val="0"/>
              <w:keepLines w:val="0"/>
              <w:pageBreakBefore w:val="0"/>
              <w:widowControl/>
              <w:kinsoku/>
              <w:wordWrap w:val="0"/>
              <w:overflowPunct/>
              <w:topLinePunct w:val="0"/>
              <w:autoSpaceDE w:val="0"/>
              <w:autoSpaceDN w:val="0"/>
              <w:bidi w:val="0"/>
              <w:adjustRightInd w:val="0"/>
              <w:snapToGrid w:val="0"/>
              <w:spacing w:before="65" w:line="288" w:lineRule="auto"/>
              <w:ind w:left="11" w:right="84" w:rightChars="40"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我方合法正当、诚实守信地参与投标，不组织、不参加围标串标违法行为，不通过弄虚作假行为骗取中标。</w:t>
            </w:r>
          </w:p>
        </w:tc>
        <w:tc>
          <w:tcPr>
            <w:tcW w:w="4272" w:type="dxa"/>
            <w:vAlign w:val="top"/>
          </w:tcPr>
          <w:p w14:paraId="0A090EF8">
            <w:pPr>
              <w:keepNext w:val="0"/>
              <w:keepLines w:val="0"/>
              <w:pageBreakBefore w:val="0"/>
              <w:widowControl/>
              <w:kinsoku/>
              <w:wordWrap w:val="0"/>
              <w:overflowPunct/>
              <w:topLinePunct w:val="0"/>
              <w:autoSpaceDE w:val="0"/>
              <w:autoSpaceDN w:val="0"/>
              <w:bidi w:val="0"/>
              <w:adjustRightInd w:val="0"/>
              <w:snapToGrid w:val="0"/>
              <w:spacing w:before="129" w:line="288" w:lineRule="auto"/>
              <w:ind w:left="13" w:right="84" w:rightChars="40"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6CBF9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39F3D356">
            <w:pPr>
              <w:keepNext w:val="0"/>
              <w:keepLines w:val="0"/>
              <w:pageBreakBefore w:val="0"/>
              <w:widowControl/>
              <w:kinsoku/>
              <w:wordWrap w:val="0"/>
              <w:overflowPunct/>
              <w:topLinePunct w:val="0"/>
              <w:autoSpaceDE w:val="0"/>
              <w:autoSpaceDN w:val="0"/>
              <w:bidi w:val="0"/>
              <w:adjustRightInd w:val="0"/>
              <w:snapToGrid w:val="0"/>
              <w:spacing w:before="58" w:line="288" w:lineRule="auto"/>
              <w:ind w:left="0" w:right="84" w:rightChars="4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4</w:t>
            </w:r>
          </w:p>
        </w:tc>
        <w:tc>
          <w:tcPr>
            <w:tcW w:w="1675" w:type="dxa"/>
            <w:vAlign w:val="center"/>
          </w:tcPr>
          <w:p w14:paraId="5F8AABEC">
            <w:pPr>
              <w:keepNext w:val="0"/>
              <w:keepLines w:val="0"/>
              <w:pageBreakBefore w:val="0"/>
              <w:widowControl/>
              <w:kinsoku/>
              <w:wordWrap w:val="0"/>
              <w:overflowPunct/>
              <w:topLinePunct w:val="0"/>
              <w:autoSpaceDE w:val="0"/>
              <w:autoSpaceDN w:val="0"/>
              <w:bidi w:val="0"/>
              <w:adjustRightInd w:val="0"/>
              <w:snapToGrid w:val="0"/>
              <w:spacing w:before="65"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项目经理任职承诺</w:t>
            </w:r>
          </w:p>
        </w:tc>
        <w:tc>
          <w:tcPr>
            <w:tcW w:w="3107" w:type="dxa"/>
            <w:vAlign w:val="top"/>
          </w:tcPr>
          <w:p w14:paraId="3D586645">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25D7FCEF">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1EFE29D7">
            <w:pPr>
              <w:keepNext w:val="0"/>
              <w:keepLines w:val="0"/>
              <w:pageBreakBefore w:val="0"/>
              <w:widowControl/>
              <w:kinsoku/>
              <w:wordWrap w:val="0"/>
              <w:overflowPunct/>
              <w:topLinePunct w:val="0"/>
              <w:autoSpaceDE w:val="0"/>
              <w:autoSpaceDN w:val="0"/>
              <w:bidi w:val="0"/>
              <w:adjustRightInd w:val="0"/>
              <w:snapToGrid w:val="0"/>
              <w:spacing w:before="65" w:line="288" w:lineRule="auto"/>
              <w:ind w:left="9" w:right="84" w:rightChars="40"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我方拟派项目经理现阶段没有担任任何在施（包括已中标未开工、已开工未竣工）建设工程项目的项目经理。</w:t>
            </w:r>
          </w:p>
        </w:tc>
        <w:tc>
          <w:tcPr>
            <w:tcW w:w="4272" w:type="dxa"/>
            <w:vAlign w:val="top"/>
          </w:tcPr>
          <w:p w14:paraId="4A8515D9">
            <w:pPr>
              <w:keepNext w:val="0"/>
              <w:keepLines w:val="0"/>
              <w:pageBreakBefore w:val="0"/>
              <w:widowControl/>
              <w:kinsoku/>
              <w:wordWrap w:val="0"/>
              <w:overflowPunct/>
              <w:topLinePunct w:val="0"/>
              <w:autoSpaceDE w:val="0"/>
              <w:autoSpaceDN w:val="0"/>
              <w:bidi w:val="0"/>
              <w:adjustRightInd w:val="0"/>
              <w:snapToGrid w:val="0"/>
              <w:spacing w:before="128" w:line="288" w:lineRule="auto"/>
              <w:ind w:left="11" w:right="84" w:rightChars="40" w:firstLine="417"/>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如果我方拟派项目经理在本项目招标投 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5F5F5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1B9DDA4A">
            <w:pPr>
              <w:keepNext w:val="0"/>
              <w:keepLines w:val="0"/>
              <w:pageBreakBefore w:val="0"/>
              <w:widowControl/>
              <w:kinsoku/>
              <w:wordWrap w:val="0"/>
              <w:overflowPunct/>
              <w:topLinePunct w:val="0"/>
              <w:autoSpaceDE w:val="0"/>
              <w:autoSpaceDN w:val="0"/>
              <w:bidi w:val="0"/>
              <w:adjustRightInd w:val="0"/>
              <w:snapToGrid w:val="0"/>
              <w:spacing w:before="58" w:line="288" w:lineRule="auto"/>
              <w:ind w:left="0" w:right="84" w:rightChars="4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5</w:t>
            </w:r>
          </w:p>
        </w:tc>
        <w:tc>
          <w:tcPr>
            <w:tcW w:w="1675" w:type="dxa"/>
            <w:vAlign w:val="center"/>
          </w:tcPr>
          <w:p w14:paraId="7009D3C6">
            <w:pPr>
              <w:keepNext w:val="0"/>
              <w:keepLines w:val="0"/>
              <w:pageBreakBefore w:val="0"/>
              <w:widowControl/>
              <w:kinsoku/>
              <w:wordWrap w:val="0"/>
              <w:overflowPunct/>
              <w:topLinePunct w:val="0"/>
              <w:autoSpaceDE w:val="0"/>
              <w:autoSpaceDN w:val="0"/>
              <w:bidi w:val="0"/>
              <w:adjustRightInd w:val="0"/>
              <w:snapToGrid w:val="0"/>
              <w:spacing w:before="65"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投标文件</w:t>
            </w:r>
          </w:p>
          <w:p w14:paraId="7FA4425B">
            <w:pPr>
              <w:keepNext w:val="0"/>
              <w:keepLines w:val="0"/>
              <w:pageBreakBefore w:val="0"/>
              <w:widowControl/>
              <w:kinsoku/>
              <w:wordWrap w:val="0"/>
              <w:overflowPunct/>
              <w:topLinePunct w:val="0"/>
              <w:autoSpaceDE w:val="0"/>
              <w:autoSpaceDN w:val="0"/>
              <w:bidi w:val="0"/>
              <w:adjustRightInd w:val="0"/>
              <w:snapToGrid w:val="0"/>
              <w:spacing w:before="65"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真实性承诺</w:t>
            </w:r>
          </w:p>
        </w:tc>
        <w:tc>
          <w:tcPr>
            <w:tcW w:w="3107" w:type="dxa"/>
            <w:vAlign w:val="top"/>
          </w:tcPr>
          <w:p w14:paraId="24313CA0">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080F2869">
            <w:pPr>
              <w:keepNext w:val="0"/>
              <w:keepLines w:val="0"/>
              <w:pageBreakBefore w:val="0"/>
              <w:widowControl/>
              <w:kinsoku/>
              <w:wordWrap w:val="0"/>
              <w:overflowPunct/>
              <w:topLinePunct w:val="0"/>
              <w:autoSpaceDE w:val="0"/>
              <w:autoSpaceDN w:val="0"/>
              <w:bidi w:val="0"/>
              <w:adjustRightInd w:val="0"/>
              <w:snapToGrid w:val="0"/>
              <w:spacing w:before="65" w:line="288" w:lineRule="auto"/>
              <w:ind w:left="12" w:right="84" w:rightChars="40" w:firstLine="409"/>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我方所递交投标文件的全部内容均为真实、有效、准确的。</w:t>
            </w:r>
          </w:p>
        </w:tc>
        <w:tc>
          <w:tcPr>
            <w:tcW w:w="4272" w:type="dxa"/>
            <w:vAlign w:val="top"/>
          </w:tcPr>
          <w:p w14:paraId="117F7D2E">
            <w:pPr>
              <w:keepNext w:val="0"/>
              <w:keepLines w:val="0"/>
              <w:pageBreakBefore w:val="0"/>
              <w:widowControl/>
              <w:kinsoku/>
              <w:wordWrap w:val="0"/>
              <w:overflowPunct/>
              <w:topLinePunct w:val="0"/>
              <w:autoSpaceDE w:val="0"/>
              <w:autoSpaceDN w:val="0"/>
              <w:bidi w:val="0"/>
              <w:adjustRightInd w:val="0"/>
              <w:snapToGrid w:val="0"/>
              <w:spacing w:before="127" w:line="288" w:lineRule="auto"/>
              <w:ind w:left="11" w:right="84" w:rightChars="40" w:firstLine="417"/>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02577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center"/>
          </w:tcPr>
          <w:p w14:paraId="6B3A9885">
            <w:pPr>
              <w:keepNext w:val="0"/>
              <w:keepLines w:val="0"/>
              <w:pageBreakBefore w:val="0"/>
              <w:widowControl/>
              <w:kinsoku/>
              <w:wordWrap w:val="0"/>
              <w:overflowPunct/>
              <w:topLinePunct w:val="0"/>
              <w:autoSpaceDE w:val="0"/>
              <w:autoSpaceDN w:val="0"/>
              <w:bidi w:val="0"/>
              <w:adjustRightInd w:val="0"/>
              <w:snapToGrid w:val="0"/>
              <w:spacing w:before="58" w:line="288" w:lineRule="auto"/>
              <w:ind w:left="0" w:right="84" w:rightChars="4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6</w:t>
            </w:r>
            <w:r>
              <w:rPr>
                <w:rFonts w:hint="eastAsia" w:ascii="宋体" w:hAnsi="宋体" w:eastAsia="宋体" w:cs="宋体"/>
                <w:color w:val="auto"/>
                <w:spacing w:val="0"/>
                <w:sz w:val="21"/>
                <w:szCs w:val="21"/>
                <w:highlight w:val="none"/>
              </w:rPr>
              <w:drawing>
                <wp:anchor distT="0" distB="0" distL="114300" distR="114300" simplePos="0" relativeHeight="251664384"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3"/>
                          <a:stretch>
                            <a:fillRect/>
                          </a:stretch>
                        </pic:blipFill>
                        <pic:spPr>
                          <a:xfrm>
                            <a:off x="0" y="0"/>
                            <a:ext cx="6350" cy="241300"/>
                          </a:xfrm>
                          <a:prstGeom prst="rect">
                            <a:avLst/>
                          </a:prstGeom>
                          <a:noFill/>
                          <a:ln>
                            <a:noFill/>
                          </a:ln>
                        </pic:spPr>
                      </pic:pic>
                    </a:graphicData>
                  </a:graphic>
                </wp:anchor>
              </w:drawing>
            </w:r>
          </w:p>
        </w:tc>
        <w:tc>
          <w:tcPr>
            <w:tcW w:w="1675" w:type="dxa"/>
            <w:vAlign w:val="center"/>
          </w:tcPr>
          <w:p w14:paraId="4D2FADD0">
            <w:pPr>
              <w:keepNext w:val="0"/>
              <w:keepLines w:val="0"/>
              <w:pageBreakBefore w:val="0"/>
              <w:widowControl/>
              <w:kinsoku/>
              <w:wordWrap w:val="0"/>
              <w:overflowPunct/>
              <w:topLinePunct w:val="0"/>
              <w:autoSpaceDE w:val="0"/>
              <w:autoSpaceDN w:val="0"/>
              <w:bidi w:val="0"/>
              <w:adjustRightInd w:val="0"/>
              <w:snapToGrid w:val="0"/>
              <w:spacing w:before="65"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投标文件</w:t>
            </w:r>
          </w:p>
          <w:p w14:paraId="0E95F9BE">
            <w:pPr>
              <w:keepNext w:val="0"/>
              <w:keepLines w:val="0"/>
              <w:pageBreakBefore w:val="0"/>
              <w:widowControl/>
              <w:kinsoku/>
              <w:wordWrap w:val="0"/>
              <w:overflowPunct/>
              <w:topLinePunct w:val="0"/>
              <w:autoSpaceDE w:val="0"/>
              <w:autoSpaceDN w:val="0"/>
              <w:bidi w:val="0"/>
              <w:adjustRightInd w:val="0"/>
              <w:snapToGrid w:val="0"/>
              <w:spacing w:before="132"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信息公开承诺</w:t>
            </w:r>
          </w:p>
        </w:tc>
        <w:tc>
          <w:tcPr>
            <w:tcW w:w="3107" w:type="dxa"/>
            <w:vAlign w:val="center"/>
          </w:tcPr>
          <w:p w14:paraId="0DF7EDDD">
            <w:pPr>
              <w:keepNext w:val="0"/>
              <w:keepLines w:val="0"/>
              <w:pageBreakBefore w:val="0"/>
              <w:widowControl/>
              <w:kinsoku/>
              <w:wordWrap w:val="0"/>
              <w:overflowPunct/>
              <w:topLinePunct w:val="0"/>
              <w:autoSpaceDE w:val="0"/>
              <w:autoSpaceDN w:val="0"/>
              <w:bidi w:val="0"/>
              <w:adjustRightInd w:val="0"/>
              <w:snapToGrid w:val="0"/>
              <w:spacing w:before="130" w:line="288" w:lineRule="auto"/>
              <w:ind w:left="10" w:right="84" w:rightChars="40"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我方提供完整的文件。如果我方成为本项目</w:t>
            </w:r>
            <w:r>
              <w:rPr>
                <w:rFonts w:hint="eastAsia" w:ascii="宋体" w:hAnsi="宋体" w:eastAsia="宋体" w:cs="宋体"/>
                <w:color w:val="auto"/>
                <w:spacing w:val="0"/>
                <w:sz w:val="21"/>
                <w:szCs w:val="21"/>
                <w:highlight w:val="none"/>
                <w:lang w:val="en-US" w:eastAsia="zh-CN"/>
              </w:rPr>
              <w:t>定</w:t>
            </w:r>
            <w:r>
              <w:rPr>
                <w:rFonts w:hint="eastAsia" w:ascii="宋体" w:hAnsi="宋体" w:eastAsia="宋体" w:cs="宋体"/>
                <w:color w:val="auto"/>
                <w:spacing w:val="0"/>
                <w:sz w:val="21"/>
                <w:szCs w:val="21"/>
                <w:highlight w:val="none"/>
              </w:rPr>
              <w:t>标候选人，我方同意并授权招标人在评标结果公示期内公开我方商务标书的全部内容。</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1164999A">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6D48F5C3">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695D5933">
            <w:pPr>
              <w:keepNext w:val="0"/>
              <w:keepLines w:val="0"/>
              <w:pageBreakBefore w:val="0"/>
              <w:widowControl/>
              <w:kinsoku/>
              <w:wordWrap w:val="0"/>
              <w:overflowPunct/>
              <w:topLinePunct w:val="0"/>
              <w:autoSpaceDE w:val="0"/>
              <w:autoSpaceDN w:val="0"/>
              <w:bidi w:val="0"/>
              <w:adjustRightInd w:val="0"/>
              <w:snapToGrid w:val="0"/>
              <w:spacing w:before="58" w:line="240" w:lineRule="auto"/>
              <w:ind w:left="1979" w:right="84" w:rightChars="40"/>
              <w:textAlignment w:val="baseline"/>
              <mc:AlternateContent>
                <mc:Choice Requires="wpsCustomData">
                  <wpsCustomData:diagonalParaType/>
                </mc:Choice>
              </mc:AlternateContent>
              <w:rPr>
                <w:rFonts w:hint="eastAsia" w:ascii="宋体" w:hAnsi="宋体" w:eastAsia="宋体" w:cs="宋体"/>
                <w:color w:val="auto"/>
                <w:spacing w:val="0"/>
                <w:sz w:val="21"/>
                <w:szCs w:val="21"/>
                <w:highlight w:val="none"/>
              </w:rPr>
            </w:pPr>
          </w:p>
          <w:p w14:paraId="52A22145">
            <w:pPr>
              <w:keepNext w:val="0"/>
              <w:keepLines w:val="0"/>
              <w:pageBreakBefore w:val="0"/>
              <w:widowControl/>
              <w:kinsoku/>
              <w:wordWrap w:val="0"/>
              <w:overflowPunct/>
              <w:topLinePunct w:val="0"/>
              <w:autoSpaceDE w:val="0"/>
              <w:autoSpaceDN w:val="0"/>
              <w:bidi w:val="0"/>
              <w:adjustRightInd w:val="0"/>
              <w:snapToGrid w:val="0"/>
              <w:spacing w:before="58" w:line="288" w:lineRule="auto"/>
              <w:ind w:left="1979" w:right="84" w:rightChars="40"/>
              <w:textAlignment w:val="baseline"/>
              <w:rPr>
                <w:rFonts w:hint="eastAsia" w:ascii="宋体" w:hAnsi="宋体" w:eastAsia="宋体" w:cs="宋体"/>
                <w:color w:val="auto"/>
                <w:spacing w:val="0"/>
                <w:sz w:val="21"/>
                <w:szCs w:val="21"/>
                <w:highlight w:val="none"/>
              </w:rPr>
            </w:pPr>
          </w:p>
        </w:tc>
      </w:tr>
      <w:tr w14:paraId="31DB0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center"/>
          </w:tcPr>
          <w:p w14:paraId="320F0521">
            <w:pPr>
              <w:keepNext w:val="0"/>
              <w:keepLines w:val="0"/>
              <w:pageBreakBefore w:val="0"/>
              <w:widowControl/>
              <w:kinsoku/>
              <w:wordWrap w:val="0"/>
              <w:overflowPunct/>
              <w:topLinePunct w:val="0"/>
              <w:autoSpaceDE w:val="0"/>
              <w:autoSpaceDN w:val="0"/>
              <w:bidi w:val="0"/>
              <w:adjustRightInd w:val="0"/>
              <w:snapToGrid w:val="0"/>
              <w:spacing w:before="57" w:line="288" w:lineRule="auto"/>
              <w:ind w:left="0" w:right="84" w:rightChars="4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7</w:t>
            </w:r>
          </w:p>
        </w:tc>
        <w:tc>
          <w:tcPr>
            <w:tcW w:w="1675" w:type="dxa"/>
            <w:vAlign w:val="center"/>
          </w:tcPr>
          <w:p w14:paraId="5782E3F0">
            <w:pPr>
              <w:keepNext w:val="0"/>
              <w:keepLines w:val="0"/>
              <w:pageBreakBefore w:val="0"/>
              <w:widowControl/>
              <w:kinsoku/>
              <w:wordWrap w:val="0"/>
              <w:overflowPunct/>
              <w:topLinePunct w:val="0"/>
              <w:autoSpaceDE w:val="0"/>
              <w:autoSpaceDN w:val="0"/>
              <w:bidi w:val="0"/>
              <w:adjustRightInd w:val="0"/>
              <w:snapToGrid w:val="0"/>
              <w:spacing w:before="65"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对不正常报价的确认承诺</w:t>
            </w:r>
          </w:p>
        </w:tc>
        <w:tc>
          <w:tcPr>
            <w:tcW w:w="3107" w:type="dxa"/>
            <w:vAlign w:val="top"/>
          </w:tcPr>
          <w:p w14:paraId="6D8BDFB8">
            <w:pPr>
              <w:keepNext w:val="0"/>
              <w:keepLines w:val="0"/>
              <w:pageBreakBefore w:val="0"/>
              <w:widowControl/>
              <w:kinsoku/>
              <w:wordWrap w:val="0"/>
              <w:overflowPunct/>
              <w:topLinePunct w:val="0"/>
              <w:autoSpaceDE w:val="0"/>
              <w:autoSpaceDN w:val="0"/>
              <w:bidi w:val="0"/>
              <w:adjustRightInd w:val="0"/>
              <w:snapToGrid w:val="0"/>
              <w:spacing w:before="121" w:line="288" w:lineRule="auto"/>
              <w:ind w:left="10" w:right="84" w:rightChars="40" w:firstLine="423"/>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如果我方中标，我方接受招标人在合同订立期间依据招标文件有关条款约定对我方已标价工程量清单中不正常报价的修正或认定，并按要求签署《不正常报价清单》加以确认。</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55874C84">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7ACFEB24">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69C2BA43">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1303911B">
            <w:pPr>
              <w:keepNext w:val="0"/>
              <w:keepLines w:val="0"/>
              <w:pageBreakBefore w:val="0"/>
              <w:widowControl/>
              <w:kinsoku/>
              <w:wordWrap w:val="0"/>
              <w:overflowPunct/>
              <w:topLinePunct w:val="0"/>
              <w:autoSpaceDE w:val="0"/>
              <w:autoSpaceDN w:val="0"/>
              <w:bidi w:val="0"/>
              <w:adjustRightInd w:val="0"/>
              <w:snapToGrid w:val="0"/>
              <w:spacing w:before="57" w:line="240" w:lineRule="auto"/>
              <w:ind w:left="1979" w:right="84" w:rightChars="40"/>
              <w:textAlignment w:val="baseline"/>
              <mc:AlternateContent>
                <mc:Choice Requires="wpsCustomData">
                  <wpsCustomData:diagonalParaType/>
                </mc:Choice>
              </mc:AlternateContent>
              <w:rPr>
                <w:rFonts w:hint="eastAsia" w:ascii="宋体" w:hAnsi="宋体" w:eastAsia="宋体" w:cs="宋体"/>
                <w:color w:val="auto"/>
                <w:spacing w:val="0"/>
                <w:sz w:val="21"/>
                <w:szCs w:val="21"/>
                <w:highlight w:val="none"/>
              </w:rPr>
            </w:pPr>
          </w:p>
          <w:p w14:paraId="1AB87749">
            <w:pPr>
              <w:keepNext w:val="0"/>
              <w:keepLines w:val="0"/>
              <w:pageBreakBefore w:val="0"/>
              <w:widowControl/>
              <w:kinsoku/>
              <w:wordWrap w:val="0"/>
              <w:overflowPunct/>
              <w:topLinePunct w:val="0"/>
              <w:autoSpaceDE w:val="0"/>
              <w:autoSpaceDN w:val="0"/>
              <w:bidi w:val="0"/>
              <w:adjustRightInd w:val="0"/>
              <w:snapToGrid w:val="0"/>
              <w:spacing w:before="57" w:line="288" w:lineRule="auto"/>
              <w:ind w:left="1979" w:right="84" w:rightChars="40"/>
              <w:textAlignment w:val="baseline"/>
              <w:rPr>
                <w:rFonts w:hint="eastAsia" w:ascii="宋体" w:hAnsi="宋体" w:eastAsia="宋体" w:cs="宋体"/>
                <w:color w:val="auto"/>
                <w:spacing w:val="0"/>
                <w:sz w:val="21"/>
                <w:szCs w:val="21"/>
                <w:highlight w:val="none"/>
              </w:rPr>
            </w:pPr>
          </w:p>
        </w:tc>
      </w:tr>
      <w:tr w14:paraId="2D63E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7C876BD4">
            <w:pPr>
              <w:keepNext w:val="0"/>
              <w:keepLines w:val="0"/>
              <w:pageBreakBefore w:val="0"/>
              <w:widowControl/>
              <w:kinsoku/>
              <w:wordWrap w:val="0"/>
              <w:overflowPunct/>
              <w:topLinePunct w:val="0"/>
              <w:autoSpaceDE w:val="0"/>
              <w:autoSpaceDN w:val="0"/>
              <w:bidi w:val="0"/>
              <w:adjustRightInd w:val="0"/>
              <w:snapToGrid w:val="0"/>
              <w:spacing w:before="58" w:line="288" w:lineRule="auto"/>
              <w:ind w:left="0" w:right="84" w:rightChars="4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8</w:t>
            </w:r>
          </w:p>
        </w:tc>
        <w:tc>
          <w:tcPr>
            <w:tcW w:w="1675" w:type="dxa"/>
            <w:vAlign w:val="center"/>
          </w:tcPr>
          <w:p w14:paraId="01E67844">
            <w:pPr>
              <w:keepNext w:val="0"/>
              <w:keepLines w:val="0"/>
              <w:pageBreakBefore w:val="0"/>
              <w:widowControl/>
              <w:kinsoku/>
              <w:wordWrap w:val="0"/>
              <w:overflowPunct/>
              <w:topLinePunct w:val="0"/>
              <w:autoSpaceDE w:val="0"/>
              <w:autoSpaceDN w:val="0"/>
              <w:bidi w:val="0"/>
              <w:adjustRightInd w:val="0"/>
              <w:snapToGrid w:val="0"/>
              <w:spacing w:before="65"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按时提交履约保证的承诺</w:t>
            </w:r>
          </w:p>
        </w:tc>
        <w:tc>
          <w:tcPr>
            <w:tcW w:w="3107" w:type="dxa"/>
            <w:vAlign w:val="top"/>
          </w:tcPr>
          <w:p w14:paraId="29A0D195">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00CA932B">
            <w:pPr>
              <w:keepNext w:val="0"/>
              <w:keepLines w:val="0"/>
              <w:pageBreakBefore w:val="0"/>
              <w:widowControl/>
              <w:kinsoku/>
              <w:wordWrap w:val="0"/>
              <w:overflowPunct/>
              <w:topLinePunct w:val="0"/>
              <w:autoSpaceDE w:val="0"/>
              <w:autoSpaceDN w:val="0"/>
              <w:bidi w:val="0"/>
              <w:adjustRightInd w:val="0"/>
              <w:snapToGrid w:val="0"/>
              <w:spacing w:before="65" w:line="288" w:lineRule="auto"/>
              <w:ind w:left="10" w:right="84" w:rightChars="40"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如果我方中标，我方保证在招标文件规定的时限内全额提交履约保证。</w:t>
            </w:r>
          </w:p>
        </w:tc>
        <w:tc>
          <w:tcPr>
            <w:tcW w:w="4272" w:type="dxa"/>
            <w:vAlign w:val="top"/>
          </w:tcPr>
          <w:p w14:paraId="157135E5">
            <w:pPr>
              <w:keepNext w:val="0"/>
              <w:keepLines w:val="0"/>
              <w:pageBreakBefore w:val="0"/>
              <w:widowControl/>
              <w:kinsoku/>
              <w:wordWrap w:val="0"/>
              <w:overflowPunct/>
              <w:topLinePunct w:val="0"/>
              <w:autoSpaceDE w:val="0"/>
              <w:autoSpaceDN w:val="0"/>
              <w:bidi w:val="0"/>
              <w:adjustRightInd w:val="0"/>
              <w:snapToGrid w:val="0"/>
              <w:spacing w:before="128" w:line="288" w:lineRule="auto"/>
              <w:ind w:left="12" w:right="84" w:rightChars="40" w:firstLine="423"/>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如果我方未在招标文件规定的时限内全 额提交履约保证，我方接受招标人依据招标文件作出的相应处理以及有关监督部门作出的行政处罚，并承担由此引起的一切法律后果。</w:t>
            </w:r>
          </w:p>
        </w:tc>
      </w:tr>
      <w:tr w14:paraId="12204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C8442E1">
            <w:pPr>
              <w:keepNext w:val="0"/>
              <w:keepLines w:val="0"/>
              <w:pageBreakBefore w:val="0"/>
              <w:widowControl/>
              <w:kinsoku/>
              <w:wordWrap w:val="0"/>
              <w:overflowPunct/>
              <w:topLinePunct w:val="0"/>
              <w:autoSpaceDE w:val="0"/>
              <w:autoSpaceDN w:val="0"/>
              <w:bidi w:val="0"/>
              <w:adjustRightInd w:val="0"/>
              <w:snapToGrid w:val="0"/>
              <w:spacing w:before="58" w:line="288" w:lineRule="auto"/>
              <w:ind w:left="0" w:right="84" w:rightChars="4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9</w:t>
            </w:r>
          </w:p>
        </w:tc>
        <w:tc>
          <w:tcPr>
            <w:tcW w:w="1675" w:type="dxa"/>
            <w:vAlign w:val="center"/>
          </w:tcPr>
          <w:p w14:paraId="7AF6CE02">
            <w:pPr>
              <w:keepNext w:val="0"/>
              <w:keepLines w:val="0"/>
              <w:pageBreakBefore w:val="0"/>
              <w:widowControl/>
              <w:kinsoku/>
              <w:wordWrap w:val="0"/>
              <w:overflowPunct/>
              <w:topLinePunct w:val="0"/>
              <w:autoSpaceDE w:val="0"/>
              <w:autoSpaceDN w:val="0"/>
              <w:bidi w:val="0"/>
              <w:adjustRightInd w:val="0"/>
              <w:snapToGrid w:val="0"/>
              <w:spacing w:before="65" w:line="288" w:lineRule="auto"/>
              <w:ind w:left="0" w:right="84" w:rightChars="4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按时签订合同的承诺</w:t>
            </w:r>
          </w:p>
        </w:tc>
        <w:tc>
          <w:tcPr>
            <w:tcW w:w="3107" w:type="dxa"/>
            <w:vAlign w:val="top"/>
          </w:tcPr>
          <w:p w14:paraId="59576A39">
            <w:pPr>
              <w:pStyle w:val="27"/>
              <w:keepNext w:val="0"/>
              <w:keepLines w:val="0"/>
              <w:pageBreakBefore w:val="0"/>
              <w:widowControl/>
              <w:kinsoku/>
              <w:wordWrap w:val="0"/>
              <w:overflowPunct/>
              <w:topLinePunct w:val="0"/>
              <w:autoSpaceDE w:val="0"/>
              <w:autoSpaceDN w:val="0"/>
              <w:bidi w:val="0"/>
              <w:adjustRightInd w:val="0"/>
              <w:snapToGrid w:val="0"/>
              <w:spacing w:line="288" w:lineRule="auto"/>
              <w:ind w:right="84" w:rightChars="40"/>
              <w:textAlignment w:val="baseline"/>
              <w:rPr>
                <w:rFonts w:hint="eastAsia" w:ascii="宋体" w:hAnsi="宋体" w:eastAsia="宋体" w:cs="宋体"/>
                <w:color w:val="auto"/>
                <w:spacing w:val="0"/>
                <w:sz w:val="21"/>
                <w:szCs w:val="21"/>
                <w:highlight w:val="none"/>
              </w:rPr>
            </w:pPr>
          </w:p>
          <w:p w14:paraId="25FCE2AC">
            <w:pPr>
              <w:keepNext w:val="0"/>
              <w:keepLines w:val="0"/>
              <w:pageBreakBefore w:val="0"/>
              <w:widowControl/>
              <w:kinsoku/>
              <w:wordWrap w:val="0"/>
              <w:overflowPunct/>
              <w:topLinePunct w:val="0"/>
              <w:autoSpaceDE w:val="0"/>
              <w:autoSpaceDN w:val="0"/>
              <w:bidi w:val="0"/>
              <w:adjustRightInd w:val="0"/>
              <w:snapToGrid w:val="0"/>
              <w:spacing w:before="65" w:line="288" w:lineRule="auto"/>
              <w:ind w:left="10" w:right="84" w:rightChars="40"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如果我方中标，我方保证在 招标文件规定的时限内与招标人签订合同，不提出违背或超出招标文件、中标文件的要求。</w:t>
            </w:r>
          </w:p>
        </w:tc>
        <w:tc>
          <w:tcPr>
            <w:tcW w:w="4272" w:type="dxa"/>
            <w:vAlign w:val="top"/>
          </w:tcPr>
          <w:p w14:paraId="3246D3A0">
            <w:pPr>
              <w:keepNext w:val="0"/>
              <w:keepLines w:val="0"/>
              <w:pageBreakBefore w:val="0"/>
              <w:widowControl/>
              <w:kinsoku/>
              <w:wordWrap w:val="0"/>
              <w:overflowPunct/>
              <w:topLinePunct w:val="0"/>
              <w:autoSpaceDE w:val="0"/>
              <w:autoSpaceDN w:val="0"/>
              <w:bidi w:val="0"/>
              <w:adjustRightInd w:val="0"/>
              <w:snapToGrid w:val="0"/>
              <w:spacing w:before="126" w:line="288" w:lineRule="auto"/>
              <w:ind w:left="13" w:right="84" w:rightChars="40" w:firstLine="415"/>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5841BEAA">
      <w:pPr>
        <w:keepNext w:val="0"/>
        <w:keepLines w:val="0"/>
        <w:pageBreakBefore w:val="0"/>
        <w:kinsoku/>
        <w:wordWrap w:val="0"/>
        <w:overflowPunct/>
        <w:topLinePunct w:val="0"/>
        <w:bidi w:val="0"/>
        <w:spacing w:before="78" w:line="219" w:lineRule="auto"/>
        <w:ind w:right="84" w:rightChars="40" w:firstLine="6720" w:firstLineChars="2800"/>
        <w:jc w:val="both"/>
        <w:rPr>
          <w:rFonts w:hint="eastAsia" w:ascii="宋体" w:hAnsi="宋体" w:eastAsia="宋体" w:cs="宋体"/>
          <w:color w:val="auto"/>
          <w:spacing w:val="0"/>
          <w:sz w:val="24"/>
          <w:szCs w:val="24"/>
          <w:highlight w:val="none"/>
        </w:rPr>
      </w:pPr>
    </w:p>
    <w:p w14:paraId="5A5A4090">
      <w:pPr>
        <w:keepNext w:val="0"/>
        <w:keepLines w:val="0"/>
        <w:pageBreakBefore w:val="0"/>
        <w:kinsoku/>
        <w:wordWrap w:val="0"/>
        <w:overflowPunct/>
        <w:topLinePunct w:val="0"/>
        <w:bidi w:val="0"/>
        <w:spacing w:before="78" w:line="219" w:lineRule="auto"/>
        <w:ind w:right="84" w:rightChars="40" w:firstLine="6720" w:firstLineChars="280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（盖单位章）</w:t>
      </w:r>
    </w:p>
    <w:p w14:paraId="11F3159F">
      <w:pPr>
        <w:pStyle w:val="5"/>
        <w:keepNext w:val="0"/>
        <w:keepLines w:val="0"/>
        <w:pageBreakBefore w:val="0"/>
        <w:kinsoku/>
        <w:wordWrap w:val="0"/>
        <w:overflowPunct/>
        <w:topLinePunct w:val="0"/>
        <w:bidi w:val="0"/>
        <w:spacing w:line="297" w:lineRule="auto"/>
        <w:ind w:right="84" w:rightChars="40"/>
        <w:jc w:val="right"/>
        <w:rPr>
          <w:rFonts w:hint="eastAsia" w:ascii="宋体" w:hAnsi="宋体" w:eastAsia="宋体" w:cs="宋体"/>
          <w:color w:val="auto"/>
          <w:spacing w:val="0"/>
          <w:highlight w:val="none"/>
        </w:rPr>
      </w:pPr>
    </w:p>
    <w:p w14:paraId="09C1B693">
      <w:pPr>
        <w:keepNext w:val="0"/>
        <w:keepLines w:val="0"/>
        <w:pageBreakBefore w:val="0"/>
        <w:kinsoku/>
        <w:wordWrap w:val="0"/>
        <w:overflowPunct/>
        <w:topLinePunct w:val="0"/>
        <w:bidi w:val="0"/>
        <w:spacing w:before="78" w:line="219" w:lineRule="auto"/>
        <w:ind w:left="4366"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（签字或盖章）</w:t>
      </w:r>
    </w:p>
    <w:p w14:paraId="5307D740">
      <w:pPr>
        <w:keepNext w:val="0"/>
        <w:keepLines w:val="0"/>
        <w:pageBreakBefore w:val="0"/>
        <w:kinsoku/>
        <w:wordWrap w:val="0"/>
        <w:overflowPunct/>
        <w:topLinePunct w:val="0"/>
        <w:bidi w:val="0"/>
        <w:ind w:right="84" w:rightChars="40"/>
        <w:outlineLvl w:val="9"/>
        <w:rPr>
          <w:rFonts w:hint="eastAsia" w:ascii="宋体" w:hAnsi="宋体" w:eastAsia="宋体" w:cs="宋体"/>
          <w:color w:val="auto"/>
          <w:spacing w:val="0"/>
          <w:highlight w:val="none"/>
        </w:rPr>
      </w:pPr>
    </w:p>
    <w:p w14:paraId="76133165">
      <w:pPr>
        <w:keepNext w:val="0"/>
        <w:keepLines w:val="0"/>
        <w:pageBreakBefore w:val="0"/>
        <w:kinsoku/>
        <w:wordWrap w:val="0"/>
        <w:overflowPunct/>
        <w:topLinePunct w:val="0"/>
        <w:bidi w:val="0"/>
        <w:spacing w:before="78" w:line="220" w:lineRule="auto"/>
        <w:ind w:left="6730"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2420BB4E">
      <w:pPr>
        <w:keepNext w:val="0"/>
        <w:keepLines w:val="0"/>
        <w:pageBreakBefore w:val="0"/>
        <w:kinsoku/>
        <w:wordWrap w:val="0"/>
        <w:overflowPunct/>
        <w:topLinePunct w:val="0"/>
        <w:bidi w:val="0"/>
        <w:spacing w:line="220" w:lineRule="auto"/>
        <w:ind w:right="84" w:rightChars="40"/>
        <w:jc w:val="right"/>
        <w:rPr>
          <w:rFonts w:hint="eastAsia" w:ascii="宋体" w:hAnsi="宋体" w:eastAsia="宋体" w:cs="宋体"/>
          <w:color w:val="auto"/>
          <w:spacing w:val="0"/>
          <w:sz w:val="24"/>
          <w:szCs w:val="24"/>
          <w:highlight w:val="none"/>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B193340">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34" w:name="_Toc1592"/>
      <w:r>
        <w:rPr>
          <w:rFonts w:hint="eastAsia" w:ascii="宋体" w:hAnsi="宋体" w:eastAsia="宋体" w:cs="宋体"/>
          <w:b/>
          <w:bCs/>
          <w:color w:val="auto"/>
          <w:spacing w:val="0"/>
          <w:sz w:val="24"/>
          <w:szCs w:val="24"/>
          <w:highlight w:val="none"/>
        </w:rPr>
        <w:t>格式四 授权委托书</w:t>
      </w:r>
      <w:bookmarkEnd w:id="234"/>
    </w:p>
    <w:p w14:paraId="03776E3A">
      <w:pPr>
        <w:pStyle w:val="5"/>
        <w:keepNext w:val="0"/>
        <w:keepLines w:val="0"/>
        <w:pageBreakBefore w:val="0"/>
        <w:kinsoku/>
        <w:wordWrap w:val="0"/>
        <w:overflowPunct/>
        <w:topLinePunct w:val="0"/>
        <w:bidi w:val="0"/>
        <w:spacing w:line="351" w:lineRule="auto"/>
        <w:ind w:right="84" w:rightChars="40"/>
        <w:rPr>
          <w:rFonts w:hint="eastAsia" w:ascii="宋体" w:hAnsi="宋体" w:eastAsia="宋体" w:cs="宋体"/>
          <w:color w:val="auto"/>
          <w:spacing w:val="0"/>
          <w:highlight w:val="none"/>
        </w:rPr>
      </w:pPr>
    </w:p>
    <w:p w14:paraId="27681910">
      <w:pPr>
        <w:pStyle w:val="5"/>
        <w:keepNext w:val="0"/>
        <w:keepLines w:val="0"/>
        <w:pageBreakBefore w:val="0"/>
        <w:kinsoku/>
        <w:wordWrap w:val="0"/>
        <w:overflowPunct/>
        <w:topLinePunct w:val="0"/>
        <w:bidi w:val="0"/>
        <w:spacing w:line="351" w:lineRule="auto"/>
        <w:ind w:right="84" w:rightChars="40"/>
        <w:rPr>
          <w:rFonts w:hint="eastAsia" w:ascii="宋体" w:hAnsi="宋体" w:eastAsia="宋体" w:cs="宋体"/>
          <w:color w:val="auto"/>
          <w:spacing w:val="0"/>
          <w:highlight w:val="none"/>
        </w:rPr>
      </w:pPr>
    </w:p>
    <w:p w14:paraId="6710AE74">
      <w:pPr>
        <w:keepNext w:val="0"/>
        <w:keepLines w:val="0"/>
        <w:pageBreakBefore w:val="0"/>
        <w:kinsoku/>
        <w:wordWrap w:val="0"/>
        <w:overflowPunct/>
        <w:topLinePunct w:val="0"/>
        <w:bidi w:val="0"/>
        <w:spacing w:before="97" w:line="219" w:lineRule="auto"/>
        <w:ind w:left="3786" w:right="84" w:rightChars="40"/>
        <w:rPr>
          <w:rFonts w:hint="eastAsia" w:ascii="宋体" w:hAnsi="宋体" w:eastAsia="宋体" w:cs="宋体"/>
          <w:color w:val="auto"/>
          <w:spacing w:val="0"/>
          <w:sz w:val="30"/>
          <w:szCs w:val="30"/>
          <w:highlight w:val="none"/>
        </w:rPr>
      </w:pPr>
      <w:bookmarkStart w:id="235" w:name="bookmark151"/>
      <w:bookmarkEnd w:id="235"/>
      <w:r>
        <w:rPr>
          <w:rFonts w:hint="eastAsia" w:ascii="宋体" w:hAnsi="宋体" w:eastAsia="宋体" w:cs="宋体"/>
          <w:b/>
          <w:bCs/>
          <w:color w:val="auto"/>
          <w:spacing w:val="0"/>
          <w:sz w:val="30"/>
          <w:szCs w:val="30"/>
          <w:highlight w:val="none"/>
        </w:rPr>
        <w:t>授权委托书</w:t>
      </w:r>
    </w:p>
    <w:p w14:paraId="6B19C13D">
      <w:pPr>
        <w:pStyle w:val="5"/>
        <w:keepNext w:val="0"/>
        <w:keepLines w:val="0"/>
        <w:pageBreakBefore w:val="0"/>
        <w:kinsoku/>
        <w:wordWrap w:val="0"/>
        <w:overflowPunct/>
        <w:topLinePunct w:val="0"/>
        <w:bidi w:val="0"/>
        <w:spacing w:line="250" w:lineRule="auto"/>
        <w:ind w:right="84" w:rightChars="40"/>
        <w:rPr>
          <w:rFonts w:hint="eastAsia" w:ascii="宋体" w:hAnsi="宋体" w:eastAsia="宋体" w:cs="宋体"/>
          <w:color w:val="auto"/>
          <w:spacing w:val="0"/>
          <w:highlight w:val="none"/>
        </w:rPr>
      </w:pPr>
    </w:p>
    <w:p w14:paraId="761B3015">
      <w:pPr>
        <w:pStyle w:val="5"/>
        <w:keepNext w:val="0"/>
        <w:keepLines w:val="0"/>
        <w:pageBreakBefore w:val="0"/>
        <w:kinsoku/>
        <w:wordWrap w:val="0"/>
        <w:overflowPunct/>
        <w:topLinePunct w:val="0"/>
        <w:bidi w:val="0"/>
        <w:spacing w:line="250" w:lineRule="auto"/>
        <w:ind w:right="84" w:rightChars="40"/>
        <w:rPr>
          <w:rFonts w:hint="eastAsia" w:ascii="宋体" w:hAnsi="宋体" w:eastAsia="宋体" w:cs="宋体"/>
          <w:color w:val="auto"/>
          <w:spacing w:val="0"/>
          <w:highlight w:val="none"/>
        </w:rPr>
      </w:pPr>
    </w:p>
    <w:p w14:paraId="586EF8E7">
      <w:pPr>
        <w:pStyle w:val="5"/>
        <w:keepNext w:val="0"/>
        <w:keepLines w:val="0"/>
        <w:pageBreakBefore w:val="0"/>
        <w:kinsoku/>
        <w:wordWrap w:val="0"/>
        <w:overflowPunct/>
        <w:topLinePunct w:val="0"/>
        <w:bidi w:val="0"/>
        <w:spacing w:line="251" w:lineRule="auto"/>
        <w:ind w:right="84" w:rightChars="40"/>
        <w:rPr>
          <w:rFonts w:hint="eastAsia" w:ascii="宋体" w:hAnsi="宋体" w:eastAsia="宋体" w:cs="宋体"/>
          <w:color w:val="auto"/>
          <w:spacing w:val="0"/>
          <w:highlight w:val="none"/>
        </w:rPr>
      </w:pPr>
    </w:p>
    <w:p w14:paraId="29794F47">
      <w:pPr>
        <w:keepNext w:val="0"/>
        <w:keepLines w:val="0"/>
        <w:pageBreakBefore w:val="0"/>
        <w:widowControl/>
        <w:kinsoku/>
        <w:wordWrap w:val="0"/>
        <w:overflowPunct/>
        <w:topLinePunct w:val="0"/>
        <w:autoSpaceDE w:val="0"/>
        <w:autoSpaceDN w:val="0"/>
        <w:bidi w:val="0"/>
        <w:adjustRightInd w:val="0"/>
        <w:snapToGrid w:val="0"/>
        <w:spacing w:before="78" w:line="330" w:lineRule="auto"/>
        <w:ind w:right="84" w:rightChars="40" w:firstLine="481"/>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 w:val="24"/>
          <w:szCs w:val="28"/>
          <w:highlight w:val="none"/>
          <w:lang w:eastAsia="zh-CN"/>
        </w:rPr>
        <w:t>本人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（姓名）系</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（投标人名称）的法定代表人，现委托</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（姓名）为我方代理人。代理人根据授权，以我方名义签署、澄清、说明、补正、递交、撤回、修改</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snapToGrid w:val="0"/>
          <w:color w:val="auto"/>
          <w:spacing w:val="0"/>
          <w:kern w:val="0"/>
          <w:sz w:val="24"/>
          <w:szCs w:val="28"/>
          <w:highlight w:val="none"/>
          <w:u w:val="single"/>
          <w:lang w:eastAsia="zh-CN"/>
        </w:rPr>
        <w:t>（项目名称）</w:t>
      </w:r>
      <w:r>
        <w:rPr>
          <w:rFonts w:hint="eastAsia" w:ascii="宋体" w:hAnsi="宋体" w:eastAsia="宋体" w:cs="宋体"/>
          <w:snapToGrid w:val="0"/>
          <w:color w:val="auto"/>
          <w:spacing w:val="0"/>
          <w:kern w:val="0"/>
          <w:sz w:val="24"/>
          <w:szCs w:val="28"/>
          <w:highlight w:val="none"/>
          <w:lang w:eastAsia="zh-CN"/>
        </w:rPr>
        <w:t xml:space="preserve"> 投标文件、签订合同和处理有关事宜，其法律后果由我方承担。</w:t>
      </w:r>
    </w:p>
    <w:p w14:paraId="61311643">
      <w:pPr>
        <w:keepNext w:val="0"/>
        <w:keepLines w:val="0"/>
        <w:pageBreakBefore w:val="0"/>
        <w:widowControl/>
        <w:kinsoku/>
        <w:wordWrap w:val="0"/>
        <w:overflowPunct/>
        <w:topLinePunct w:val="0"/>
        <w:autoSpaceDE w:val="0"/>
        <w:autoSpaceDN w:val="0"/>
        <w:bidi w:val="0"/>
        <w:adjustRightInd w:val="0"/>
        <w:snapToGrid w:val="0"/>
        <w:spacing w:before="32" w:line="320" w:lineRule="auto"/>
        <w:ind w:left="480" w:right="84" w:rightChars="4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委托期限：至</w:t>
      </w:r>
      <w:r>
        <w:rPr>
          <w:rFonts w:hint="eastAsia" w:ascii="宋体" w:hAnsi="宋体" w:eastAsia="宋体" w:cs="宋体"/>
          <w:color w:val="auto"/>
          <w:spacing w:val="0"/>
          <w:sz w:val="24"/>
          <w:szCs w:val="24"/>
          <w:highlight w:val="none"/>
          <w:u w:val="single"/>
        </w:rPr>
        <w:t xml:space="preserve">     年   月    日</w:t>
      </w:r>
      <w:r>
        <w:rPr>
          <w:rFonts w:hint="eastAsia" w:ascii="宋体" w:hAnsi="宋体" w:eastAsia="宋体" w:cs="宋体"/>
          <w:i/>
          <w:iCs/>
          <w:color w:val="auto"/>
          <w:spacing w:val="0"/>
          <w:sz w:val="25"/>
          <w:szCs w:val="25"/>
          <w:highlight w:val="none"/>
          <w:u w:val="single"/>
        </w:rPr>
        <w:t>（不得短于招标文件规定的投标有效期）</w:t>
      </w:r>
      <w:r>
        <w:rPr>
          <w:rFonts w:hint="eastAsia" w:ascii="宋体" w:hAnsi="宋体" w:eastAsia="宋体" w:cs="宋体"/>
          <w:color w:val="auto"/>
          <w:spacing w:val="0"/>
          <w:sz w:val="25"/>
          <w:szCs w:val="25"/>
          <w:highlight w:val="none"/>
        </w:rPr>
        <w:t xml:space="preserve"> </w:t>
      </w:r>
      <w:r>
        <w:rPr>
          <w:rFonts w:hint="eastAsia" w:ascii="宋体" w:hAnsi="宋体" w:eastAsia="宋体" w:cs="宋体"/>
          <w:color w:val="auto"/>
          <w:spacing w:val="0"/>
          <w:sz w:val="24"/>
          <w:szCs w:val="24"/>
          <w:highlight w:val="none"/>
        </w:rPr>
        <w:t xml:space="preserve">。 </w:t>
      </w:r>
    </w:p>
    <w:p w14:paraId="065F5DA6">
      <w:pPr>
        <w:keepNext w:val="0"/>
        <w:keepLines w:val="0"/>
        <w:pageBreakBefore w:val="0"/>
        <w:widowControl/>
        <w:kinsoku/>
        <w:wordWrap w:val="0"/>
        <w:overflowPunct/>
        <w:topLinePunct w:val="0"/>
        <w:autoSpaceDE w:val="0"/>
        <w:autoSpaceDN w:val="0"/>
        <w:bidi w:val="0"/>
        <w:adjustRightInd w:val="0"/>
        <w:snapToGrid w:val="0"/>
        <w:spacing w:before="32" w:line="320" w:lineRule="auto"/>
        <w:ind w:left="480" w:right="84" w:rightChars="4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代理人无转委托权。</w:t>
      </w:r>
    </w:p>
    <w:p w14:paraId="03D08A77">
      <w:pPr>
        <w:pStyle w:val="5"/>
        <w:keepNext w:val="0"/>
        <w:keepLines w:val="0"/>
        <w:pageBreakBefore w:val="0"/>
        <w:kinsoku/>
        <w:wordWrap w:val="0"/>
        <w:overflowPunct/>
        <w:topLinePunct w:val="0"/>
        <w:bidi w:val="0"/>
        <w:spacing w:line="276" w:lineRule="auto"/>
        <w:ind w:right="84" w:rightChars="40"/>
        <w:rPr>
          <w:rFonts w:hint="eastAsia" w:ascii="宋体" w:hAnsi="宋体" w:eastAsia="宋体" w:cs="宋体"/>
          <w:color w:val="auto"/>
          <w:spacing w:val="0"/>
          <w:highlight w:val="none"/>
        </w:rPr>
      </w:pPr>
    </w:p>
    <w:p w14:paraId="43532AC3">
      <w:pPr>
        <w:pStyle w:val="5"/>
        <w:keepNext w:val="0"/>
        <w:keepLines w:val="0"/>
        <w:pageBreakBefore w:val="0"/>
        <w:kinsoku/>
        <w:wordWrap w:val="0"/>
        <w:overflowPunct/>
        <w:topLinePunct w:val="0"/>
        <w:bidi w:val="0"/>
        <w:spacing w:line="277" w:lineRule="auto"/>
        <w:ind w:right="84" w:rightChars="40"/>
        <w:rPr>
          <w:rFonts w:hint="eastAsia" w:ascii="宋体" w:hAnsi="宋体" w:eastAsia="宋体" w:cs="宋体"/>
          <w:color w:val="auto"/>
          <w:spacing w:val="0"/>
          <w:highlight w:val="none"/>
        </w:rPr>
      </w:pPr>
    </w:p>
    <w:p w14:paraId="2B7914FB">
      <w:pPr>
        <w:pStyle w:val="5"/>
        <w:keepNext w:val="0"/>
        <w:keepLines w:val="0"/>
        <w:pageBreakBefore w:val="0"/>
        <w:kinsoku/>
        <w:wordWrap w:val="0"/>
        <w:overflowPunct/>
        <w:topLinePunct w:val="0"/>
        <w:bidi w:val="0"/>
        <w:spacing w:line="277" w:lineRule="auto"/>
        <w:ind w:right="84" w:rightChars="40"/>
        <w:rPr>
          <w:rFonts w:hint="eastAsia" w:ascii="宋体" w:hAnsi="宋体" w:eastAsia="宋体" w:cs="宋体"/>
          <w:color w:val="auto"/>
          <w:spacing w:val="0"/>
          <w:highlight w:val="none"/>
        </w:rPr>
      </w:pPr>
    </w:p>
    <w:p w14:paraId="37C771EC">
      <w:pPr>
        <w:keepNext w:val="0"/>
        <w:keepLines w:val="0"/>
        <w:pageBreakBefore w:val="0"/>
        <w:kinsoku/>
        <w:wordWrap w:val="0"/>
        <w:overflowPunct/>
        <w:topLinePunct w:val="0"/>
        <w:bidi w:val="0"/>
        <w:spacing w:before="78" w:line="219" w:lineRule="auto"/>
        <w:ind w:left="3123"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  标  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67E86849">
      <w:pPr>
        <w:pStyle w:val="5"/>
        <w:keepNext w:val="0"/>
        <w:keepLines w:val="0"/>
        <w:pageBreakBefore w:val="0"/>
        <w:kinsoku/>
        <w:wordWrap w:val="0"/>
        <w:overflowPunct/>
        <w:topLinePunct w:val="0"/>
        <w:bidi w:val="0"/>
        <w:spacing w:line="317" w:lineRule="auto"/>
        <w:ind w:right="84" w:rightChars="40"/>
        <w:jc w:val="right"/>
        <w:rPr>
          <w:rFonts w:hint="eastAsia" w:ascii="宋体" w:hAnsi="宋体" w:eastAsia="宋体" w:cs="宋体"/>
          <w:color w:val="auto"/>
          <w:spacing w:val="0"/>
          <w:highlight w:val="none"/>
        </w:rPr>
      </w:pPr>
    </w:p>
    <w:p w14:paraId="4D39F848">
      <w:pPr>
        <w:pStyle w:val="5"/>
        <w:keepNext w:val="0"/>
        <w:keepLines w:val="0"/>
        <w:pageBreakBefore w:val="0"/>
        <w:kinsoku/>
        <w:wordWrap w:val="0"/>
        <w:overflowPunct/>
        <w:topLinePunct w:val="0"/>
        <w:bidi w:val="0"/>
        <w:spacing w:line="317" w:lineRule="auto"/>
        <w:ind w:right="84" w:rightChars="40"/>
        <w:jc w:val="right"/>
        <w:rPr>
          <w:rFonts w:hint="eastAsia" w:ascii="宋体" w:hAnsi="宋体" w:eastAsia="宋体" w:cs="宋体"/>
          <w:color w:val="auto"/>
          <w:spacing w:val="0"/>
          <w:highlight w:val="none"/>
        </w:rPr>
      </w:pPr>
    </w:p>
    <w:p w14:paraId="067D7E79">
      <w:pPr>
        <w:pStyle w:val="5"/>
        <w:keepNext w:val="0"/>
        <w:keepLines w:val="0"/>
        <w:pageBreakBefore w:val="0"/>
        <w:kinsoku/>
        <w:wordWrap w:val="0"/>
        <w:overflowPunct/>
        <w:topLinePunct w:val="0"/>
        <w:bidi w:val="0"/>
        <w:spacing w:line="317" w:lineRule="auto"/>
        <w:ind w:right="84" w:rightChars="40"/>
        <w:jc w:val="right"/>
        <w:rPr>
          <w:rFonts w:hint="eastAsia" w:ascii="宋体" w:hAnsi="宋体" w:eastAsia="宋体" w:cs="宋体"/>
          <w:color w:val="auto"/>
          <w:spacing w:val="0"/>
          <w:highlight w:val="none"/>
        </w:rPr>
      </w:pPr>
    </w:p>
    <w:p w14:paraId="67B8E691">
      <w:pPr>
        <w:keepNext w:val="0"/>
        <w:keepLines w:val="0"/>
        <w:pageBreakBefore w:val="0"/>
        <w:kinsoku/>
        <w:wordWrap w:val="0"/>
        <w:overflowPunct/>
        <w:topLinePunct w:val="0"/>
        <w:bidi w:val="0"/>
        <w:spacing w:before="79" w:line="219" w:lineRule="auto"/>
        <w:ind w:left="3121"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058F6FE5">
      <w:pPr>
        <w:pStyle w:val="5"/>
        <w:keepNext w:val="0"/>
        <w:keepLines w:val="0"/>
        <w:pageBreakBefore w:val="0"/>
        <w:kinsoku/>
        <w:wordWrap w:val="0"/>
        <w:overflowPunct/>
        <w:topLinePunct w:val="0"/>
        <w:bidi w:val="0"/>
        <w:spacing w:line="317" w:lineRule="auto"/>
        <w:ind w:right="84" w:rightChars="40"/>
        <w:jc w:val="right"/>
        <w:rPr>
          <w:rFonts w:hint="eastAsia" w:ascii="宋体" w:hAnsi="宋体" w:eastAsia="宋体" w:cs="宋体"/>
          <w:color w:val="auto"/>
          <w:spacing w:val="0"/>
          <w:highlight w:val="none"/>
        </w:rPr>
      </w:pPr>
    </w:p>
    <w:p w14:paraId="084C2FB0">
      <w:pPr>
        <w:pStyle w:val="5"/>
        <w:keepNext w:val="0"/>
        <w:keepLines w:val="0"/>
        <w:pageBreakBefore w:val="0"/>
        <w:kinsoku/>
        <w:wordWrap w:val="0"/>
        <w:overflowPunct/>
        <w:topLinePunct w:val="0"/>
        <w:bidi w:val="0"/>
        <w:spacing w:line="317" w:lineRule="auto"/>
        <w:ind w:right="84" w:rightChars="40"/>
        <w:jc w:val="right"/>
        <w:rPr>
          <w:rFonts w:hint="eastAsia" w:ascii="宋体" w:hAnsi="宋体" w:eastAsia="宋体" w:cs="宋体"/>
          <w:color w:val="auto"/>
          <w:spacing w:val="0"/>
          <w:highlight w:val="none"/>
        </w:rPr>
      </w:pPr>
    </w:p>
    <w:p w14:paraId="357963A6">
      <w:pPr>
        <w:pStyle w:val="5"/>
        <w:keepNext w:val="0"/>
        <w:keepLines w:val="0"/>
        <w:pageBreakBefore w:val="0"/>
        <w:kinsoku/>
        <w:wordWrap w:val="0"/>
        <w:overflowPunct/>
        <w:topLinePunct w:val="0"/>
        <w:bidi w:val="0"/>
        <w:spacing w:line="317" w:lineRule="auto"/>
        <w:ind w:right="84" w:rightChars="40"/>
        <w:jc w:val="right"/>
        <w:rPr>
          <w:rFonts w:hint="eastAsia" w:ascii="宋体" w:hAnsi="宋体" w:eastAsia="宋体" w:cs="宋体"/>
          <w:color w:val="auto"/>
          <w:spacing w:val="0"/>
          <w:highlight w:val="none"/>
        </w:rPr>
      </w:pPr>
    </w:p>
    <w:p w14:paraId="732A1D8F">
      <w:pPr>
        <w:keepNext w:val="0"/>
        <w:keepLines w:val="0"/>
        <w:pageBreakBefore w:val="0"/>
        <w:kinsoku/>
        <w:wordWrap w:val="0"/>
        <w:overflowPunct/>
        <w:topLinePunct w:val="0"/>
        <w:bidi w:val="0"/>
        <w:spacing w:before="78" w:line="219" w:lineRule="auto"/>
        <w:ind w:left="2880"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委托代理人：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1B567FA1">
      <w:pPr>
        <w:pStyle w:val="5"/>
        <w:keepNext w:val="0"/>
        <w:keepLines w:val="0"/>
        <w:pageBreakBefore w:val="0"/>
        <w:kinsoku/>
        <w:wordWrap w:val="0"/>
        <w:overflowPunct/>
        <w:topLinePunct w:val="0"/>
        <w:bidi w:val="0"/>
        <w:spacing w:line="256" w:lineRule="auto"/>
        <w:ind w:right="84" w:rightChars="40"/>
        <w:jc w:val="right"/>
        <w:rPr>
          <w:rFonts w:hint="eastAsia" w:ascii="宋体" w:hAnsi="宋体" w:eastAsia="宋体" w:cs="宋体"/>
          <w:color w:val="auto"/>
          <w:spacing w:val="0"/>
          <w:highlight w:val="none"/>
        </w:rPr>
      </w:pPr>
    </w:p>
    <w:p w14:paraId="3C2BC505">
      <w:pPr>
        <w:pStyle w:val="5"/>
        <w:keepNext w:val="0"/>
        <w:keepLines w:val="0"/>
        <w:pageBreakBefore w:val="0"/>
        <w:kinsoku/>
        <w:wordWrap w:val="0"/>
        <w:overflowPunct/>
        <w:topLinePunct w:val="0"/>
        <w:bidi w:val="0"/>
        <w:spacing w:line="256" w:lineRule="auto"/>
        <w:ind w:right="84" w:rightChars="40"/>
        <w:jc w:val="right"/>
        <w:rPr>
          <w:rFonts w:hint="eastAsia" w:ascii="宋体" w:hAnsi="宋体" w:eastAsia="宋体" w:cs="宋体"/>
          <w:color w:val="auto"/>
          <w:spacing w:val="0"/>
          <w:highlight w:val="none"/>
        </w:rPr>
      </w:pPr>
    </w:p>
    <w:p w14:paraId="32DFD235">
      <w:pPr>
        <w:keepNext w:val="0"/>
        <w:keepLines w:val="0"/>
        <w:pageBreakBefore w:val="0"/>
        <w:kinsoku/>
        <w:wordWrap w:val="0"/>
        <w:overflowPunct/>
        <w:topLinePunct w:val="0"/>
        <w:bidi w:val="0"/>
        <w:spacing w:before="78" w:line="220" w:lineRule="auto"/>
        <w:ind w:left="6730"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09CD99D4">
      <w:pPr>
        <w:keepNext w:val="0"/>
        <w:keepLines w:val="0"/>
        <w:pageBreakBefore w:val="0"/>
        <w:kinsoku/>
        <w:wordWrap w:val="0"/>
        <w:overflowPunct/>
        <w:topLinePunct w:val="0"/>
        <w:bidi w:val="0"/>
        <w:spacing w:before="78" w:line="220" w:lineRule="auto"/>
        <w:ind w:left="4201" w:right="84" w:rightChars="40"/>
        <w:jc w:val="right"/>
        <w:rPr>
          <w:rFonts w:hint="eastAsia" w:ascii="宋体" w:hAnsi="宋体" w:eastAsia="宋体" w:cs="宋体"/>
          <w:color w:val="auto"/>
          <w:spacing w:val="0"/>
          <w:sz w:val="24"/>
          <w:szCs w:val="24"/>
          <w:highlight w:val="none"/>
        </w:rPr>
      </w:pPr>
    </w:p>
    <w:p w14:paraId="723A21F5">
      <w:pPr>
        <w:keepNext w:val="0"/>
        <w:keepLines w:val="0"/>
        <w:pageBreakBefore w:val="0"/>
        <w:kinsoku/>
        <w:wordWrap w:val="0"/>
        <w:overflowPunct/>
        <w:topLinePunct w:val="0"/>
        <w:bidi w:val="0"/>
        <w:spacing w:before="69"/>
        <w:ind w:right="84" w:rightChars="40"/>
        <w:rPr>
          <w:rFonts w:hint="eastAsia" w:ascii="宋体" w:hAnsi="宋体" w:eastAsia="宋体" w:cs="宋体"/>
          <w:color w:val="auto"/>
          <w:spacing w:val="0"/>
          <w:highlight w:val="none"/>
        </w:rPr>
      </w:pPr>
    </w:p>
    <w:p w14:paraId="1E0667E6">
      <w:pPr>
        <w:keepNext w:val="0"/>
        <w:keepLines w:val="0"/>
        <w:pageBreakBefore w:val="0"/>
        <w:kinsoku/>
        <w:wordWrap w:val="0"/>
        <w:overflowPunct/>
        <w:topLinePunct w:val="0"/>
        <w:bidi w:val="0"/>
        <w:spacing w:before="69"/>
        <w:ind w:right="84" w:rightChars="40"/>
        <w:rPr>
          <w:rFonts w:hint="eastAsia" w:ascii="宋体" w:hAnsi="宋体" w:eastAsia="宋体" w:cs="宋体"/>
          <w:color w:val="auto"/>
          <w:spacing w:val="0"/>
          <w:highlight w:val="none"/>
        </w:rPr>
      </w:pPr>
    </w:p>
    <w:tbl>
      <w:tblPr>
        <w:tblStyle w:val="14"/>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2127AB6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06290FA3">
            <w:pPr>
              <w:pStyle w:val="27"/>
              <w:keepNext w:val="0"/>
              <w:keepLines w:val="0"/>
              <w:pageBreakBefore w:val="0"/>
              <w:kinsoku/>
              <w:wordWrap w:val="0"/>
              <w:overflowPunct/>
              <w:topLinePunct w:val="0"/>
              <w:bidi w:val="0"/>
              <w:spacing w:line="245" w:lineRule="auto"/>
              <w:ind w:right="84" w:rightChars="40"/>
              <w:rPr>
                <w:rFonts w:hint="eastAsia" w:ascii="宋体" w:hAnsi="宋体" w:eastAsia="宋体" w:cs="宋体"/>
                <w:color w:val="auto"/>
                <w:spacing w:val="0"/>
                <w:highlight w:val="none"/>
              </w:rPr>
            </w:pPr>
          </w:p>
          <w:p w14:paraId="73D5EEA8">
            <w:pPr>
              <w:pStyle w:val="27"/>
              <w:keepNext w:val="0"/>
              <w:keepLines w:val="0"/>
              <w:pageBreakBefore w:val="0"/>
              <w:kinsoku/>
              <w:wordWrap w:val="0"/>
              <w:overflowPunct/>
              <w:topLinePunct w:val="0"/>
              <w:bidi w:val="0"/>
              <w:spacing w:line="245" w:lineRule="auto"/>
              <w:ind w:right="84" w:rightChars="40"/>
              <w:rPr>
                <w:rFonts w:hint="eastAsia" w:ascii="宋体" w:hAnsi="宋体" w:eastAsia="宋体" w:cs="宋体"/>
                <w:color w:val="auto"/>
                <w:spacing w:val="0"/>
                <w:highlight w:val="none"/>
              </w:rPr>
            </w:pPr>
          </w:p>
          <w:p w14:paraId="4189E6F9">
            <w:pPr>
              <w:pStyle w:val="27"/>
              <w:keepNext w:val="0"/>
              <w:keepLines w:val="0"/>
              <w:pageBreakBefore w:val="0"/>
              <w:kinsoku/>
              <w:wordWrap w:val="0"/>
              <w:overflowPunct/>
              <w:topLinePunct w:val="0"/>
              <w:bidi w:val="0"/>
              <w:spacing w:line="245" w:lineRule="auto"/>
              <w:ind w:right="84" w:rightChars="40"/>
              <w:rPr>
                <w:rFonts w:hint="eastAsia" w:ascii="宋体" w:hAnsi="宋体" w:eastAsia="宋体" w:cs="宋体"/>
                <w:color w:val="auto"/>
                <w:spacing w:val="0"/>
                <w:highlight w:val="none"/>
              </w:rPr>
            </w:pPr>
          </w:p>
          <w:p w14:paraId="31D9240F">
            <w:pPr>
              <w:pStyle w:val="27"/>
              <w:keepNext w:val="0"/>
              <w:keepLines w:val="0"/>
              <w:pageBreakBefore w:val="0"/>
              <w:kinsoku/>
              <w:wordWrap w:val="0"/>
              <w:overflowPunct/>
              <w:topLinePunct w:val="0"/>
              <w:bidi w:val="0"/>
              <w:spacing w:line="245" w:lineRule="auto"/>
              <w:ind w:right="84" w:rightChars="40"/>
              <w:rPr>
                <w:rFonts w:hint="eastAsia" w:ascii="宋体" w:hAnsi="宋体" w:eastAsia="宋体" w:cs="宋体"/>
                <w:color w:val="auto"/>
                <w:spacing w:val="0"/>
                <w:highlight w:val="none"/>
              </w:rPr>
            </w:pPr>
          </w:p>
          <w:p w14:paraId="30F2804B">
            <w:pPr>
              <w:pStyle w:val="27"/>
              <w:keepNext w:val="0"/>
              <w:keepLines w:val="0"/>
              <w:pageBreakBefore w:val="0"/>
              <w:kinsoku/>
              <w:wordWrap w:val="0"/>
              <w:overflowPunct/>
              <w:topLinePunct w:val="0"/>
              <w:bidi w:val="0"/>
              <w:spacing w:line="245" w:lineRule="auto"/>
              <w:ind w:right="84" w:rightChars="40"/>
              <w:rPr>
                <w:rFonts w:hint="eastAsia" w:ascii="宋体" w:hAnsi="宋体" w:eastAsia="宋体" w:cs="宋体"/>
                <w:color w:val="auto"/>
                <w:spacing w:val="0"/>
                <w:highlight w:val="none"/>
              </w:rPr>
            </w:pPr>
          </w:p>
          <w:p w14:paraId="376A489E">
            <w:pPr>
              <w:pStyle w:val="27"/>
              <w:keepNext w:val="0"/>
              <w:keepLines w:val="0"/>
              <w:pageBreakBefore w:val="0"/>
              <w:kinsoku/>
              <w:wordWrap w:val="0"/>
              <w:overflowPunct/>
              <w:topLinePunct w:val="0"/>
              <w:bidi w:val="0"/>
              <w:spacing w:line="245" w:lineRule="auto"/>
              <w:ind w:right="84" w:rightChars="40"/>
              <w:rPr>
                <w:rFonts w:hint="eastAsia" w:ascii="宋体" w:hAnsi="宋体" w:eastAsia="宋体" w:cs="宋体"/>
                <w:color w:val="auto"/>
                <w:spacing w:val="0"/>
                <w:highlight w:val="none"/>
              </w:rPr>
            </w:pPr>
          </w:p>
          <w:p w14:paraId="5A6EA383">
            <w:pPr>
              <w:pStyle w:val="27"/>
              <w:keepNext w:val="0"/>
              <w:keepLines w:val="0"/>
              <w:pageBreakBefore w:val="0"/>
              <w:kinsoku/>
              <w:wordWrap w:val="0"/>
              <w:overflowPunct/>
              <w:topLinePunct w:val="0"/>
              <w:bidi w:val="0"/>
              <w:spacing w:line="246" w:lineRule="auto"/>
              <w:ind w:right="84" w:rightChars="40"/>
              <w:rPr>
                <w:rFonts w:hint="eastAsia" w:ascii="宋体" w:hAnsi="宋体" w:eastAsia="宋体" w:cs="宋体"/>
                <w:color w:val="auto"/>
                <w:spacing w:val="0"/>
                <w:highlight w:val="none"/>
              </w:rPr>
            </w:pPr>
          </w:p>
          <w:p w14:paraId="46299238">
            <w:pPr>
              <w:keepNext w:val="0"/>
              <w:keepLines w:val="0"/>
              <w:pageBreakBefore w:val="0"/>
              <w:kinsoku/>
              <w:wordWrap w:val="0"/>
              <w:overflowPunct/>
              <w:topLinePunct w:val="0"/>
              <w:bidi w:val="0"/>
              <w:spacing w:before="78" w:line="220" w:lineRule="auto"/>
              <w:ind w:left="718"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委托代理人身份证</w:t>
            </w:r>
            <w:r>
              <w:rPr>
                <w:rFonts w:hint="eastAsia" w:ascii="宋体" w:hAnsi="宋体" w:eastAsia="宋体" w:cs="宋体"/>
                <w:color w:val="auto"/>
                <w:spacing w:val="0"/>
                <w:sz w:val="24"/>
                <w:szCs w:val="24"/>
                <w:highlight w:val="none"/>
                <w:lang w:val="en-US" w:eastAsia="zh-CN"/>
              </w:rPr>
              <w:t>扫描件</w:t>
            </w:r>
            <w:r>
              <w:rPr>
                <w:rFonts w:hint="eastAsia" w:ascii="宋体" w:hAnsi="宋体" w:eastAsia="宋体" w:cs="宋体"/>
                <w:color w:val="auto"/>
                <w:spacing w:val="0"/>
                <w:sz w:val="24"/>
                <w:szCs w:val="24"/>
                <w:highlight w:val="none"/>
              </w:rPr>
              <w:t>正、反面</w:t>
            </w:r>
          </w:p>
        </w:tc>
      </w:tr>
    </w:tbl>
    <w:p w14:paraId="1CD2E23D">
      <w:pPr>
        <w:pStyle w:val="5"/>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p w14:paraId="414108A7">
      <w:pPr>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3DBB8BC">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36" w:name="_Toc13446"/>
      <w:r>
        <w:rPr>
          <w:rFonts w:hint="eastAsia" w:ascii="宋体" w:hAnsi="宋体" w:eastAsia="宋体" w:cs="宋体"/>
          <w:b/>
          <w:bCs/>
          <w:color w:val="auto"/>
          <w:spacing w:val="0"/>
          <w:sz w:val="24"/>
          <w:szCs w:val="24"/>
          <w:highlight w:val="none"/>
        </w:rPr>
        <w:t>格式五 法定代表人身份证明</w:t>
      </w:r>
      <w:bookmarkEnd w:id="236"/>
    </w:p>
    <w:p w14:paraId="64F0910B">
      <w:pPr>
        <w:pStyle w:val="5"/>
        <w:keepNext w:val="0"/>
        <w:keepLines w:val="0"/>
        <w:pageBreakBefore w:val="0"/>
        <w:kinsoku/>
        <w:wordWrap w:val="0"/>
        <w:overflowPunct/>
        <w:topLinePunct w:val="0"/>
        <w:bidi w:val="0"/>
        <w:spacing w:line="350" w:lineRule="auto"/>
        <w:ind w:right="84" w:rightChars="40"/>
        <w:rPr>
          <w:rFonts w:hint="eastAsia" w:ascii="宋体" w:hAnsi="宋体" w:eastAsia="宋体" w:cs="宋体"/>
          <w:color w:val="auto"/>
          <w:spacing w:val="0"/>
          <w:highlight w:val="none"/>
        </w:rPr>
      </w:pPr>
    </w:p>
    <w:p w14:paraId="2888A3EE">
      <w:pPr>
        <w:pStyle w:val="5"/>
        <w:keepNext w:val="0"/>
        <w:keepLines w:val="0"/>
        <w:pageBreakBefore w:val="0"/>
        <w:kinsoku/>
        <w:wordWrap w:val="0"/>
        <w:overflowPunct/>
        <w:topLinePunct w:val="0"/>
        <w:bidi w:val="0"/>
        <w:spacing w:line="350" w:lineRule="auto"/>
        <w:ind w:right="84" w:rightChars="40"/>
        <w:rPr>
          <w:rFonts w:hint="eastAsia" w:ascii="宋体" w:hAnsi="宋体" w:eastAsia="宋体" w:cs="宋体"/>
          <w:color w:val="auto"/>
          <w:spacing w:val="0"/>
          <w:highlight w:val="none"/>
        </w:rPr>
      </w:pPr>
    </w:p>
    <w:p w14:paraId="10601B29">
      <w:pPr>
        <w:keepNext w:val="0"/>
        <w:keepLines w:val="0"/>
        <w:pageBreakBefore w:val="0"/>
        <w:kinsoku/>
        <w:wordWrap w:val="0"/>
        <w:overflowPunct/>
        <w:topLinePunct w:val="0"/>
        <w:bidi w:val="0"/>
        <w:spacing w:before="98" w:line="220" w:lineRule="auto"/>
        <w:ind w:left="3183" w:right="84" w:rightChars="40"/>
        <w:rPr>
          <w:rFonts w:hint="eastAsia" w:ascii="宋体" w:hAnsi="宋体" w:eastAsia="宋体" w:cs="宋体"/>
          <w:color w:val="auto"/>
          <w:spacing w:val="0"/>
          <w:sz w:val="30"/>
          <w:szCs w:val="30"/>
          <w:highlight w:val="none"/>
        </w:rPr>
      </w:pPr>
      <w:bookmarkStart w:id="237" w:name="bookmark152"/>
      <w:bookmarkEnd w:id="237"/>
      <w:r>
        <w:rPr>
          <w:rFonts w:hint="eastAsia" w:ascii="宋体" w:hAnsi="宋体" w:eastAsia="宋体" w:cs="宋体"/>
          <w:b/>
          <w:bCs/>
          <w:color w:val="auto"/>
          <w:spacing w:val="0"/>
          <w:sz w:val="30"/>
          <w:szCs w:val="30"/>
          <w:highlight w:val="none"/>
        </w:rPr>
        <w:t>法定代表人身份证明</w:t>
      </w:r>
    </w:p>
    <w:p w14:paraId="176A168B">
      <w:pPr>
        <w:pStyle w:val="5"/>
        <w:keepNext w:val="0"/>
        <w:keepLines w:val="0"/>
        <w:pageBreakBefore w:val="0"/>
        <w:kinsoku/>
        <w:wordWrap w:val="0"/>
        <w:overflowPunct/>
        <w:topLinePunct w:val="0"/>
        <w:bidi w:val="0"/>
        <w:spacing w:line="250" w:lineRule="auto"/>
        <w:ind w:right="84" w:rightChars="40"/>
        <w:rPr>
          <w:rFonts w:hint="eastAsia" w:ascii="宋体" w:hAnsi="宋体" w:eastAsia="宋体" w:cs="宋体"/>
          <w:color w:val="auto"/>
          <w:spacing w:val="0"/>
          <w:highlight w:val="none"/>
        </w:rPr>
      </w:pPr>
    </w:p>
    <w:p w14:paraId="5B8D004F">
      <w:pPr>
        <w:pStyle w:val="5"/>
        <w:keepNext w:val="0"/>
        <w:keepLines w:val="0"/>
        <w:pageBreakBefore w:val="0"/>
        <w:kinsoku/>
        <w:wordWrap w:val="0"/>
        <w:overflowPunct/>
        <w:topLinePunct w:val="0"/>
        <w:bidi w:val="0"/>
        <w:spacing w:line="250" w:lineRule="auto"/>
        <w:ind w:right="84" w:rightChars="40"/>
        <w:rPr>
          <w:rFonts w:hint="eastAsia" w:ascii="宋体" w:hAnsi="宋体" w:eastAsia="宋体" w:cs="宋体"/>
          <w:color w:val="auto"/>
          <w:spacing w:val="0"/>
          <w:highlight w:val="none"/>
        </w:rPr>
      </w:pPr>
    </w:p>
    <w:p w14:paraId="47A552CC">
      <w:pPr>
        <w:pStyle w:val="5"/>
        <w:keepNext w:val="0"/>
        <w:keepLines w:val="0"/>
        <w:pageBreakBefore w:val="0"/>
        <w:kinsoku/>
        <w:wordWrap w:val="0"/>
        <w:overflowPunct/>
        <w:topLinePunct w:val="0"/>
        <w:bidi w:val="0"/>
        <w:spacing w:line="251" w:lineRule="auto"/>
        <w:ind w:right="84" w:rightChars="40"/>
        <w:rPr>
          <w:rFonts w:hint="eastAsia" w:ascii="宋体" w:hAnsi="宋体" w:eastAsia="宋体" w:cs="宋体"/>
          <w:color w:val="auto"/>
          <w:spacing w:val="0"/>
          <w:highlight w:val="none"/>
        </w:rPr>
      </w:pPr>
    </w:p>
    <w:p w14:paraId="6441890C">
      <w:pPr>
        <w:keepNext w:val="0"/>
        <w:keepLines w:val="0"/>
        <w:pageBreakBefore w:val="0"/>
        <w:kinsoku/>
        <w:wordWrap w:val="0"/>
        <w:overflowPunct/>
        <w:topLinePunct w:val="0"/>
        <w:bidi w:val="0"/>
        <w:adjustRightInd w:val="0"/>
        <w:snapToGrid w:val="0"/>
        <w:spacing w:line="440" w:lineRule="exact"/>
        <w:ind w:right="84" w:rightChars="40"/>
        <w:rPr>
          <w:rFonts w:hint="eastAsia" w:ascii="宋体" w:hAnsi="宋体" w:eastAsia="宋体" w:cs="宋体"/>
          <w:snapToGrid w:val="0"/>
          <w:color w:val="auto"/>
          <w:spacing w:val="0"/>
          <w:kern w:val="0"/>
          <w:sz w:val="24"/>
          <w:szCs w:val="24"/>
          <w:highlight w:val="none"/>
          <w:u w:val="single"/>
        </w:rPr>
      </w:pPr>
      <w:r>
        <w:rPr>
          <w:rFonts w:hint="eastAsia" w:ascii="宋体" w:hAnsi="宋体" w:eastAsia="宋体" w:cs="宋体"/>
          <w:snapToGrid w:val="0"/>
          <w:color w:val="auto"/>
          <w:spacing w:val="0"/>
          <w:kern w:val="0"/>
          <w:sz w:val="24"/>
          <w:szCs w:val="24"/>
          <w:highlight w:val="none"/>
        </w:rPr>
        <w:t>投标人名称：</w:t>
      </w:r>
      <w:r>
        <w:rPr>
          <w:rFonts w:hint="eastAsia" w:ascii="宋体" w:hAnsi="宋体" w:eastAsia="宋体" w:cs="宋体"/>
          <w:snapToGrid w:val="0"/>
          <w:color w:val="auto"/>
          <w:spacing w:val="0"/>
          <w:kern w:val="0"/>
          <w:sz w:val="24"/>
          <w:szCs w:val="24"/>
          <w:highlight w:val="none"/>
          <w:u w:val="single"/>
        </w:rPr>
        <w:t xml:space="preserve">                  </w:t>
      </w:r>
    </w:p>
    <w:p w14:paraId="78081EA7">
      <w:pPr>
        <w:keepNext w:val="0"/>
        <w:keepLines w:val="0"/>
        <w:pageBreakBefore w:val="0"/>
        <w:kinsoku/>
        <w:wordWrap w:val="0"/>
        <w:overflowPunct/>
        <w:topLinePunct w:val="0"/>
        <w:bidi w:val="0"/>
        <w:adjustRightInd w:val="0"/>
        <w:snapToGrid w:val="0"/>
        <w:spacing w:line="440" w:lineRule="exact"/>
        <w:ind w:right="84" w:rightChars="40"/>
        <w:rPr>
          <w:rFonts w:hint="eastAsia" w:ascii="宋体" w:hAnsi="宋体" w:eastAsia="宋体" w:cs="宋体"/>
          <w:snapToGrid w:val="0"/>
          <w:color w:val="auto"/>
          <w:spacing w:val="0"/>
          <w:kern w:val="0"/>
          <w:sz w:val="24"/>
          <w:szCs w:val="24"/>
          <w:highlight w:val="none"/>
          <w:u w:val="single"/>
        </w:rPr>
      </w:pPr>
      <w:r>
        <w:rPr>
          <w:rFonts w:hint="eastAsia" w:ascii="宋体" w:hAnsi="宋体" w:eastAsia="宋体" w:cs="宋体"/>
          <w:snapToGrid w:val="0"/>
          <w:color w:val="auto"/>
          <w:spacing w:val="0"/>
          <w:kern w:val="0"/>
          <w:sz w:val="24"/>
          <w:szCs w:val="24"/>
          <w:highlight w:val="none"/>
        </w:rPr>
        <w:t>姓名：</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性别：</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年龄：</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职务：</w:t>
      </w:r>
      <w:r>
        <w:rPr>
          <w:rFonts w:hint="eastAsia" w:ascii="宋体" w:hAnsi="宋体" w:eastAsia="宋体" w:cs="宋体"/>
          <w:snapToGrid w:val="0"/>
          <w:color w:val="auto"/>
          <w:spacing w:val="0"/>
          <w:kern w:val="0"/>
          <w:sz w:val="24"/>
          <w:szCs w:val="24"/>
          <w:highlight w:val="none"/>
          <w:u w:val="single"/>
        </w:rPr>
        <w:t xml:space="preserve">           </w:t>
      </w:r>
    </w:p>
    <w:p w14:paraId="572BE33E">
      <w:pPr>
        <w:keepNext w:val="0"/>
        <w:keepLines w:val="0"/>
        <w:pageBreakBefore w:val="0"/>
        <w:kinsoku/>
        <w:wordWrap w:val="0"/>
        <w:overflowPunct/>
        <w:topLinePunct w:val="0"/>
        <w:bidi w:val="0"/>
        <w:adjustRightInd w:val="0"/>
        <w:snapToGrid w:val="0"/>
        <w:spacing w:line="440" w:lineRule="exact"/>
        <w:ind w:right="84" w:rightChars="40"/>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系</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（投标人名称）的法定代表人。</w:t>
      </w:r>
    </w:p>
    <w:p w14:paraId="7898B9FA">
      <w:pPr>
        <w:keepNext w:val="0"/>
        <w:keepLines w:val="0"/>
        <w:pageBreakBefore w:val="0"/>
        <w:kinsoku/>
        <w:wordWrap w:val="0"/>
        <w:overflowPunct/>
        <w:topLinePunct w:val="0"/>
        <w:bidi w:val="0"/>
        <w:adjustRightInd w:val="0"/>
        <w:snapToGrid w:val="0"/>
        <w:ind w:right="84" w:rightChars="40"/>
        <w:rPr>
          <w:rFonts w:hint="eastAsia" w:ascii="宋体" w:hAnsi="宋体" w:eastAsia="宋体" w:cs="宋体"/>
          <w:snapToGrid w:val="0"/>
          <w:color w:val="auto"/>
          <w:spacing w:val="0"/>
          <w:kern w:val="0"/>
          <w:szCs w:val="21"/>
          <w:highlight w:val="none"/>
        </w:rPr>
      </w:pPr>
      <w:r>
        <w:rPr>
          <w:rFonts w:hint="eastAsia" w:ascii="宋体" w:hAnsi="宋体" w:eastAsia="宋体" w:cs="宋体"/>
          <w:snapToGrid w:val="0"/>
          <w:color w:val="auto"/>
          <w:spacing w:val="0"/>
          <w:kern w:val="0"/>
          <w:sz w:val="24"/>
          <w:szCs w:val="24"/>
          <w:highlight w:val="none"/>
        </w:rPr>
        <w:t xml:space="preserve">    特此证明。</w:t>
      </w:r>
    </w:p>
    <w:p w14:paraId="1DA8C0EE">
      <w:pPr>
        <w:pStyle w:val="5"/>
        <w:keepNext w:val="0"/>
        <w:keepLines w:val="0"/>
        <w:pageBreakBefore w:val="0"/>
        <w:kinsoku/>
        <w:wordWrap w:val="0"/>
        <w:overflowPunct/>
        <w:topLinePunct w:val="0"/>
        <w:bidi w:val="0"/>
        <w:spacing w:line="277" w:lineRule="auto"/>
        <w:ind w:right="84" w:rightChars="40"/>
        <w:rPr>
          <w:rFonts w:hint="eastAsia" w:ascii="宋体" w:hAnsi="宋体" w:eastAsia="宋体" w:cs="宋体"/>
          <w:color w:val="auto"/>
          <w:spacing w:val="0"/>
          <w:highlight w:val="none"/>
        </w:rPr>
      </w:pPr>
    </w:p>
    <w:p w14:paraId="46E051EF">
      <w:pPr>
        <w:pStyle w:val="5"/>
        <w:keepNext w:val="0"/>
        <w:keepLines w:val="0"/>
        <w:pageBreakBefore w:val="0"/>
        <w:kinsoku/>
        <w:wordWrap w:val="0"/>
        <w:overflowPunct/>
        <w:topLinePunct w:val="0"/>
        <w:bidi w:val="0"/>
        <w:spacing w:line="277" w:lineRule="auto"/>
        <w:ind w:right="84" w:rightChars="40"/>
        <w:rPr>
          <w:rFonts w:hint="eastAsia" w:ascii="宋体" w:hAnsi="宋体" w:eastAsia="宋体" w:cs="宋体"/>
          <w:color w:val="auto"/>
          <w:spacing w:val="0"/>
          <w:highlight w:val="none"/>
        </w:rPr>
      </w:pPr>
    </w:p>
    <w:p w14:paraId="31074CD7">
      <w:pPr>
        <w:pStyle w:val="5"/>
        <w:keepNext w:val="0"/>
        <w:keepLines w:val="0"/>
        <w:pageBreakBefore w:val="0"/>
        <w:kinsoku/>
        <w:wordWrap w:val="0"/>
        <w:overflowPunct/>
        <w:topLinePunct w:val="0"/>
        <w:bidi w:val="0"/>
        <w:spacing w:line="278" w:lineRule="auto"/>
        <w:ind w:right="84" w:rightChars="40"/>
        <w:rPr>
          <w:rFonts w:hint="eastAsia" w:ascii="宋体" w:hAnsi="宋体" w:eastAsia="宋体" w:cs="宋体"/>
          <w:color w:val="auto"/>
          <w:spacing w:val="0"/>
          <w:highlight w:val="none"/>
        </w:rPr>
      </w:pPr>
    </w:p>
    <w:p w14:paraId="7DE923C3">
      <w:pPr>
        <w:keepNext w:val="0"/>
        <w:keepLines w:val="0"/>
        <w:pageBreakBefore w:val="0"/>
        <w:kinsoku/>
        <w:wordWrap w:val="0"/>
        <w:overflowPunct/>
        <w:topLinePunct w:val="0"/>
        <w:bidi w:val="0"/>
        <w:spacing w:before="78" w:line="219" w:lineRule="auto"/>
        <w:ind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5195DD81">
      <w:pPr>
        <w:pStyle w:val="5"/>
        <w:keepNext w:val="0"/>
        <w:keepLines w:val="0"/>
        <w:pageBreakBefore w:val="0"/>
        <w:kinsoku/>
        <w:wordWrap w:val="0"/>
        <w:overflowPunct/>
        <w:topLinePunct w:val="0"/>
        <w:bidi w:val="0"/>
        <w:spacing w:line="317" w:lineRule="auto"/>
        <w:ind w:right="84" w:rightChars="40"/>
        <w:jc w:val="right"/>
        <w:rPr>
          <w:rFonts w:hint="eastAsia" w:ascii="宋体" w:hAnsi="宋体" w:eastAsia="宋体" w:cs="宋体"/>
          <w:color w:val="auto"/>
          <w:spacing w:val="0"/>
          <w:highlight w:val="none"/>
        </w:rPr>
      </w:pPr>
    </w:p>
    <w:p w14:paraId="355329DE">
      <w:pPr>
        <w:pStyle w:val="5"/>
        <w:keepNext w:val="0"/>
        <w:keepLines w:val="0"/>
        <w:pageBreakBefore w:val="0"/>
        <w:kinsoku/>
        <w:wordWrap w:val="0"/>
        <w:overflowPunct/>
        <w:topLinePunct w:val="0"/>
        <w:bidi w:val="0"/>
        <w:spacing w:line="317" w:lineRule="auto"/>
        <w:ind w:right="84" w:rightChars="40"/>
        <w:jc w:val="right"/>
        <w:rPr>
          <w:rFonts w:hint="eastAsia" w:ascii="宋体" w:hAnsi="宋体" w:eastAsia="宋体" w:cs="宋体"/>
          <w:color w:val="auto"/>
          <w:spacing w:val="0"/>
          <w:highlight w:val="none"/>
        </w:rPr>
      </w:pPr>
    </w:p>
    <w:p w14:paraId="6910EDC1">
      <w:pPr>
        <w:pStyle w:val="5"/>
        <w:keepNext w:val="0"/>
        <w:keepLines w:val="0"/>
        <w:pageBreakBefore w:val="0"/>
        <w:kinsoku/>
        <w:wordWrap w:val="0"/>
        <w:overflowPunct/>
        <w:topLinePunct w:val="0"/>
        <w:bidi w:val="0"/>
        <w:spacing w:line="317" w:lineRule="auto"/>
        <w:ind w:right="84" w:rightChars="40"/>
        <w:jc w:val="right"/>
        <w:rPr>
          <w:rFonts w:hint="eastAsia" w:ascii="宋体" w:hAnsi="宋体" w:eastAsia="宋体" w:cs="宋体"/>
          <w:color w:val="auto"/>
          <w:spacing w:val="0"/>
          <w:highlight w:val="none"/>
        </w:rPr>
      </w:pPr>
    </w:p>
    <w:p w14:paraId="14A7032E">
      <w:pPr>
        <w:keepNext w:val="0"/>
        <w:keepLines w:val="0"/>
        <w:pageBreakBefore w:val="0"/>
        <w:kinsoku/>
        <w:wordWrap w:val="0"/>
        <w:overflowPunct/>
        <w:topLinePunct w:val="0"/>
        <w:bidi w:val="0"/>
        <w:spacing w:before="79" w:line="219" w:lineRule="auto"/>
        <w:ind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109F911F">
      <w:pPr>
        <w:pStyle w:val="5"/>
        <w:keepNext w:val="0"/>
        <w:keepLines w:val="0"/>
        <w:pageBreakBefore w:val="0"/>
        <w:kinsoku/>
        <w:wordWrap w:val="0"/>
        <w:overflowPunct/>
        <w:topLinePunct w:val="0"/>
        <w:bidi w:val="0"/>
        <w:spacing w:line="257" w:lineRule="auto"/>
        <w:ind w:right="84" w:rightChars="40"/>
        <w:jc w:val="right"/>
        <w:rPr>
          <w:rFonts w:hint="eastAsia" w:ascii="宋体" w:hAnsi="宋体" w:eastAsia="宋体" w:cs="宋体"/>
          <w:color w:val="auto"/>
          <w:spacing w:val="0"/>
          <w:highlight w:val="none"/>
        </w:rPr>
      </w:pPr>
    </w:p>
    <w:p w14:paraId="24B1B1E8">
      <w:pPr>
        <w:pStyle w:val="5"/>
        <w:keepNext w:val="0"/>
        <w:keepLines w:val="0"/>
        <w:pageBreakBefore w:val="0"/>
        <w:kinsoku/>
        <w:wordWrap w:val="0"/>
        <w:overflowPunct/>
        <w:topLinePunct w:val="0"/>
        <w:bidi w:val="0"/>
        <w:spacing w:line="257" w:lineRule="auto"/>
        <w:ind w:right="84" w:rightChars="40"/>
        <w:jc w:val="right"/>
        <w:rPr>
          <w:rFonts w:hint="eastAsia" w:ascii="宋体" w:hAnsi="宋体" w:eastAsia="宋体" w:cs="宋体"/>
          <w:color w:val="auto"/>
          <w:spacing w:val="0"/>
          <w:highlight w:val="none"/>
        </w:rPr>
      </w:pPr>
    </w:p>
    <w:p w14:paraId="033908D8">
      <w:pPr>
        <w:pStyle w:val="5"/>
        <w:keepNext w:val="0"/>
        <w:keepLines w:val="0"/>
        <w:pageBreakBefore w:val="0"/>
        <w:kinsoku/>
        <w:wordWrap w:val="0"/>
        <w:overflowPunct/>
        <w:topLinePunct w:val="0"/>
        <w:bidi w:val="0"/>
        <w:spacing w:line="254" w:lineRule="auto"/>
        <w:ind w:right="84" w:rightChars="40"/>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4CB3CC8E">
      <w:pPr>
        <w:pStyle w:val="5"/>
        <w:keepNext w:val="0"/>
        <w:keepLines w:val="0"/>
        <w:pageBreakBefore w:val="0"/>
        <w:kinsoku/>
        <w:wordWrap w:val="0"/>
        <w:overflowPunct/>
        <w:topLinePunct w:val="0"/>
        <w:bidi w:val="0"/>
        <w:spacing w:line="254" w:lineRule="auto"/>
        <w:ind w:right="84" w:rightChars="40"/>
        <w:rPr>
          <w:rFonts w:hint="eastAsia" w:ascii="宋体" w:hAnsi="宋体" w:eastAsia="宋体" w:cs="宋体"/>
          <w:color w:val="auto"/>
          <w:spacing w:val="0"/>
          <w:highlight w:val="none"/>
        </w:rPr>
      </w:pPr>
    </w:p>
    <w:p w14:paraId="1A118B4E">
      <w:pPr>
        <w:pStyle w:val="5"/>
        <w:keepNext w:val="0"/>
        <w:keepLines w:val="0"/>
        <w:pageBreakBefore w:val="0"/>
        <w:kinsoku/>
        <w:wordWrap w:val="0"/>
        <w:overflowPunct/>
        <w:topLinePunct w:val="0"/>
        <w:bidi w:val="0"/>
        <w:spacing w:line="254" w:lineRule="auto"/>
        <w:ind w:right="84" w:rightChars="40"/>
        <w:rPr>
          <w:rFonts w:hint="eastAsia" w:ascii="宋体" w:hAnsi="宋体" w:eastAsia="宋体" w:cs="宋体"/>
          <w:color w:val="auto"/>
          <w:spacing w:val="0"/>
          <w:highlight w:val="none"/>
        </w:rPr>
      </w:pPr>
    </w:p>
    <w:p w14:paraId="29B7FFB7">
      <w:pPr>
        <w:pStyle w:val="5"/>
        <w:keepNext w:val="0"/>
        <w:keepLines w:val="0"/>
        <w:pageBreakBefore w:val="0"/>
        <w:kinsoku/>
        <w:wordWrap w:val="0"/>
        <w:overflowPunct/>
        <w:topLinePunct w:val="0"/>
        <w:bidi w:val="0"/>
        <w:spacing w:line="254" w:lineRule="auto"/>
        <w:ind w:right="84" w:rightChars="40"/>
        <w:rPr>
          <w:rFonts w:hint="eastAsia" w:ascii="宋体" w:hAnsi="宋体" w:eastAsia="宋体" w:cs="宋体"/>
          <w:color w:val="auto"/>
          <w:spacing w:val="0"/>
          <w:highlight w:val="none"/>
        </w:rPr>
      </w:pPr>
    </w:p>
    <w:p w14:paraId="3FB212A0">
      <w:pPr>
        <w:pStyle w:val="5"/>
        <w:keepNext w:val="0"/>
        <w:keepLines w:val="0"/>
        <w:pageBreakBefore w:val="0"/>
        <w:kinsoku/>
        <w:wordWrap w:val="0"/>
        <w:overflowPunct/>
        <w:topLinePunct w:val="0"/>
        <w:bidi w:val="0"/>
        <w:spacing w:line="254" w:lineRule="auto"/>
        <w:ind w:right="84" w:rightChars="40"/>
        <w:rPr>
          <w:rFonts w:hint="eastAsia" w:ascii="宋体" w:hAnsi="宋体" w:eastAsia="宋体" w:cs="宋体"/>
          <w:color w:val="auto"/>
          <w:spacing w:val="0"/>
          <w:highlight w:val="none"/>
        </w:rPr>
      </w:pPr>
    </w:p>
    <w:p w14:paraId="661DD784">
      <w:pPr>
        <w:pStyle w:val="5"/>
        <w:keepNext w:val="0"/>
        <w:keepLines w:val="0"/>
        <w:pageBreakBefore w:val="0"/>
        <w:kinsoku/>
        <w:wordWrap w:val="0"/>
        <w:overflowPunct/>
        <w:topLinePunct w:val="0"/>
        <w:bidi w:val="0"/>
        <w:spacing w:line="255" w:lineRule="auto"/>
        <w:ind w:right="84" w:rightChars="40"/>
        <w:rPr>
          <w:rFonts w:hint="eastAsia" w:ascii="宋体" w:hAnsi="宋体" w:eastAsia="宋体" w:cs="宋体"/>
          <w:color w:val="auto"/>
          <w:spacing w:val="0"/>
          <w:highlight w:val="none"/>
        </w:rPr>
      </w:pPr>
    </w:p>
    <w:p w14:paraId="4F8DA62D">
      <w:pPr>
        <w:pStyle w:val="5"/>
        <w:keepNext w:val="0"/>
        <w:keepLines w:val="0"/>
        <w:pageBreakBefore w:val="0"/>
        <w:kinsoku/>
        <w:wordWrap w:val="0"/>
        <w:overflowPunct/>
        <w:topLinePunct w:val="0"/>
        <w:bidi w:val="0"/>
        <w:spacing w:line="255" w:lineRule="auto"/>
        <w:ind w:right="84" w:rightChars="40"/>
        <w:rPr>
          <w:rFonts w:hint="eastAsia" w:ascii="宋体" w:hAnsi="宋体" w:eastAsia="宋体" w:cs="宋体"/>
          <w:color w:val="auto"/>
          <w:spacing w:val="0"/>
          <w:highlight w:val="none"/>
        </w:rPr>
      </w:pPr>
    </w:p>
    <w:p w14:paraId="67391F7A">
      <w:pPr>
        <w:pStyle w:val="5"/>
        <w:keepNext w:val="0"/>
        <w:keepLines w:val="0"/>
        <w:pageBreakBefore w:val="0"/>
        <w:kinsoku/>
        <w:wordWrap w:val="0"/>
        <w:overflowPunct/>
        <w:topLinePunct w:val="0"/>
        <w:bidi w:val="0"/>
        <w:spacing w:before="1" w:line="2510" w:lineRule="exact"/>
        <w:ind w:right="84" w:rightChars="40" w:firstLine="2534"/>
        <w:rPr>
          <w:rFonts w:hint="eastAsia" w:ascii="宋体" w:hAnsi="宋体" w:eastAsia="宋体" w:cs="宋体"/>
          <w:color w:val="auto"/>
          <w:spacing w:val="0"/>
          <w:highlight w:val="none"/>
        </w:rPr>
      </w:pPr>
      <w:r>
        <w:rPr>
          <w:rFonts w:hint="eastAsia" w:ascii="宋体" w:hAnsi="宋体" w:eastAsia="宋体" w:cs="宋体"/>
          <w:color w:val="auto"/>
          <w:spacing w:val="0"/>
          <w:position w:val="-50"/>
          <w:highlight w:val="none"/>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4"/>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30B2BA37">
                              <w:pPr>
                                <w:spacing w:line="249" w:lineRule="auto"/>
                                <w:rPr>
                                  <w:highlight w:val="none"/>
                                </w:rPr>
                              </w:pPr>
                            </w:p>
                            <w:p w14:paraId="0A32F196">
                              <w:pPr>
                                <w:spacing w:line="249" w:lineRule="auto"/>
                                <w:rPr>
                                  <w:highlight w:val="none"/>
                                </w:rPr>
                              </w:pPr>
                            </w:p>
                            <w:p w14:paraId="6C01FF1E">
                              <w:pPr>
                                <w:spacing w:line="249" w:lineRule="auto"/>
                                <w:rPr>
                                  <w:highlight w:val="none"/>
                                </w:rPr>
                              </w:pPr>
                            </w:p>
                            <w:p w14:paraId="5F468A72">
                              <w:pPr>
                                <w:spacing w:line="249" w:lineRule="auto"/>
                                <w:rPr>
                                  <w:highlight w:val="none"/>
                                </w:rPr>
                              </w:pPr>
                            </w:p>
                            <w:p w14:paraId="3437CEDB">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扫描件</w:t>
                              </w:r>
                              <w:r>
                                <w:rPr>
                                  <w:rFonts w:ascii="宋体" w:hAnsi="宋体" w:eastAsia="宋体" w:cs="宋体"/>
                                  <w:spacing w:val="-1"/>
                                  <w:sz w:val="24"/>
                                  <w:szCs w:val="24"/>
                                  <w:highlight w:val="none"/>
                                </w:rPr>
                                <w:t>正、反面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4"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0B2BA37">
                        <w:pPr>
                          <w:spacing w:line="249" w:lineRule="auto"/>
                          <w:rPr>
                            <w:highlight w:val="none"/>
                          </w:rPr>
                        </w:pPr>
                      </w:p>
                      <w:p w14:paraId="0A32F196">
                        <w:pPr>
                          <w:spacing w:line="249" w:lineRule="auto"/>
                          <w:rPr>
                            <w:highlight w:val="none"/>
                          </w:rPr>
                        </w:pPr>
                      </w:p>
                      <w:p w14:paraId="6C01FF1E">
                        <w:pPr>
                          <w:spacing w:line="249" w:lineRule="auto"/>
                          <w:rPr>
                            <w:highlight w:val="none"/>
                          </w:rPr>
                        </w:pPr>
                      </w:p>
                      <w:p w14:paraId="5F468A72">
                        <w:pPr>
                          <w:spacing w:line="249" w:lineRule="auto"/>
                          <w:rPr>
                            <w:highlight w:val="none"/>
                          </w:rPr>
                        </w:pPr>
                      </w:p>
                      <w:p w14:paraId="3437CEDB">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扫描件</w:t>
                        </w:r>
                        <w:r>
                          <w:rPr>
                            <w:rFonts w:ascii="宋体" w:hAnsi="宋体" w:eastAsia="宋体" w:cs="宋体"/>
                            <w:spacing w:val="-1"/>
                            <w:sz w:val="24"/>
                            <w:szCs w:val="24"/>
                            <w:highlight w:val="none"/>
                          </w:rPr>
                          <w:t>正、反面</w:t>
                        </w:r>
                      </w:p>
                    </w:txbxContent>
                  </v:textbox>
                </v:shape>
                <w10:wrap type="none"/>
                <w10:anchorlock/>
              </v:group>
            </w:pict>
          </mc:Fallback>
        </mc:AlternateContent>
      </w:r>
    </w:p>
    <w:p w14:paraId="2BB2EBC8">
      <w:pPr>
        <w:keepNext w:val="0"/>
        <w:keepLines w:val="0"/>
        <w:pageBreakBefore w:val="0"/>
        <w:kinsoku/>
        <w:wordWrap w:val="0"/>
        <w:overflowPunct/>
        <w:topLinePunct w:val="0"/>
        <w:bidi w:val="0"/>
        <w:spacing w:line="2510" w:lineRule="exact"/>
        <w:ind w:right="84" w:rightChars="40"/>
        <w:rPr>
          <w:rFonts w:hint="eastAsia" w:ascii="宋体" w:hAnsi="宋体" w:eastAsia="宋体" w:cs="宋体"/>
          <w:color w:val="auto"/>
          <w:spacing w:val="0"/>
          <w:highlight w:val="none"/>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DAF3FC7">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38" w:name="_Toc26155"/>
      <w:r>
        <w:rPr>
          <w:rFonts w:hint="eastAsia" w:ascii="宋体" w:hAnsi="宋体" w:eastAsia="宋体" w:cs="宋体"/>
          <w:b/>
          <w:bCs/>
          <w:color w:val="auto"/>
          <w:spacing w:val="0"/>
          <w:sz w:val="24"/>
          <w:szCs w:val="24"/>
          <w:highlight w:val="none"/>
        </w:rPr>
        <w:t>格式六 联合体协议书</w:t>
      </w:r>
      <w:bookmarkEnd w:id="238"/>
    </w:p>
    <w:p w14:paraId="7EE6374E">
      <w:pPr>
        <w:keepNext w:val="0"/>
        <w:keepLines w:val="0"/>
        <w:pageBreakBefore w:val="0"/>
        <w:kinsoku/>
        <w:wordWrap w:val="0"/>
        <w:overflowPunct/>
        <w:topLinePunct w:val="0"/>
        <w:bidi w:val="0"/>
        <w:spacing w:before="98" w:line="219" w:lineRule="auto"/>
        <w:ind w:left="3638" w:right="84" w:rightChars="40"/>
        <w:rPr>
          <w:rFonts w:hint="eastAsia" w:ascii="宋体" w:hAnsi="宋体" w:eastAsia="宋体" w:cs="宋体"/>
          <w:color w:val="auto"/>
          <w:spacing w:val="0"/>
          <w:sz w:val="30"/>
          <w:szCs w:val="30"/>
          <w:highlight w:val="none"/>
        </w:rPr>
      </w:pPr>
      <w:bookmarkStart w:id="239" w:name="bookmark153"/>
      <w:bookmarkEnd w:id="239"/>
      <w:r>
        <w:rPr>
          <w:rFonts w:hint="eastAsia" w:ascii="宋体" w:hAnsi="宋体" w:eastAsia="宋体" w:cs="宋体"/>
          <w:b/>
          <w:bCs/>
          <w:color w:val="auto"/>
          <w:spacing w:val="0"/>
          <w:sz w:val="30"/>
          <w:szCs w:val="30"/>
          <w:highlight w:val="none"/>
        </w:rPr>
        <w:t>联合体协议书</w:t>
      </w:r>
    </w:p>
    <w:p w14:paraId="66B66C30">
      <w:pPr>
        <w:pStyle w:val="5"/>
        <w:keepNext w:val="0"/>
        <w:keepLines w:val="0"/>
        <w:pageBreakBefore w:val="0"/>
        <w:widowControl/>
        <w:kinsoku/>
        <w:wordWrap w:val="0"/>
        <w:overflowPunct/>
        <w:topLinePunct w:val="0"/>
        <w:autoSpaceDE w:val="0"/>
        <w:autoSpaceDN w:val="0"/>
        <w:bidi w:val="0"/>
        <w:adjustRightInd w:val="0"/>
        <w:snapToGrid w:val="0"/>
        <w:spacing w:line="264" w:lineRule="auto"/>
        <w:ind w:right="84" w:rightChars="40"/>
        <w:textAlignment w:val="baseline"/>
        <w:rPr>
          <w:rFonts w:hint="eastAsia" w:ascii="宋体" w:hAnsi="宋体" w:eastAsia="宋体" w:cs="宋体"/>
          <w:color w:val="auto"/>
          <w:spacing w:val="0"/>
          <w:highlight w:val="none"/>
        </w:rPr>
      </w:pPr>
    </w:p>
    <w:p w14:paraId="2B0D39DC">
      <w:pPr>
        <w:keepNext w:val="0"/>
        <w:keepLines w:val="0"/>
        <w:pageBreakBefore w:val="0"/>
        <w:widowControl/>
        <w:kinsoku/>
        <w:wordWrap w:val="0"/>
        <w:overflowPunct/>
        <w:topLinePunct w:val="0"/>
        <w:autoSpaceDE w:val="0"/>
        <w:autoSpaceDN w:val="0"/>
        <w:bidi w:val="0"/>
        <w:adjustRightInd w:val="0"/>
        <w:snapToGrid w:val="0"/>
        <w:spacing w:before="78" w:line="264" w:lineRule="auto"/>
        <w:ind w:left="421" w:right="84" w:rightChars="40"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牵头人名称： </w:t>
      </w:r>
    </w:p>
    <w:p w14:paraId="0F9C623A">
      <w:pPr>
        <w:keepNext w:val="0"/>
        <w:keepLines w:val="0"/>
        <w:pageBreakBefore w:val="0"/>
        <w:widowControl/>
        <w:kinsoku/>
        <w:wordWrap w:val="0"/>
        <w:overflowPunct/>
        <w:topLinePunct w:val="0"/>
        <w:autoSpaceDE w:val="0"/>
        <w:autoSpaceDN w:val="0"/>
        <w:bidi w:val="0"/>
        <w:adjustRightInd w:val="0"/>
        <w:snapToGrid w:val="0"/>
        <w:spacing w:before="78" w:line="264" w:lineRule="auto"/>
        <w:ind w:left="421" w:right="84" w:rightChars="40"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法定代表人： </w:t>
      </w:r>
    </w:p>
    <w:p w14:paraId="61337983">
      <w:pPr>
        <w:keepNext w:val="0"/>
        <w:keepLines w:val="0"/>
        <w:pageBreakBefore w:val="0"/>
        <w:widowControl/>
        <w:kinsoku/>
        <w:wordWrap w:val="0"/>
        <w:overflowPunct/>
        <w:topLinePunct w:val="0"/>
        <w:autoSpaceDE w:val="0"/>
        <w:autoSpaceDN w:val="0"/>
        <w:bidi w:val="0"/>
        <w:adjustRightInd w:val="0"/>
        <w:snapToGrid w:val="0"/>
        <w:spacing w:before="78" w:line="264" w:lineRule="auto"/>
        <w:ind w:left="421" w:right="84" w:rightChars="40"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法定住所：</w:t>
      </w:r>
    </w:p>
    <w:p w14:paraId="0B7EEC45">
      <w:pPr>
        <w:keepNext w:val="0"/>
        <w:keepLines w:val="0"/>
        <w:pageBreakBefore w:val="0"/>
        <w:kinsoku/>
        <w:wordWrap w:val="0"/>
        <w:overflowPunct/>
        <w:topLinePunct w:val="0"/>
        <w:bidi w:val="0"/>
        <w:ind w:right="84" w:rightChars="40"/>
        <w:outlineLvl w:val="9"/>
        <w:rPr>
          <w:rFonts w:hint="eastAsia" w:ascii="宋体" w:hAnsi="宋体" w:eastAsia="宋体" w:cs="宋体"/>
          <w:color w:val="auto"/>
          <w:spacing w:val="0"/>
          <w:highlight w:val="none"/>
        </w:rPr>
      </w:pPr>
    </w:p>
    <w:p w14:paraId="207AD2AE">
      <w:pPr>
        <w:keepNext w:val="0"/>
        <w:keepLines w:val="0"/>
        <w:pageBreakBefore w:val="0"/>
        <w:widowControl/>
        <w:kinsoku/>
        <w:wordWrap w:val="0"/>
        <w:overflowPunct/>
        <w:topLinePunct w:val="0"/>
        <w:autoSpaceDE w:val="0"/>
        <w:autoSpaceDN w:val="0"/>
        <w:bidi w:val="0"/>
        <w:adjustRightInd w:val="0"/>
        <w:snapToGrid w:val="0"/>
        <w:spacing w:before="78" w:line="264" w:lineRule="auto"/>
        <w:ind w:left="421" w:right="84" w:rightChars="4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成员二名称： </w:t>
      </w:r>
    </w:p>
    <w:p w14:paraId="35C3774A">
      <w:pPr>
        <w:keepNext w:val="0"/>
        <w:keepLines w:val="0"/>
        <w:pageBreakBefore w:val="0"/>
        <w:widowControl/>
        <w:kinsoku/>
        <w:wordWrap w:val="0"/>
        <w:overflowPunct/>
        <w:topLinePunct w:val="0"/>
        <w:autoSpaceDE w:val="0"/>
        <w:autoSpaceDN w:val="0"/>
        <w:bidi w:val="0"/>
        <w:adjustRightInd w:val="0"/>
        <w:snapToGrid w:val="0"/>
        <w:spacing w:before="78" w:line="264" w:lineRule="auto"/>
        <w:ind w:left="421" w:right="84" w:rightChars="4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法定代表人： </w:t>
      </w:r>
    </w:p>
    <w:p w14:paraId="4A1D6D63">
      <w:pPr>
        <w:keepNext w:val="0"/>
        <w:keepLines w:val="0"/>
        <w:pageBreakBefore w:val="0"/>
        <w:widowControl/>
        <w:kinsoku/>
        <w:wordWrap w:val="0"/>
        <w:overflowPunct/>
        <w:topLinePunct w:val="0"/>
        <w:autoSpaceDE w:val="0"/>
        <w:autoSpaceDN w:val="0"/>
        <w:bidi w:val="0"/>
        <w:adjustRightInd w:val="0"/>
        <w:snapToGrid w:val="0"/>
        <w:spacing w:before="78" w:line="264" w:lineRule="auto"/>
        <w:ind w:left="421" w:right="84" w:rightChars="4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法定住所：</w:t>
      </w:r>
    </w:p>
    <w:p w14:paraId="7C0F8432">
      <w:pPr>
        <w:keepNext w:val="0"/>
        <w:keepLines w:val="0"/>
        <w:pageBreakBefore w:val="0"/>
        <w:widowControl/>
        <w:kinsoku/>
        <w:wordWrap w:val="0"/>
        <w:overflowPunct/>
        <w:topLinePunct w:val="0"/>
        <w:autoSpaceDE w:val="0"/>
        <w:autoSpaceDN w:val="0"/>
        <w:bidi w:val="0"/>
        <w:adjustRightInd w:val="0"/>
        <w:snapToGrid w:val="0"/>
        <w:spacing w:before="32" w:line="264" w:lineRule="auto"/>
        <w:ind w:left="436" w:right="84" w:rightChars="4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p w14:paraId="09D55383">
      <w:pPr>
        <w:keepNext w:val="0"/>
        <w:keepLines w:val="0"/>
        <w:pageBreakBefore w:val="0"/>
        <w:widowControl/>
        <w:kinsoku/>
        <w:wordWrap w:val="0"/>
        <w:overflowPunct/>
        <w:topLinePunct w:val="0"/>
        <w:autoSpaceDE w:val="0"/>
        <w:autoSpaceDN w:val="0"/>
        <w:bidi w:val="0"/>
        <w:adjustRightInd w:val="0"/>
        <w:snapToGrid w:val="0"/>
        <w:spacing w:before="61" w:line="264" w:lineRule="auto"/>
        <w:ind w:right="84" w:rightChars="40" w:firstLine="422"/>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上述各成员单位经过友好协商，自愿组成联合体，共同参加（项目名称）（以下简 称“本项目 ”）的施工投标并争取赢得本项目施工承包合同（以下简称合同）。现就联合体投标事宜订立如下协议：</w:t>
      </w:r>
    </w:p>
    <w:p w14:paraId="470AEF9A">
      <w:pPr>
        <w:keepNext w:val="0"/>
        <w:keepLines w:val="0"/>
        <w:pageBreakBefore w:val="0"/>
        <w:widowControl/>
        <w:kinsoku/>
        <w:wordWrap w:val="0"/>
        <w:overflowPunct/>
        <w:topLinePunct w:val="0"/>
        <w:autoSpaceDE w:val="0"/>
        <w:autoSpaceDN w:val="0"/>
        <w:bidi w:val="0"/>
        <w:adjustRightInd w:val="0"/>
        <w:snapToGrid w:val="0"/>
        <w:spacing w:before="33" w:line="264" w:lineRule="auto"/>
        <w:ind w:left="499" w:right="84" w:rightChars="4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．（某成员单位名称）为联合体牵头人。</w:t>
      </w:r>
    </w:p>
    <w:p w14:paraId="01E61A89">
      <w:pPr>
        <w:keepNext w:val="0"/>
        <w:keepLines w:val="0"/>
        <w:pageBreakBefore w:val="0"/>
        <w:widowControl/>
        <w:kinsoku/>
        <w:wordWrap w:val="0"/>
        <w:overflowPunct/>
        <w:topLinePunct w:val="0"/>
        <w:autoSpaceDE w:val="0"/>
        <w:autoSpaceDN w:val="0"/>
        <w:bidi w:val="0"/>
        <w:adjustRightInd w:val="0"/>
        <w:snapToGrid w:val="0"/>
        <w:spacing w:before="156" w:line="264" w:lineRule="auto"/>
        <w:ind w:left="1" w:right="84" w:rightChars="40" w:firstLine="474"/>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1F9A22CE">
      <w:pPr>
        <w:keepNext w:val="0"/>
        <w:keepLines w:val="0"/>
        <w:pageBreakBefore w:val="0"/>
        <w:widowControl/>
        <w:kinsoku/>
        <w:wordWrap w:val="0"/>
        <w:overflowPunct/>
        <w:topLinePunct w:val="0"/>
        <w:autoSpaceDE w:val="0"/>
        <w:autoSpaceDN w:val="0"/>
        <w:bidi w:val="0"/>
        <w:adjustRightInd w:val="0"/>
        <w:snapToGrid w:val="0"/>
        <w:spacing w:before="153" w:line="264" w:lineRule="auto"/>
        <w:ind w:left="2" w:right="84" w:rightChars="40" w:firstLine="478"/>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4ADCDF28">
      <w:pPr>
        <w:keepNext w:val="0"/>
        <w:keepLines w:val="0"/>
        <w:pageBreakBefore w:val="0"/>
        <w:widowControl/>
        <w:kinsoku/>
        <w:wordWrap w:val="0"/>
        <w:overflowPunct/>
        <w:topLinePunct w:val="0"/>
        <w:autoSpaceDE w:val="0"/>
        <w:autoSpaceDN w:val="0"/>
        <w:bidi w:val="0"/>
        <w:adjustRightInd w:val="0"/>
        <w:snapToGrid w:val="0"/>
        <w:spacing w:before="154" w:line="264" w:lineRule="auto"/>
        <w:ind w:left="475" w:right="84" w:rightChars="40"/>
        <w:textAlignment w:val="baseline"/>
        <w:outlineLvl w:val="9"/>
        <w:rPr>
          <w:rFonts w:hint="eastAsia" w:ascii="宋体" w:hAnsi="宋体" w:eastAsia="宋体" w:cs="宋体"/>
          <w:color w:val="auto"/>
          <w:spacing w:val="0"/>
          <w:sz w:val="24"/>
          <w:szCs w:val="24"/>
          <w:highlight w:val="none"/>
        </w:rPr>
      </w:pPr>
      <w:bookmarkStart w:id="240" w:name="_Toc32149"/>
      <w:bookmarkStart w:id="241" w:name="_Toc5365"/>
      <w:r>
        <w:rPr>
          <w:rFonts w:hint="eastAsia" w:ascii="宋体" w:hAnsi="宋体" w:eastAsia="宋体" w:cs="宋体"/>
          <w:color w:val="auto"/>
          <w:spacing w:val="0"/>
          <w:sz w:val="24"/>
          <w:szCs w:val="24"/>
          <w:highlight w:val="none"/>
        </w:rPr>
        <w:t>4 ．联合体各成员单位内部的职责分工如下：。</w:t>
      </w:r>
      <w:bookmarkEnd w:id="240"/>
      <w:bookmarkEnd w:id="241"/>
    </w:p>
    <w:p w14:paraId="66972B38">
      <w:pPr>
        <w:keepNext w:val="0"/>
        <w:keepLines w:val="0"/>
        <w:pageBreakBefore w:val="0"/>
        <w:widowControl/>
        <w:kinsoku/>
        <w:wordWrap w:val="0"/>
        <w:overflowPunct/>
        <w:topLinePunct w:val="0"/>
        <w:autoSpaceDE w:val="0"/>
        <w:autoSpaceDN w:val="0"/>
        <w:bidi w:val="0"/>
        <w:adjustRightInd w:val="0"/>
        <w:snapToGrid w:val="0"/>
        <w:spacing w:before="152" w:line="264" w:lineRule="auto"/>
        <w:ind w:right="84" w:rightChars="40" w:firstLine="483"/>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．投标工作和联合体在中标后工程实施过程中的有关费用按各自承担的工作量分摊。</w:t>
      </w:r>
    </w:p>
    <w:p w14:paraId="16602AE1">
      <w:pPr>
        <w:keepNext w:val="0"/>
        <w:keepLines w:val="0"/>
        <w:pageBreakBefore w:val="0"/>
        <w:widowControl/>
        <w:kinsoku/>
        <w:wordWrap w:val="0"/>
        <w:overflowPunct/>
        <w:topLinePunct w:val="0"/>
        <w:autoSpaceDE w:val="0"/>
        <w:autoSpaceDN w:val="0"/>
        <w:bidi w:val="0"/>
        <w:adjustRightInd w:val="0"/>
        <w:snapToGrid w:val="0"/>
        <w:spacing w:before="153" w:line="264" w:lineRule="auto"/>
        <w:ind w:left="4" w:right="84" w:rightChars="40" w:firstLine="477"/>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 ．联合体中标后，本联合体协议是合同的附件，对联合体各成员单位有合同约束力。</w:t>
      </w:r>
    </w:p>
    <w:p w14:paraId="4A791BDA">
      <w:pPr>
        <w:keepNext w:val="0"/>
        <w:keepLines w:val="0"/>
        <w:pageBreakBefore w:val="0"/>
        <w:widowControl/>
        <w:kinsoku/>
        <w:wordWrap w:val="0"/>
        <w:overflowPunct/>
        <w:topLinePunct w:val="0"/>
        <w:autoSpaceDE w:val="0"/>
        <w:autoSpaceDN w:val="0"/>
        <w:bidi w:val="0"/>
        <w:adjustRightInd w:val="0"/>
        <w:snapToGrid w:val="0"/>
        <w:spacing w:before="157" w:line="264" w:lineRule="auto"/>
        <w:ind w:left="6" w:right="84" w:rightChars="40" w:firstLine="473"/>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 ．本协议书自签署之日起生效，联合体未中标或者中标时合同履行完毕后自动失效。</w:t>
      </w:r>
    </w:p>
    <w:p w14:paraId="45E52A06">
      <w:pPr>
        <w:keepNext w:val="0"/>
        <w:keepLines w:val="0"/>
        <w:pageBreakBefore w:val="0"/>
        <w:widowControl/>
        <w:kinsoku/>
        <w:wordWrap w:val="0"/>
        <w:overflowPunct/>
        <w:topLinePunct w:val="0"/>
        <w:autoSpaceDE w:val="0"/>
        <w:autoSpaceDN w:val="0"/>
        <w:bidi w:val="0"/>
        <w:adjustRightInd w:val="0"/>
        <w:snapToGrid w:val="0"/>
        <w:spacing w:before="152" w:line="264" w:lineRule="auto"/>
        <w:ind w:left="486" w:right="84" w:rightChars="40"/>
        <w:textAlignment w:val="baseline"/>
        <w:outlineLvl w:val="9"/>
        <w:rPr>
          <w:rFonts w:hint="eastAsia" w:ascii="宋体" w:hAnsi="宋体" w:eastAsia="宋体" w:cs="宋体"/>
          <w:color w:val="auto"/>
          <w:spacing w:val="0"/>
          <w:sz w:val="24"/>
          <w:szCs w:val="24"/>
          <w:highlight w:val="none"/>
        </w:rPr>
      </w:pPr>
      <w:bookmarkStart w:id="242" w:name="_Toc22612"/>
      <w:bookmarkStart w:id="243" w:name="_Toc26708"/>
      <w:r>
        <w:rPr>
          <w:rFonts w:hint="eastAsia" w:ascii="宋体" w:hAnsi="宋体" w:eastAsia="宋体" w:cs="宋体"/>
          <w:color w:val="auto"/>
          <w:spacing w:val="0"/>
          <w:sz w:val="24"/>
          <w:szCs w:val="24"/>
          <w:highlight w:val="none"/>
        </w:rPr>
        <w:t>8 ．本协议书一式份，联合体成员和招标人各执一份。</w:t>
      </w:r>
      <w:bookmarkEnd w:id="242"/>
      <w:bookmarkEnd w:id="243"/>
    </w:p>
    <w:p w14:paraId="7383C992">
      <w:pPr>
        <w:keepNext w:val="0"/>
        <w:keepLines w:val="0"/>
        <w:pageBreakBefore w:val="0"/>
        <w:widowControl/>
        <w:kinsoku/>
        <w:wordWrap w:val="0"/>
        <w:overflowPunct/>
        <w:topLinePunct w:val="0"/>
        <w:autoSpaceDE w:val="0"/>
        <w:autoSpaceDN w:val="0"/>
        <w:bidi w:val="0"/>
        <w:adjustRightInd w:val="0"/>
        <w:snapToGrid w:val="0"/>
        <w:spacing w:before="78" w:line="264" w:lineRule="auto"/>
        <w:ind w:right="84" w:rightChars="40"/>
        <w:jc w:val="right"/>
        <w:textAlignment w:val="baseline"/>
        <w:rPr>
          <w:rFonts w:hint="eastAsia" w:ascii="宋体" w:hAnsi="宋体" w:eastAsia="宋体" w:cs="宋体"/>
          <w:color w:val="auto"/>
          <w:spacing w:val="0"/>
          <w:sz w:val="24"/>
          <w:szCs w:val="24"/>
          <w:highlight w:val="none"/>
        </w:rPr>
      </w:pPr>
      <w:bookmarkStart w:id="244" w:name="bookmark154"/>
      <w:bookmarkEnd w:id="244"/>
      <w:r>
        <w:rPr>
          <w:rFonts w:hint="eastAsia" w:ascii="宋体" w:hAnsi="宋体" w:eastAsia="宋体" w:cs="宋体"/>
          <w:color w:val="auto"/>
          <w:spacing w:val="0"/>
          <w:sz w:val="24"/>
          <w:szCs w:val="24"/>
          <w:highlight w:val="none"/>
        </w:rPr>
        <w:t>牵头人名称：</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（盖单位章）</w:t>
      </w:r>
    </w:p>
    <w:p w14:paraId="473F3796">
      <w:pPr>
        <w:pStyle w:val="5"/>
        <w:keepNext w:val="0"/>
        <w:keepLines w:val="0"/>
        <w:pageBreakBefore w:val="0"/>
        <w:widowControl/>
        <w:kinsoku/>
        <w:wordWrap w:val="0"/>
        <w:overflowPunct/>
        <w:topLinePunct w:val="0"/>
        <w:autoSpaceDE w:val="0"/>
        <w:autoSpaceDN w:val="0"/>
        <w:bidi w:val="0"/>
        <w:adjustRightInd w:val="0"/>
        <w:snapToGrid w:val="0"/>
        <w:spacing w:line="264" w:lineRule="auto"/>
        <w:ind w:right="84" w:rightChars="40"/>
        <w:textAlignment w:val="baseline"/>
        <w:rPr>
          <w:rFonts w:hint="eastAsia" w:ascii="宋体" w:hAnsi="宋体" w:eastAsia="宋体" w:cs="宋体"/>
          <w:color w:val="auto"/>
          <w:spacing w:val="0"/>
          <w:highlight w:val="none"/>
        </w:rPr>
      </w:pPr>
    </w:p>
    <w:p w14:paraId="5326D8EF">
      <w:pPr>
        <w:keepNext w:val="0"/>
        <w:keepLines w:val="0"/>
        <w:pageBreakBefore w:val="0"/>
        <w:widowControl/>
        <w:kinsoku/>
        <w:wordWrap w:val="0"/>
        <w:overflowPunct/>
        <w:topLinePunct w:val="0"/>
        <w:autoSpaceDE w:val="0"/>
        <w:autoSpaceDN w:val="0"/>
        <w:bidi w:val="0"/>
        <w:adjustRightInd w:val="0"/>
        <w:snapToGrid w:val="0"/>
        <w:spacing w:before="78" w:line="264" w:lineRule="auto"/>
        <w:ind w:right="84" w:rightChars="40"/>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（签字或盖章）</w:t>
      </w:r>
    </w:p>
    <w:p w14:paraId="4A50685C">
      <w:pPr>
        <w:keepNext w:val="0"/>
        <w:keepLines w:val="0"/>
        <w:pageBreakBefore w:val="0"/>
        <w:widowControl/>
        <w:kinsoku/>
        <w:wordWrap w:val="0"/>
        <w:overflowPunct/>
        <w:topLinePunct w:val="0"/>
        <w:autoSpaceDE w:val="0"/>
        <w:autoSpaceDN w:val="0"/>
        <w:bidi w:val="0"/>
        <w:adjustRightInd w:val="0"/>
        <w:snapToGrid w:val="0"/>
        <w:spacing w:before="78" w:line="264" w:lineRule="auto"/>
        <w:ind w:right="84" w:rightChars="40"/>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成员二名称：</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（盖单位章）</w:t>
      </w:r>
    </w:p>
    <w:p w14:paraId="5B247C4F">
      <w:pPr>
        <w:pStyle w:val="5"/>
        <w:keepNext w:val="0"/>
        <w:keepLines w:val="0"/>
        <w:pageBreakBefore w:val="0"/>
        <w:widowControl/>
        <w:kinsoku/>
        <w:wordWrap w:val="0"/>
        <w:overflowPunct/>
        <w:topLinePunct w:val="0"/>
        <w:autoSpaceDE w:val="0"/>
        <w:autoSpaceDN w:val="0"/>
        <w:bidi w:val="0"/>
        <w:adjustRightInd w:val="0"/>
        <w:snapToGrid w:val="0"/>
        <w:spacing w:line="264" w:lineRule="auto"/>
        <w:ind w:right="84" w:rightChars="40"/>
        <w:textAlignment w:val="baseline"/>
        <w:rPr>
          <w:rFonts w:hint="eastAsia" w:ascii="宋体" w:hAnsi="宋体" w:eastAsia="宋体" w:cs="宋体"/>
          <w:color w:val="auto"/>
          <w:spacing w:val="0"/>
          <w:highlight w:val="none"/>
        </w:rPr>
      </w:pPr>
    </w:p>
    <w:p w14:paraId="1EC39C4E">
      <w:pPr>
        <w:keepNext w:val="0"/>
        <w:keepLines w:val="0"/>
        <w:pageBreakBefore w:val="0"/>
        <w:widowControl/>
        <w:kinsoku/>
        <w:wordWrap w:val="0"/>
        <w:overflowPunct/>
        <w:topLinePunct w:val="0"/>
        <w:autoSpaceDE w:val="0"/>
        <w:autoSpaceDN w:val="0"/>
        <w:bidi w:val="0"/>
        <w:adjustRightInd w:val="0"/>
        <w:snapToGrid w:val="0"/>
        <w:spacing w:before="78" w:line="264" w:lineRule="auto"/>
        <w:ind w:right="84" w:rightChars="40"/>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（签字或盖章）</w:t>
      </w:r>
    </w:p>
    <w:p w14:paraId="2C910984">
      <w:pPr>
        <w:keepNext w:val="0"/>
        <w:keepLines w:val="0"/>
        <w:pageBreakBefore w:val="0"/>
        <w:kinsoku/>
        <w:wordWrap w:val="0"/>
        <w:overflowPunct/>
        <w:topLinePunct w:val="0"/>
        <w:bidi w:val="0"/>
        <w:spacing w:before="78" w:line="220" w:lineRule="auto"/>
        <w:ind w:left="6730"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53670306">
      <w:pPr>
        <w:pStyle w:val="5"/>
        <w:keepNext w:val="0"/>
        <w:keepLines w:val="0"/>
        <w:pageBreakBefore w:val="0"/>
        <w:widowControl/>
        <w:kinsoku/>
        <w:wordWrap w:val="0"/>
        <w:overflowPunct/>
        <w:topLinePunct w:val="0"/>
        <w:autoSpaceDE w:val="0"/>
        <w:autoSpaceDN w:val="0"/>
        <w:bidi w:val="0"/>
        <w:adjustRightInd w:val="0"/>
        <w:snapToGrid w:val="0"/>
        <w:spacing w:line="264" w:lineRule="auto"/>
        <w:ind w:right="84" w:rightChars="40"/>
        <w:textAlignment w:val="baseline"/>
        <w:rPr>
          <w:rFonts w:hint="eastAsia" w:ascii="宋体" w:hAnsi="宋体" w:eastAsia="宋体" w:cs="宋体"/>
          <w:color w:val="auto"/>
          <w:spacing w:val="0"/>
          <w:highlight w:val="none"/>
        </w:rPr>
      </w:pPr>
    </w:p>
    <w:p w14:paraId="7C2788A4">
      <w:pPr>
        <w:keepNext w:val="0"/>
        <w:keepLines w:val="0"/>
        <w:pageBreakBefore w:val="0"/>
        <w:widowControl/>
        <w:kinsoku/>
        <w:wordWrap w:val="0"/>
        <w:overflowPunct/>
        <w:topLinePunct w:val="0"/>
        <w:autoSpaceDE w:val="0"/>
        <w:autoSpaceDN w:val="0"/>
        <w:bidi w:val="0"/>
        <w:adjustRightInd w:val="0"/>
        <w:snapToGrid w:val="0"/>
        <w:spacing w:before="65" w:line="264" w:lineRule="auto"/>
        <w:ind w:right="84" w:rightChars="40"/>
        <w:jc w:val="both"/>
        <w:textAlignment w:val="baseline"/>
        <w:rPr>
          <w:rFonts w:hint="eastAsia" w:ascii="宋体" w:hAnsi="宋体" w:eastAsia="宋体" w:cs="宋体"/>
          <w:color w:val="auto"/>
          <w:spacing w:val="0"/>
          <w:sz w:val="20"/>
          <w:szCs w:val="20"/>
          <w:highlight w:val="none"/>
        </w:rPr>
      </w:pPr>
      <w:r>
        <w:rPr>
          <w:rFonts w:hint="eastAsia" w:ascii="宋体" w:hAnsi="宋体" w:eastAsia="宋体" w:cs="宋体"/>
          <w:color w:val="auto"/>
          <w:spacing w:val="0"/>
          <w:sz w:val="20"/>
          <w:szCs w:val="20"/>
          <w:highlight w:val="none"/>
        </w:rPr>
        <w:t>说明：《联合体协议书》 由委托代理人签字或盖章的，应附法定代表人签字或盖章的授权委托书。</w:t>
      </w:r>
    </w:p>
    <w:p w14:paraId="1A78BC6F">
      <w:pPr>
        <w:keepNext w:val="0"/>
        <w:keepLines w:val="0"/>
        <w:pageBreakBefore w:val="0"/>
        <w:widowControl/>
        <w:kinsoku/>
        <w:wordWrap w:val="0"/>
        <w:overflowPunct/>
        <w:topLinePunct w:val="0"/>
        <w:autoSpaceDE w:val="0"/>
        <w:autoSpaceDN w:val="0"/>
        <w:bidi w:val="0"/>
        <w:adjustRightInd w:val="0"/>
        <w:snapToGrid w:val="0"/>
        <w:spacing w:line="264" w:lineRule="auto"/>
        <w:ind w:right="84" w:rightChars="40"/>
        <w:textAlignment w:val="baseline"/>
        <w:rPr>
          <w:rFonts w:hint="eastAsia" w:ascii="宋体" w:hAnsi="宋体" w:eastAsia="宋体" w:cs="宋体"/>
          <w:color w:val="auto"/>
          <w:spacing w:val="0"/>
          <w:sz w:val="20"/>
          <w:szCs w:val="20"/>
          <w:highlight w:val="none"/>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29AF8C9">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45" w:name="_Toc7360"/>
      <w:r>
        <w:rPr>
          <w:rFonts w:hint="eastAsia" w:ascii="宋体" w:hAnsi="宋体" w:eastAsia="宋体" w:cs="宋体"/>
          <w:b/>
          <w:bCs/>
          <w:color w:val="auto"/>
          <w:spacing w:val="0"/>
          <w:sz w:val="24"/>
          <w:szCs w:val="24"/>
          <w:highlight w:val="none"/>
        </w:rPr>
        <w:t>格式七 投标人基本情况表</w:t>
      </w:r>
      <w:bookmarkEnd w:id="245"/>
    </w:p>
    <w:p w14:paraId="3C060929">
      <w:pPr>
        <w:keepNext w:val="0"/>
        <w:keepLines w:val="0"/>
        <w:pageBreakBefore w:val="0"/>
        <w:kinsoku/>
        <w:wordWrap w:val="0"/>
        <w:overflowPunct/>
        <w:topLinePunct w:val="0"/>
        <w:bidi w:val="0"/>
        <w:spacing w:before="333" w:line="219" w:lineRule="auto"/>
        <w:ind w:left="3350" w:right="84" w:rightChars="40"/>
        <w:rPr>
          <w:rFonts w:hint="eastAsia" w:ascii="宋体" w:hAnsi="宋体" w:eastAsia="宋体" w:cs="宋体"/>
          <w:color w:val="auto"/>
          <w:spacing w:val="0"/>
          <w:sz w:val="30"/>
          <w:szCs w:val="30"/>
          <w:highlight w:val="none"/>
        </w:rPr>
      </w:pPr>
      <w:r>
        <w:rPr>
          <w:rFonts w:hint="eastAsia" w:ascii="宋体" w:hAnsi="宋体" w:eastAsia="宋体" w:cs="宋体"/>
          <w:b/>
          <w:bCs/>
          <w:color w:val="auto"/>
          <w:spacing w:val="0"/>
          <w:sz w:val="30"/>
          <w:szCs w:val="30"/>
          <w:highlight w:val="none"/>
        </w:rPr>
        <w:t>投标人基本情况表</w:t>
      </w:r>
    </w:p>
    <w:p w14:paraId="06DA9422">
      <w:pPr>
        <w:keepNext w:val="0"/>
        <w:keepLines w:val="0"/>
        <w:pageBreakBefore w:val="0"/>
        <w:kinsoku/>
        <w:wordWrap w:val="0"/>
        <w:overflowPunct/>
        <w:topLinePunct w:val="0"/>
        <w:bidi w:val="0"/>
        <w:spacing w:line="239" w:lineRule="exact"/>
        <w:ind w:right="84" w:rightChars="40"/>
        <w:rPr>
          <w:rFonts w:hint="eastAsia" w:ascii="宋体" w:hAnsi="宋体" w:eastAsia="宋体" w:cs="宋体"/>
          <w:color w:val="auto"/>
          <w:spacing w:val="0"/>
          <w:highlight w:val="none"/>
        </w:rPr>
      </w:pPr>
    </w:p>
    <w:tbl>
      <w:tblPr>
        <w:tblStyle w:val="14"/>
        <w:tblW w:w="9259" w:type="dxa"/>
        <w:tblInd w:w="2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033E4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74A7C5BF">
            <w:pPr>
              <w:keepNext w:val="0"/>
              <w:keepLines w:val="0"/>
              <w:pageBreakBefore w:val="0"/>
              <w:widowControl/>
              <w:kinsoku/>
              <w:wordWrap w:val="0"/>
              <w:overflowPunct/>
              <w:topLinePunct w:val="0"/>
              <w:autoSpaceDE w:val="0"/>
              <w:autoSpaceDN w:val="0"/>
              <w:bidi w:val="0"/>
              <w:adjustRightInd w:val="0"/>
              <w:snapToGrid w:val="0"/>
              <w:spacing w:before="149"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投标人名称</w:t>
            </w:r>
          </w:p>
        </w:tc>
        <w:tc>
          <w:tcPr>
            <w:tcW w:w="7639" w:type="dxa"/>
            <w:gridSpan w:val="8"/>
            <w:vAlign w:val="center"/>
          </w:tcPr>
          <w:p w14:paraId="0DB2A2CE">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32F10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65451CF9">
            <w:pPr>
              <w:keepNext w:val="0"/>
              <w:keepLines w:val="0"/>
              <w:pageBreakBefore w:val="0"/>
              <w:widowControl/>
              <w:kinsoku/>
              <w:wordWrap w:val="0"/>
              <w:overflowPunct/>
              <w:topLinePunct w:val="0"/>
              <w:autoSpaceDE w:val="0"/>
              <w:autoSpaceDN w:val="0"/>
              <w:bidi w:val="0"/>
              <w:adjustRightInd w:val="0"/>
              <w:snapToGrid w:val="0"/>
              <w:spacing w:before="144"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注册地址</w:t>
            </w:r>
          </w:p>
        </w:tc>
        <w:tc>
          <w:tcPr>
            <w:tcW w:w="3684" w:type="dxa"/>
            <w:gridSpan w:val="3"/>
            <w:vAlign w:val="center"/>
          </w:tcPr>
          <w:p w14:paraId="7BF1DE6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54" w:type="dxa"/>
            <w:gridSpan w:val="2"/>
            <w:vAlign w:val="center"/>
          </w:tcPr>
          <w:p w14:paraId="6E7F119C">
            <w:pPr>
              <w:keepNext w:val="0"/>
              <w:keepLines w:val="0"/>
              <w:pageBreakBefore w:val="0"/>
              <w:widowControl/>
              <w:kinsoku/>
              <w:wordWrap w:val="0"/>
              <w:overflowPunct/>
              <w:topLinePunct w:val="0"/>
              <w:autoSpaceDE w:val="0"/>
              <w:autoSpaceDN w:val="0"/>
              <w:bidi w:val="0"/>
              <w:adjustRightInd w:val="0"/>
              <w:snapToGrid w:val="0"/>
              <w:spacing w:before="144"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邮政编码</w:t>
            </w:r>
          </w:p>
        </w:tc>
        <w:tc>
          <w:tcPr>
            <w:tcW w:w="2601" w:type="dxa"/>
            <w:gridSpan w:val="3"/>
            <w:vAlign w:val="center"/>
          </w:tcPr>
          <w:p w14:paraId="047A44F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75D48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restart"/>
            <w:tcBorders>
              <w:bottom w:val="nil"/>
            </w:tcBorders>
            <w:vAlign w:val="center"/>
          </w:tcPr>
          <w:p w14:paraId="0F6ED57E">
            <w:pPr>
              <w:keepNext w:val="0"/>
              <w:keepLines w:val="0"/>
              <w:pageBreakBefore w:val="0"/>
              <w:widowControl/>
              <w:kinsoku/>
              <w:wordWrap w:val="0"/>
              <w:overflowPunct/>
              <w:topLinePunct w:val="0"/>
              <w:autoSpaceDE w:val="0"/>
              <w:autoSpaceDN w:val="0"/>
              <w:bidi w:val="0"/>
              <w:adjustRightInd w:val="0"/>
              <w:snapToGrid w:val="0"/>
              <w:spacing w:before="65"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联系方式</w:t>
            </w:r>
          </w:p>
        </w:tc>
        <w:tc>
          <w:tcPr>
            <w:tcW w:w="975" w:type="dxa"/>
            <w:vAlign w:val="center"/>
          </w:tcPr>
          <w:p w14:paraId="33FA9D06">
            <w:pPr>
              <w:keepNext w:val="0"/>
              <w:keepLines w:val="0"/>
              <w:pageBreakBefore w:val="0"/>
              <w:widowControl/>
              <w:kinsoku/>
              <w:wordWrap w:val="0"/>
              <w:overflowPunct/>
              <w:topLinePunct w:val="0"/>
              <w:autoSpaceDE w:val="0"/>
              <w:autoSpaceDN w:val="0"/>
              <w:bidi w:val="0"/>
              <w:adjustRightInd w:val="0"/>
              <w:snapToGrid w:val="0"/>
              <w:spacing w:before="145" w:line="231"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联系人</w:t>
            </w:r>
          </w:p>
        </w:tc>
        <w:tc>
          <w:tcPr>
            <w:tcW w:w="2709" w:type="dxa"/>
            <w:gridSpan w:val="2"/>
            <w:vAlign w:val="center"/>
          </w:tcPr>
          <w:p w14:paraId="3A1A86D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54" w:type="dxa"/>
            <w:gridSpan w:val="2"/>
            <w:vAlign w:val="center"/>
          </w:tcPr>
          <w:p w14:paraId="68D00D84">
            <w:pPr>
              <w:keepNext w:val="0"/>
              <w:keepLines w:val="0"/>
              <w:pageBreakBefore w:val="0"/>
              <w:widowControl/>
              <w:kinsoku/>
              <w:wordWrap w:val="0"/>
              <w:overflowPunct/>
              <w:topLinePunct w:val="0"/>
              <w:autoSpaceDE w:val="0"/>
              <w:autoSpaceDN w:val="0"/>
              <w:bidi w:val="0"/>
              <w:adjustRightInd w:val="0"/>
              <w:snapToGrid w:val="0"/>
              <w:spacing w:before="145" w:line="231"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电  话</w:t>
            </w:r>
          </w:p>
        </w:tc>
        <w:tc>
          <w:tcPr>
            <w:tcW w:w="2601" w:type="dxa"/>
            <w:gridSpan w:val="3"/>
            <w:vAlign w:val="center"/>
          </w:tcPr>
          <w:p w14:paraId="478BD977">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0EE24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continue"/>
            <w:tcBorders>
              <w:top w:val="nil"/>
            </w:tcBorders>
            <w:vAlign w:val="center"/>
          </w:tcPr>
          <w:p w14:paraId="7E9A5F01">
            <w:pPr>
              <w:pStyle w:val="27"/>
              <w:keepNext w:val="0"/>
              <w:keepLines w:val="0"/>
              <w:pageBreakBefore w:val="0"/>
              <w:widowControl/>
              <w:kinsoku/>
              <w:wordWrap w:val="0"/>
              <w:overflowPunct/>
              <w:topLinePunct w:val="0"/>
              <w:autoSpaceDE w:val="0"/>
              <w:autoSpaceDN w:val="0"/>
              <w:bidi w:val="0"/>
              <w:adjustRightInd w:val="0"/>
              <w:snapToGrid w:val="0"/>
              <w:spacing w:line="24" w:lineRule="atLeast"/>
              <w:ind w:left="0" w:right="84" w:rightChars="40"/>
              <w:jc w:val="center"/>
              <w:textAlignment w:val="baseline"/>
              <w:rPr>
                <w:rFonts w:hint="eastAsia" w:ascii="宋体" w:hAnsi="宋体" w:eastAsia="宋体" w:cs="宋体"/>
                <w:color w:val="auto"/>
                <w:spacing w:val="0"/>
                <w:sz w:val="24"/>
                <w:szCs w:val="24"/>
                <w:highlight w:val="none"/>
              </w:rPr>
            </w:pPr>
          </w:p>
        </w:tc>
        <w:tc>
          <w:tcPr>
            <w:tcW w:w="975" w:type="dxa"/>
            <w:vAlign w:val="center"/>
          </w:tcPr>
          <w:p w14:paraId="04A5A850">
            <w:pPr>
              <w:keepNext w:val="0"/>
              <w:keepLines w:val="0"/>
              <w:pageBreakBefore w:val="0"/>
              <w:widowControl/>
              <w:kinsoku/>
              <w:wordWrap w:val="0"/>
              <w:overflowPunct/>
              <w:topLinePunct w:val="0"/>
              <w:autoSpaceDE w:val="0"/>
              <w:autoSpaceDN w:val="0"/>
              <w:bidi w:val="0"/>
              <w:adjustRightInd w:val="0"/>
              <w:snapToGrid w:val="0"/>
              <w:spacing w:before="143"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传  真</w:t>
            </w:r>
          </w:p>
        </w:tc>
        <w:tc>
          <w:tcPr>
            <w:tcW w:w="2709" w:type="dxa"/>
            <w:gridSpan w:val="2"/>
            <w:vAlign w:val="center"/>
          </w:tcPr>
          <w:p w14:paraId="408C0231">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54" w:type="dxa"/>
            <w:gridSpan w:val="2"/>
            <w:vAlign w:val="center"/>
          </w:tcPr>
          <w:p w14:paraId="7C350B75">
            <w:pPr>
              <w:keepNext w:val="0"/>
              <w:keepLines w:val="0"/>
              <w:pageBreakBefore w:val="0"/>
              <w:widowControl/>
              <w:kinsoku/>
              <w:wordWrap w:val="0"/>
              <w:overflowPunct/>
              <w:topLinePunct w:val="0"/>
              <w:autoSpaceDE w:val="0"/>
              <w:autoSpaceDN w:val="0"/>
              <w:bidi w:val="0"/>
              <w:adjustRightInd w:val="0"/>
              <w:snapToGrid w:val="0"/>
              <w:spacing w:before="144"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电子邮箱</w:t>
            </w:r>
          </w:p>
        </w:tc>
        <w:tc>
          <w:tcPr>
            <w:tcW w:w="2601" w:type="dxa"/>
            <w:gridSpan w:val="3"/>
            <w:vAlign w:val="center"/>
          </w:tcPr>
          <w:p w14:paraId="717515D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60C3F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33F0792">
            <w:pPr>
              <w:keepNext w:val="0"/>
              <w:keepLines w:val="0"/>
              <w:pageBreakBefore w:val="0"/>
              <w:widowControl/>
              <w:kinsoku/>
              <w:wordWrap w:val="0"/>
              <w:overflowPunct/>
              <w:topLinePunct w:val="0"/>
              <w:autoSpaceDE w:val="0"/>
              <w:autoSpaceDN w:val="0"/>
              <w:bidi w:val="0"/>
              <w:adjustRightInd w:val="0"/>
              <w:snapToGrid w:val="0"/>
              <w:spacing w:before="145"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单位性质</w:t>
            </w:r>
          </w:p>
        </w:tc>
        <w:tc>
          <w:tcPr>
            <w:tcW w:w="7639" w:type="dxa"/>
            <w:gridSpan w:val="8"/>
            <w:vAlign w:val="center"/>
          </w:tcPr>
          <w:p w14:paraId="434E07A5">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3C1E8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78583C86">
            <w:pPr>
              <w:keepNext w:val="0"/>
              <w:keepLines w:val="0"/>
              <w:pageBreakBefore w:val="0"/>
              <w:widowControl/>
              <w:kinsoku/>
              <w:wordWrap w:val="0"/>
              <w:overflowPunct/>
              <w:topLinePunct w:val="0"/>
              <w:autoSpaceDE w:val="0"/>
              <w:autoSpaceDN w:val="0"/>
              <w:bidi w:val="0"/>
              <w:adjustRightInd w:val="0"/>
              <w:snapToGrid w:val="0"/>
              <w:spacing w:before="144"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w:t>
            </w:r>
          </w:p>
        </w:tc>
        <w:tc>
          <w:tcPr>
            <w:tcW w:w="975" w:type="dxa"/>
            <w:vAlign w:val="center"/>
          </w:tcPr>
          <w:p w14:paraId="2CF8127D">
            <w:pPr>
              <w:keepNext w:val="0"/>
              <w:keepLines w:val="0"/>
              <w:pageBreakBefore w:val="0"/>
              <w:widowControl/>
              <w:kinsoku/>
              <w:wordWrap w:val="0"/>
              <w:overflowPunct/>
              <w:topLinePunct w:val="0"/>
              <w:autoSpaceDE w:val="0"/>
              <w:autoSpaceDN w:val="0"/>
              <w:bidi w:val="0"/>
              <w:adjustRightInd w:val="0"/>
              <w:snapToGrid w:val="0"/>
              <w:spacing w:before="144"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姓名</w:t>
            </w:r>
          </w:p>
        </w:tc>
        <w:tc>
          <w:tcPr>
            <w:tcW w:w="1837" w:type="dxa"/>
            <w:vAlign w:val="center"/>
          </w:tcPr>
          <w:p w14:paraId="55F10CB7">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183" w:type="dxa"/>
            <w:gridSpan w:val="2"/>
            <w:vAlign w:val="center"/>
          </w:tcPr>
          <w:p w14:paraId="1248557B">
            <w:pPr>
              <w:keepNext w:val="0"/>
              <w:keepLines w:val="0"/>
              <w:pageBreakBefore w:val="0"/>
              <w:widowControl/>
              <w:kinsoku/>
              <w:wordWrap w:val="0"/>
              <w:overflowPunct/>
              <w:topLinePunct w:val="0"/>
              <w:autoSpaceDE w:val="0"/>
              <w:autoSpaceDN w:val="0"/>
              <w:bidi w:val="0"/>
              <w:adjustRightInd w:val="0"/>
              <w:snapToGrid w:val="0"/>
              <w:spacing w:before="144"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技术职称</w:t>
            </w:r>
          </w:p>
        </w:tc>
        <w:tc>
          <w:tcPr>
            <w:tcW w:w="1326" w:type="dxa"/>
            <w:gridSpan w:val="2"/>
            <w:vAlign w:val="center"/>
          </w:tcPr>
          <w:p w14:paraId="345CCE79">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770" w:type="dxa"/>
            <w:vAlign w:val="center"/>
          </w:tcPr>
          <w:p w14:paraId="63CA2C03">
            <w:pPr>
              <w:keepNext w:val="0"/>
              <w:keepLines w:val="0"/>
              <w:pageBreakBefore w:val="0"/>
              <w:widowControl/>
              <w:kinsoku/>
              <w:wordWrap w:val="0"/>
              <w:overflowPunct/>
              <w:topLinePunct w:val="0"/>
              <w:autoSpaceDE w:val="0"/>
              <w:autoSpaceDN w:val="0"/>
              <w:bidi w:val="0"/>
              <w:adjustRightInd w:val="0"/>
              <w:snapToGrid w:val="0"/>
              <w:spacing w:before="143" w:line="231"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电话</w:t>
            </w:r>
          </w:p>
        </w:tc>
        <w:tc>
          <w:tcPr>
            <w:tcW w:w="1548" w:type="dxa"/>
            <w:vAlign w:val="center"/>
          </w:tcPr>
          <w:p w14:paraId="21775F2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6C9B2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AB30980">
            <w:pPr>
              <w:keepNext w:val="0"/>
              <w:keepLines w:val="0"/>
              <w:pageBreakBefore w:val="0"/>
              <w:widowControl/>
              <w:kinsoku/>
              <w:wordWrap w:val="0"/>
              <w:overflowPunct/>
              <w:topLinePunct w:val="0"/>
              <w:autoSpaceDE w:val="0"/>
              <w:autoSpaceDN w:val="0"/>
              <w:bidi w:val="0"/>
              <w:adjustRightInd w:val="0"/>
              <w:snapToGrid w:val="0"/>
              <w:spacing w:before="145"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成立时间</w:t>
            </w:r>
          </w:p>
        </w:tc>
        <w:tc>
          <w:tcPr>
            <w:tcW w:w="2812" w:type="dxa"/>
            <w:gridSpan w:val="2"/>
            <w:vAlign w:val="center"/>
          </w:tcPr>
          <w:p w14:paraId="1528A619">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4827" w:type="dxa"/>
            <w:gridSpan w:val="6"/>
            <w:vAlign w:val="center"/>
          </w:tcPr>
          <w:p w14:paraId="29648EC6">
            <w:pPr>
              <w:keepNext w:val="0"/>
              <w:keepLines w:val="0"/>
              <w:pageBreakBefore w:val="0"/>
              <w:widowControl/>
              <w:kinsoku/>
              <w:wordWrap w:val="0"/>
              <w:overflowPunct/>
              <w:topLinePunct w:val="0"/>
              <w:autoSpaceDE w:val="0"/>
              <w:autoSpaceDN w:val="0"/>
              <w:bidi w:val="0"/>
              <w:adjustRightInd w:val="0"/>
              <w:snapToGrid w:val="0"/>
              <w:spacing w:before="145"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员工总人数（个）：</w:t>
            </w:r>
          </w:p>
        </w:tc>
      </w:tr>
      <w:tr w14:paraId="1639B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54FA43F">
            <w:pPr>
              <w:keepNext w:val="0"/>
              <w:keepLines w:val="0"/>
              <w:pageBreakBefore w:val="0"/>
              <w:widowControl/>
              <w:kinsoku/>
              <w:wordWrap w:val="0"/>
              <w:overflowPunct/>
              <w:topLinePunct w:val="0"/>
              <w:autoSpaceDE w:val="0"/>
              <w:autoSpaceDN w:val="0"/>
              <w:bidi w:val="0"/>
              <w:adjustRightInd w:val="0"/>
              <w:snapToGrid w:val="0"/>
              <w:spacing w:before="61"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企业资质  </w:t>
            </w:r>
          </w:p>
          <w:p w14:paraId="4BDC0C8F">
            <w:pPr>
              <w:keepNext w:val="0"/>
              <w:keepLines w:val="0"/>
              <w:pageBreakBefore w:val="0"/>
              <w:widowControl/>
              <w:kinsoku/>
              <w:wordWrap w:val="0"/>
              <w:overflowPunct/>
              <w:topLinePunct w:val="0"/>
              <w:autoSpaceDE w:val="0"/>
              <w:autoSpaceDN w:val="0"/>
              <w:bidi w:val="0"/>
              <w:adjustRightInd w:val="0"/>
              <w:snapToGrid w:val="0"/>
              <w:spacing w:before="61"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类型和等级</w:t>
            </w:r>
          </w:p>
        </w:tc>
        <w:tc>
          <w:tcPr>
            <w:tcW w:w="2812" w:type="dxa"/>
            <w:gridSpan w:val="2"/>
            <w:vAlign w:val="center"/>
          </w:tcPr>
          <w:p w14:paraId="177F1066">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183" w:type="dxa"/>
            <w:gridSpan w:val="2"/>
            <w:vMerge w:val="restart"/>
            <w:tcBorders>
              <w:bottom w:val="nil"/>
            </w:tcBorders>
            <w:vAlign w:val="center"/>
          </w:tcPr>
          <w:p w14:paraId="102DBC66">
            <w:pPr>
              <w:keepNext w:val="0"/>
              <w:keepLines w:val="0"/>
              <w:pageBreakBefore w:val="0"/>
              <w:widowControl/>
              <w:kinsoku/>
              <w:wordWrap w:val="0"/>
              <w:overflowPunct/>
              <w:topLinePunct w:val="0"/>
              <w:autoSpaceDE w:val="0"/>
              <w:autoSpaceDN w:val="0"/>
              <w:bidi w:val="0"/>
              <w:adjustRightInd w:val="0"/>
              <w:snapToGrid w:val="0"/>
              <w:spacing w:before="65"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其中</w:t>
            </w:r>
          </w:p>
        </w:tc>
        <w:tc>
          <w:tcPr>
            <w:tcW w:w="2096" w:type="dxa"/>
            <w:gridSpan w:val="3"/>
            <w:vAlign w:val="center"/>
          </w:tcPr>
          <w:p w14:paraId="2278305A">
            <w:pPr>
              <w:keepNext w:val="0"/>
              <w:keepLines w:val="0"/>
              <w:pageBreakBefore w:val="0"/>
              <w:widowControl/>
              <w:kinsoku/>
              <w:wordWrap w:val="0"/>
              <w:overflowPunct/>
              <w:topLinePunct w:val="0"/>
              <w:autoSpaceDE w:val="0"/>
              <w:autoSpaceDN w:val="0"/>
              <w:bidi w:val="0"/>
              <w:adjustRightInd w:val="0"/>
              <w:snapToGrid w:val="0"/>
              <w:spacing w:before="214"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项目经理</w:t>
            </w:r>
          </w:p>
        </w:tc>
        <w:tc>
          <w:tcPr>
            <w:tcW w:w="1548" w:type="dxa"/>
            <w:vAlign w:val="center"/>
          </w:tcPr>
          <w:p w14:paraId="3262520C">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738EE5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E310579">
            <w:pPr>
              <w:keepNext w:val="0"/>
              <w:keepLines w:val="0"/>
              <w:pageBreakBefore w:val="0"/>
              <w:widowControl/>
              <w:kinsoku/>
              <w:wordWrap w:val="0"/>
              <w:overflowPunct/>
              <w:topLinePunct w:val="0"/>
              <w:autoSpaceDE w:val="0"/>
              <w:autoSpaceDN w:val="0"/>
              <w:bidi w:val="0"/>
              <w:adjustRightInd w:val="0"/>
              <w:snapToGrid w:val="0"/>
              <w:spacing w:before="146"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营业执照号</w:t>
            </w:r>
          </w:p>
        </w:tc>
        <w:tc>
          <w:tcPr>
            <w:tcW w:w="2812" w:type="dxa"/>
            <w:gridSpan w:val="2"/>
            <w:vAlign w:val="center"/>
          </w:tcPr>
          <w:p w14:paraId="771E0050">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183" w:type="dxa"/>
            <w:gridSpan w:val="2"/>
            <w:vMerge w:val="continue"/>
            <w:tcBorders>
              <w:top w:val="nil"/>
              <w:bottom w:val="nil"/>
            </w:tcBorders>
            <w:vAlign w:val="center"/>
          </w:tcPr>
          <w:p w14:paraId="5949ACF2">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96" w:type="dxa"/>
            <w:gridSpan w:val="3"/>
            <w:vAlign w:val="center"/>
          </w:tcPr>
          <w:p w14:paraId="6C5F1489">
            <w:pPr>
              <w:keepNext w:val="0"/>
              <w:keepLines w:val="0"/>
              <w:pageBreakBefore w:val="0"/>
              <w:widowControl/>
              <w:kinsoku/>
              <w:wordWrap w:val="0"/>
              <w:overflowPunct/>
              <w:topLinePunct w:val="0"/>
              <w:autoSpaceDE w:val="0"/>
              <w:autoSpaceDN w:val="0"/>
              <w:bidi w:val="0"/>
              <w:adjustRightInd w:val="0"/>
              <w:snapToGrid w:val="0"/>
              <w:spacing w:before="146"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高级职称人员</w:t>
            </w:r>
          </w:p>
        </w:tc>
        <w:tc>
          <w:tcPr>
            <w:tcW w:w="1548" w:type="dxa"/>
            <w:vAlign w:val="center"/>
          </w:tcPr>
          <w:p w14:paraId="484C31E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77906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99E82AD">
            <w:pPr>
              <w:keepNext w:val="0"/>
              <w:keepLines w:val="0"/>
              <w:pageBreakBefore w:val="0"/>
              <w:widowControl/>
              <w:kinsoku/>
              <w:wordWrap w:val="0"/>
              <w:overflowPunct/>
              <w:topLinePunct w:val="0"/>
              <w:autoSpaceDE w:val="0"/>
              <w:autoSpaceDN w:val="0"/>
              <w:bidi w:val="0"/>
              <w:adjustRightInd w:val="0"/>
              <w:snapToGrid w:val="0"/>
              <w:spacing w:before="146"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注册资金</w:t>
            </w:r>
          </w:p>
        </w:tc>
        <w:tc>
          <w:tcPr>
            <w:tcW w:w="2812" w:type="dxa"/>
            <w:gridSpan w:val="2"/>
            <w:vAlign w:val="center"/>
          </w:tcPr>
          <w:p w14:paraId="28BB056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183" w:type="dxa"/>
            <w:gridSpan w:val="2"/>
            <w:vMerge w:val="continue"/>
            <w:tcBorders>
              <w:top w:val="nil"/>
              <w:bottom w:val="nil"/>
            </w:tcBorders>
            <w:vAlign w:val="center"/>
          </w:tcPr>
          <w:p w14:paraId="2B790690">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96" w:type="dxa"/>
            <w:gridSpan w:val="3"/>
            <w:vAlign w:val="center"/>
          </w:tcPr>
          <w:p w14:paraId="27F06363">
            <w:pPr>
              <w:keepNext w:val="0"/>
              <w:keepLines w:val="0"/>
              <w:pageBreakBefore w:val="0"/>
              <w:widowControl/>
              <w:kinsoku/>
              <w:wordWrap w:val="0"/>
              <w:overflowPunct/>
              <w:topLinePunct w:val="0"/>
              <w:autoSpaceDE w:val="0"/>
              <w:autoSpaceDN w:val="0"/>
              <w:bidi w:val="0"/>
              <w:adjustRightInd w:val="0"/>
              <w:snapToGrid w:val="0"/>
              <w:spacing w:before="147"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中级职称人员</w:t>
            </w:r>
          </w:p>
        </w:tc>
        <w:tc>
          <w:tcPr>
            <w:tcW w:w="1548" w:type="dxa"/>
            <w:vAlign w:val="center"/>
          </w:tcPr>
          <w:p w14:paraId="18CD397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453B7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32F27D9">
            <w:pPr>
              <w:keepNext w:val="0"/>
              <w:keepLines w:val="0"/>
              <w:pageBreakBefore w:val="0"/>
              <w:widowControl/>
              <w:kinsoku/>
              <w:wordWrap w:val="0"/>
              <w:overflowPunct/>
              <w:topLinePunct w:val="0"/>
              <w:autoSpaceDE w:val="0"/>
              <w:autoSpaceDN w:val="0"/>
              <w:bidi w:val="0"/>
              <w:adjustRightInd w:val="0"/>
              <w:snapToGrid w:val="0"/>
              <w:spacing w:before="62"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基本账户 </w:t>
            </w:r>
          </w:p>
          <w:p w14:paraId="41955478">
            <w:pPr>
              <w:keepNext w:val="0"/>
              <w:keepLines w:val="0"/>
              <w:pageBreakBefore w:val="0"/>
              <w:widowControl/>
              <w:kinsoku/>
              <w:wordWrap w:val="0"/>
              <w:overflowPunct/>
              <w:topLinePunct w:val="0"/>
              <w:autoSpaceDE w:val="0"/>
              <w:autoSpaceDN w:val="0"/>
              <w:bidi w:val="0"/>
              <w:adjustRightInd w:val="0"/>
              <w:snapToGrid w:val="0"/>
              <w:spacing w:before="62"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开户银行</w:t>
            </w:r>
          </w:p>
        </w:tc>
        <w:tc>
          <w:tcPr>
            <w:tcW w:w="2812" w:type="dxa"/>
            <w:gridSpan w:val="2"/>
            <w:vAlign w:val="center"/>
          </w:tcPr>
          <w:p w14:paraId="65DFBEF7">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183" w:type="dxa"/>
            <w:gridSpan w:val="2"/>
            <w:vMerge w:val="continue"/>
            <w:tcBorders>
              <w:top w:val="nil"/>
              <w:bottom w:val="nil"/>
            </w:tcBorders>
            <w:vAlign w:val="center"/>
          </w:tcPr>
          <w:p w14:paraId="31F677A8">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96" w:type="dxa"/>
            <w:gridSpan w:val="3"/>
            <w:vAlign w:val="center"/>
          </w:tcPr>
          <w:p w14:paraId="0336B438">
            <w:pPr>
              <w:keepNext w:val="0"/>
              <w:keepLines w:val="0"/>
              <w:pageBreakBefore w:val="0"/>
              <w:widowControl/>
              <w:kinsoku/>
              <w:wordWrap w:val="0"/>
              <w:overflowPunct/>
              <w:topLinePunct w:val="0"/>
              <w:autoSpaceDE w:val="0"/>
              <w:autoSpaceDN w:val="0"/>
              <w:bidi w:val="0"/>
              <w:adjustRightInd w:val="0"/>
              <w:snapToGrid w:val="0"/>
              <w:spacing w:before="191" w:line="230"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初级职称人员</w:t>
            </w:r>
          </w:p>
        </w:tc>
        <w:tc>
          <w:tcPr>
            <w:tcW w:w="1548" w:type="dxa"/>
            <w:vAlign w:val="center"/>
          </w:tcPr>
          <w:p w14:paraId="00F898E7">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2E7A6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E52826A">
            <w:pPr>
              <w:keepNext w:val="0"/>
              <w:keepLines w:val="0"/>
              <w:pageBreakBefore w:val="0"/>
              <w:widowControl/>
              <w:kinsoku/>
              <w:wordWrap w:val="0"/>
              <w:overflowPunct/>
              <w:topLinePunct w:val="0"/>
              <w:autoSpaceDE w:val="0"/>
              <w:autoSpaceDN w:val="0"/>
              <w:bidi w:val="0"/>
              <w:adjustRightInd w:val="0"/>
              <w:snapToGrid w:val="0"/>
              <w:spacing w:before="62"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基本账户 </w:t>
            </w:r>
          </w:p>
          <w:p w14:paraId="33D5D73F">
            <w:pPr>
              <w:keepNext w:val="0"/>
              <w:keepLines w:val="0"/>
              <w:pageBreakBefore w:val="0"/>
              <w:widowControl/>
              <w:kinsoku/>
              <w:wordWrap w:val="0"/>
              <w:overflowPunct/>
              <w:topLinePunct w:val="0"/>
              <w:autoSpaceDE w:val="0"/>
              <w:autoSpaceDN w:val="0"/>
              <w:bidi w:val="0"/>
              <w:adjustRightInd w:val="0"/>
              <w:snapToGrid w:val="0"/>
              <w:spacing w:before="62"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银行账号</w:t>
            </w:r>
          </w:p>
        </w:tc>
        <w:tc>
          <w:tcPr>
            <w:tcW w:w="2812" w:type="dxa"/>
            <w:gridSpan w:val="2"/>
            <w:vAlign w:val="center"/>
          </w:tcPr>
          <w:p w14:paraId="60A346F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183" w:type="dxa"/>
            <w:gridSpan w:val="2"/>
            <w:vMerge w:val="continue"/>
            <w:tcBorders>
              <w:top w:val="nil"/>
            </w:tcBorders>
            <w:vAlign w:val="center"/>
          </w:tcPr>
          <w:p w14:paraId="1322C4E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96" w:type="dxa"/>
            <w:gridSpan w:val="3"/>
            <w:vAlign w:val="center"/>
          </w:tcPr>
          <w:p w14:paraId="4D44C804">
            <w:pPr>
              <w:keepNext w:val="0"/>
              <w:keepLines w:val="0"/>
              <w:pageBreakBefore w:val="0"/>
              <w:widowControl/>
              <w:kinsoku/>
              <w:wordWrap w:val="0"/>
              <w:overflowPunct/>
              <w:topLinePunct w:val="0"/>
              <w:autoSpaceDE w:val="0"/>
              <w:autoSpaceDN w:val="0"/>
              <w:bidi w:val="0"/>
              <w:adjustRightInd w:val="0"/>
              <w:snapToGrid w:val="0"/>
              <w:spacing w:before="211"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技术员</w:t>
            </w:r>
          </w:p>
        </w:tc>
        <w:tc>
          <w:tcPr>
            <w:tcW w:w="1548" w:type="dxa"/>
            <w:vAlign w:val="center"/>
          </w:tcPr>
          <w:p w14:paraId="46D2B23A">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6A626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BF7B502">
            <w:pPr>
              <w:keepNext w:val="0"/>
              <w:keepLines w:val="0"/>
              <w:pageBreakBefore w:val="0"/>
              <w:widowControl/>
              <w:kinsoku/>
              <w:wordWrap w:val="0"/>
              <w:overflowPunct/>
              <w:topLinePunct w:val="0"/>
              <w:autoSpaceDE w:val="0"/>
              <w:autoSpaceDN w:val="0"/>
              <w:bidi w:val="0"/>
              <w:adjustRightInd w:val="0"/>
              <w:snapToGrid w:val="0"/>
              <w:spacing w:before="65"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经营范围</w:t>
            </w:r>
          </w:p>
        </w:tc>
        <w:tc>
          <w:tcPr>
            <w:tcW w:w="7639" w:type="dxa"/>
            <w:gridSpan w:val="8"/>
            <w:vAlign w:val="center"/>
          </w:tcPr>
          <w:p w14:paraId="07997BAE">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29A8D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05DF8A32">
            <w:pPr>
              <w:keepNext w:val="0"/>
              <w:keepLines w:val="0"/>
              <w:pageBreakBefore w:val="0"/>
              <w:widowControl/>
              <w:kinsoku/>
              <w:wordWrap w:val="0"/>
              <w:overflowPunct/>
              <w:topLinePunct w:val="0"/>
              <w:autoSpaceDE w:val="0"/>
              <w:autoSpaceDN w:val="0"/>
              <w:bidi w:val="0"/>
              <w:adjustRightInd w:val="0"/>
              <w:snapToGrid w:val="0"/>
              <w:spacing w:before="65" w:line="24" w:lineRule="atLeas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关联企业情况</w:t>
            </w:r>
          </w:p>
        </w:tc>
        <w:tc>
          <w:tcPr>
            <w:tcW w:w="7639" w:type="dxa"/>
            <w:gridSpan w:val="8"/>
            <w:vAlign w:val="center"/>
          </w:tcPr>
          <w:p w14:paraId="1E7ADE4D">
            <w:pPr>
              <w:keepNext w:val="0"/>
              <w:keepLines w:val="0"/>
              <w:pageBreakBefore w:val="0"/>
              <w:widowControl/>
              <w:kinsoku/>
              <w:wordWrap w:val="0"/>
              <w:overflowPunct/>
              <w:topLinePunct w:val="0"/>
              <w:autoSpaceDE w:val="0"/>
              <w:autoSpaceDN w:val="0"/>
              <w:bidi w:val="0"/>
              <w:adjustRightInd w:val="0"/>
              <w:snapToGrid w:val="0"/>
              <w:spacing w:before="168" w:line="228" w:lineRule="auto"/>
              <w:ind w:left="0" w:right="84" w:rightChars="4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包括但不限于与投标人存在以下关系的不同单位：</w:t>
            </w:r>
          </w:p>
          <w:p w14:paraId="0A579FFA">
            <w:pPr>
              <w:keepNext w:val="0"/>
              <w:keepLines w:val="0"/>
              <w:pageBreakBefore w:val="0"/>
              <w:widowControl/>
              <w:kinsoku/>
              <w:wordWrap w:val="0"/>
              <w:overflowPunct/>
              <w:topLinePunct w:val="0"/>
              <w:autoSpaceDE w:val="0"/>
              <w:autoSpaceDN w:val="0"/>
              <w:bidi w:val="0"/>
              <w:adjustRightInd w:val="0"/>
              <w:snapToGrid w:val="0"/>
              <w:spacing w:before="81" w:line="228" w:lineRule="auto"/>
              <w:ind w:left="0" w:right="84" w:rightChars="4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．法定代表人为同一人的。</w:t>
            </w:r>
          </w:p>
          <w:p w14:paraId="20E6965C">
            <w:pPr>
              <w:keepNext w:val="0"/>
              <w:keepLines w:val="0"/>
              <w:pageBreakBefore w:val="0"/>
              <w:widowControl/>
              <w:kinsoku/>
              <w:wordWrap w:val="0"/>
              <w:overflowPunct/>
              <w:topLinePunct w:val="0"/>
              <w:autoSpaceDE w:val="0"/>
              <w:autoSpaceDN w:val="0"/>
              <w:bidi w:val="0"/>
              <w:adjustRightInd w:val="0"/>
              <w:snapToGrid w:val="0"/>
              <w:spacing w:before="81" w:line="228" w:lineRule="auto"/>
              <w:ind w:left="0" w:right="84" w:rightChars="4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．存在控股、管理关系的。</w:t>
            </w:r>
          </w:p>
          <w:p w14:paraId="585BD72F">
            <w:pPr>
              <w:keepNext w:val="0"/>
              <w:keepLines w:val="0"/>
              <w:pageBreakBefore w:val="0"/>
              <w:widowControl/>
              <w:kinsoku/>
              <w:wordWrap w:val="0"/>
              <w:overflowPunct/>
              <w:topLinePunct w:val="0"/>
              <w:autoSpaceDE w:val="0"/>
              <w:autoSpaceDN w:val="0"/>
              <w:bidi w:val="0"/>
              <w:adjustRightInd w:val="0"/>
              <w:snapToGrid w:val="0"/>
              <w:spacing w:before="81" w:line="228" w:lineRule="auto"/>
              <w:ind w:left="0" w:right="84" w:rightChars="4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．主要人员相互任职的。</w:t>
            </w:r>
          </w:p>
        </w:tc>
      </w:tr>
      <w:tr w14:paraId="28D64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A94CEF9">
            <w:pPr>
              <w:keepNext w:val="0"/>
              <w:keepLines w:val="0"/>
              <w:pageBreakBefore w:val="0"/>
              <w:widowControl/>
              <w:kinsoku/>
              <w:wordWrap w:val="0"/>
              <w:overflowPunct/>
              <w:topLinePunct w:val="0"/>
              <w:autoSpaceDE w:val="0"/>
              <w:autoSpaceDN w:val="0"/>
              <w:bidi w:val="0"/>
              <w:adjustRightInd w:val="0"/>
              <w:snapToGrid w:val="0"/>
              <w:spacing w:before="235" w:line="230"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备注</w:t>
            </w:r>
          </w:p>
        </w:tc>
        <w:tc>
          <w:tcPr>
            <w:tcW w:w="7639" w:type="dxa"/>
            <w:gridSpan w:val="8"/>
            <w:vAlign w:val="center"/>
          </w:tcPr>
          <w:p w14:paraId="33A69765">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bl>
    <w:p w14:paraId="34C67D25">
      <w:pPr>
        <w:keepNext w:val="0"/>
        <w:keepLines w:val="0"/>
        <w:pageBreakBefore w:val="0"/>
        <w:widowControl/>
        <w:kinsoku/>
        <w:wordWrap w:val="0"/>
        <w:overflowPunct/>
        <w:topLinePunct w:val="0"/>
        <w:autoSpaceDE w:val="0"/>
        <w:autoSpaceDN w:val="0"/>
        <w:bidi w:val="0"/>
        <w:adjustRightInd w:val="0"/>
        <w:snapToGrid w:val="0"/>
        <w:spacing w:line="30" w:lineRule="atLeast"/>
        <w:ind w:right="84" w:rightChars="40"/>
        <w:textAlignment w:val="baseline"/>
        <w:rPr>
          <w:rFonts w:hint="eastAsia" w:ascii="宋体" w:hAnsi="宋体" w:eastAsia="宋体" w:cs="宋体"/>
          <w:color w:val="auto"/>
          <w:spacing w:val="0"/>
          <w:sz w:val="21"/>
          <w:szCs w:val="21"/>
          <w:highlight w:val="none"/>
        </w:rPr>
      </w:pPr>
    </w:p>
    <w:p w14:paraId="69B31669">
      <w:pPr>
        <w:keepNext w:val="0"/>
        <w:keepLines w:val="0"/>
        <w:pageBreakBefore w:val="0"/>
        <w:widowControl/>
        <w:kinsoku/>
        <w:wordWrap w:val="0"/>
        <w:overflowPunct/>
        <w:topLinePunct w:val="0"/>
        <w:autoSpaceDE w:val="0"/>
        <w:autoSpaceDN w:val="0"/>
        <w:bidi w:val="0"/>
        <w:adjustRightInd w:val="0"/>
        <w:snapToGrid w:val="0"/>
        <w:spacing w:line="30" w:lineRule="atLeast"/>
        <w:ind w:right="84" w:rightChars="4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说明：</w:t>
      </w:r>
    </w:p>
    <w:p w14:paraId="5F7DADAA">
      <w:pPr>
        <w:keepNext w:val="0"/>
        <w:keepLines w:val="0"/>
        <w:pageBreakBefore w:val="0"/>
        <w:widowControl/>
        <w:kinsoku/>
        <w:wordWrap w:val="0"/>
        <w:overflowPunct/>
        <w:topLinePunct w:val="0"/>
        <w:autoSpaceDE w:val="0"/>
        <w:autoSpaceDN w:val="0"/>
        <w:bidi w:val="0"/>
        <w:adjustRightInd w:val="0"/>
        <w:snapToGrid w:val="0"/>
        <w:spacing w:line="30" w:lineRule="atLeast"/>
        <w:ind w:right="84" w:rightChars="40"/>
        <w:textAlignment w:val="baseline"/>
        <w:outlineLvl w:val="9"/>
        <w:rPr>
          <w:rFonts w:hint="eastAsia" w:ascii="宋体" w:hAnsi="宋体" w:eastAsia="宋体" w:cs="宋体"/>
          <w:color w:val="auto"/>
          <w:spacing w:val="0"/>
          <w:sz w:val="21"/>
          <w:szCs w:val="21"/>
          <w:highlight w:val="none"/>
        </w:rPr>
      </w:pPr>
      <w:bookmarkStart w:id="246" w:name="_Toc14048"/>
      <w:bookmarkStart w:id="247" w:name="_Toc5131"/>
      <w:r>
        <w:rPr>
          <w:rFonts w:hint="eastAsia" w:ascii="宋体" w:hAnsi="宋体" w:eastAsia="宋体" w:cs="宋体"/>
          <w:color w:val="auto"/>
          <w:spacing w:val="0"/>
          <w:sz w:val="21"/>
          <w:szCs w:val="21"/>
          <w:highlight w:val="none"/>
        </w:rPr>
        <w:t>1 ．《投标人基本情况表》后应附以下资料：</w:t>
      </w:r>
      <w:bookmarkEnd w:id="246"/>
      <w:bookmarkEnd w:id="247"/>
    </w:p>
    <w:p w14:paraId="230E1626">
      <w:pPr>
        <w:keepNext w:val="0"/>
        <w:keepLines w:val="0"/>
        <w:pageBreakBefore w:val="0"/>
        <w:widowControl/>
        <w:kinsoku/>
        <w:wordWrap w:val="0"/>
        <w:overflowPunct/>
        <w:topLinePunct w:val="0"/>
        <w:autoSpaceDE w:val="0"/>
        <w:autoSpaceDN w:val="0"/>
        <w:bidi w:val="0"/>
        <w:adjustRightInd w:val="0"/>
        <w:snapToGrid w:val="0"/>
        <w:spacing w:line="30" w:lineRule="atLeast"/>
        <w:ind w:right="84" w:rightChars="4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259B1130">
      <w:pPr>
        <w:keepNext w:val="0"/>
        <w:keepLines w:val="0"/>
        <w:pageBreakBefore w:val="0"/>
        <w:widowControl/>
        <w:kinsoku/>
        <w:wordWrap w:val="0"/>
        <w:overflowPunct/>
        <w:topLinePunct w:val="0"/>
        <w:autoSpaceDE w:val="0"/>
        <w:autoSpaceDN w:val="0"/>
        <w:bidi w:val="0"/>
        <w:adjustRightInd w:val="0"/>
        <w:snapToGrid w:val="0"/>
        <w:spacing w:line="30" w:lineRule="atLeast"/>
        <w:ind w:right="84" w:rightChars="4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（2）</w:t>
      </w:r>
      <w:r>
        <w:rPr>
          <w:rFonts w:hint="eastAsia" w:ascii="宋体" w:hAnsi="宋体" w:eastAsia="宋体" w:cs="宋体"/>
          <w:color w:val="auto"/>
          <w:spacing w:val="0"/>
          <w:sz w:val="21"/>
          <w:szCs w:val="21"/>
          <w:highlight w:val="none"/>
        </w:rPr>
        <w:t>“进粤企业和人员诚信信息登记平台 ”企业信息情况打印页。（适用于省外建筑企业）</w:t>
      </w:r>
    </w:p>
    <w:p w14:paraId="49CB0524">
      <w:pPr>
        <w:keepNext w:val="0"/>
        <w:keepLines w:val="0"/>
        <w:pageBreakBefore w:val="0"/>
        <w:widowControl/>
        <w:kinsoku/>
        <w:wordWrap w:val="0"/>
        <w:overflowPunct/>
        <w:topLinePunct w:val="0"/>
        <w:autoSpaceDE w:val="0"/>
        <w:autoSpaceDN w:val="0"/>
        <w:bidi w:val="0"/>
        <w:adjustRightInd w:val="0"/>
        <w:snapToGrid w:val="0"/>
        <w:spacing w:line="30" w:lineRule="atLeast"/>
        <w:ind w:right="84" w:rightChars="4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（3）</w:t>
      </w:r>
      <w:r>
        <w:rPr>
          <w:rFonts w:hint="eastAsia" w:ascii="宋体" w:hAnsi="宋体" w:eastAsia="宋体" w:cs="宋体"/>
          <w:color w:val="auto"/>
          <w:spacing w:val="0"/>
          <w:sz w:val="21"/>
          <w:szCs w:val="21"/>
          <w:highlight w:val="none"/>
        </w:rPr>
        <w:t>《法人和非法人组织公共信用信息报告》（在“信用中国 ”网站企业查询界面中下载）。</w:t>
      </w:r>
    </w:p>
    <w:p w14:paraId="012C8021">
      <w:pPr>
        <w:keepNext w:val="0"/>
        <w:keepLines w:val="0"/>
        <w:pageBreakBefore w:val="0"/>
        <w:widowControl/>
        <w:kinsoku/>
        <w:wordWrap w:val="0"/>
        <w:overflowPunct/>
        <w:topLinePunct w:val="0"/>
        <w:autoSpaceDE w:val="0"/>
        <w:autoSpaceDN w:val="0"/>
        <w:bidi w:val="0"/>
        <w:adjustRightInd w:val="0"/>
        <w:snapToGrid w:val="0"/>
        <w:spacing w:line="30" w:lineRule="atLeast"/>
        <w:ind w:right="84" w:rightChars="40"/>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color w:val="auto"/>
          <w:spacing w:val="0"/>
          <w:sz w:val="21"/>
          <w:szCs w:val="21"/>
          <w:highlight w:val="none"/>
        </w:rPr>
        <w:t>2 ．联合体投标的，联合体成员单位均应填写《投标人基本情况表》并提供以上所需资料。</w:t>
      </w:r>
      <w:r>
        <w:rPr>
          <w:rFonts w:hint="eastAsia" w:ascii="宋体" w:hAnsi="宋体" w:eastAsia="宋体" w:cs="宋体"/>
          <w:b/>
          <w:bCs/>
          <w:color w:val="auto"/>
          <w:spacing w:val="0"/>
          <w:sz w:val="24"/>
          <w:szCs w:val="24"/>
          <w:highlight w:val="none"/>
        </w:rPr>
        <w:br w:type="page"/>
      </w:r>
    </w:p>
    <w:p w14:paraId="2AB7BED9">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48" w:name="_Toc21219"/>
      <w:r>
        <w:rPr>
          <w:rFonts w:hint="eastAsia" w:ascii="宋体" w:hAnsi="宋体" w:eastAsia="宋体" w:cs="宋体"/>
          <w:b/>
          <w:bCs/>
          <w:color w:val="auto"/>
          <w:spacing w:val="0"/>
          <w:sz w:val="24"/>
          <w:szCs w:val="24"/>
          <w:highlight w:val="none"/>
        </w:rPr>
        <w:t>格式八 项目经理简历表</w:t>
      </w:r>
      <w:bookmarkEnd w:id="248"/>
    </w:p>
    <w:p w14:paraId="07245DD0">
      <w:pPr>
        <w:pStyle w:val="5"/>
        <w:keepNext w:val="0"/>
        <w:keepLines w:val="0"/>
        <w:pageBreakBefore w:val="0"/>
        <w:kinsoku/>
        <w:wordWrap w:val="0"/>
        <w:overflowPunct/>
        <w:topLinePunct w:val="0"/>
        <w:bidi w:val="0"/>
        <w:spacing w:line="444" w:lineRule="auto"/>
        <w:ind w:right="84" w:rightChars="40"/>
        <w:rPr>
          <w:rFonts w:hint="eastAsia" w:ascii="宋体" w:hAnsi="宋体" w:eastAsia="宋体" w:cs="宋体"/>
          <w:color w:val="auto"/>
          <w:spacing w:val="0"/>
          <w:highlight w:val="none"/>
        </w:rPr>
      </w:pPr>
    </w:p>
    <w:p w14:paraId="0C78A5C7">
      <w:pPr>
        <w:keepNext w:val="0"/>
        <w:keepLines w:val="0"/>
        <w:pageBreakBefore w:val="0"/>
        <w:kinsoku/>
        <w:wordWrap w:val="0"/>
        <w:overflowPunct/>
        <w:topLinePunct w:val="0"/>
        <w:bidi w:val="0"/>
        <w:spacing w:before="97" w:line="219" w:lineRule="auto"/>
        <w:ind w:left="3538" w:right="84" w:rightChars="40"/>
        <w:outlineLvl w:val="9"/>
        <w:rPr>
          <w:rFonts w:hint="eastAsia" w:ascii="宋体" w:hAnsi="宋体" w:eastAsia="宋体" w:cs="宋体"/>
          <w:color w:val="auto"/>
          <w:spacing w:val="0"/>
          <w:sz w:val="30"/>
          <w:szCs w:val="30"/>
          <w:highlight w:val="none"/>
        </w:rPr>
      </w:pPr>
      <w:bookmarkStart w:id="249" w:name="bookmark156"/>
      <w:bookmarkEnd w:id="249"/>
      <w:bookmarkStart w:id="250" w:name="bookmark89"/>
      <w:bookmarkEnd w:id="250"/>
      <w:bookmarkStart w:id="251" w:name="_Toc31533"/>
      <w:bookmarkStart w:id="252" w:name="_Toc24489"/>
      <w:r>
        <w:rPr>
          <w:rFonts w:hint="eastAsia" w:ascii="宋体" w:hAnsi="宋体" w:eastAsia="宋体" w:cs="宋体"/>
          <w:b/>
          <w:bCs/>
          <w:color w:val="auto"/>
          <w:spacing w:val="0"/>
          <w:sz w:val="30"/>
          <w:szCs w:val="30"/>
          <w:highlight w:val="none"/>
        </w:rPr>
        <w:t>项目经理简历表</w:t>
      </w:r>
      <w:bookmarkEnd w:id="251"/>
      <w:bookmarkEnd w:id="252"/>
    </w:p>
    <w:p w14:paraId="733B316D">
      <w:pPr>
        <w:keepNext w:val="0"/>
        <w:keepLines w:val="0"/>
        <w:pageBreakBefore w:val="0"/>
        <w:kinsoku/>
        <w:wordWrap w:val="0"/>
        <w:overflowPunct/>
        <w:topLinePunct w:val="0"/>
        <w:bidi w:val="0"/>
        <w:spacing w:line="240" w:lineRule="exact"/>
        <w:ind w:right="84" w:rightChars="40"/>
        <w:rPr>
          <w:rFonts w:hint="eastAsia" w:ascii="宋体" w:hAnsi="宋体" w:eastAsia="宋体" w:cs="宋体"/>
          <w:color w:val="auto"/>
          <w:spacing w:val="0"/>
          <w:highlight w:val="none"/>
        </w:rPr>
      </w:pPr>
    </w:p>
    <w:tbl>
      <w:tblPr>
        <w:tblStyle w:val="14"/>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52897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center"/>
          </w:tcPr>
          <w:p w14:paraId="4005FF2B">
            <w:pPr>
              <w:keepNext w:val="0"/>
              <w:keepLines w:val="0"/>
              <w:pageBreakBefore w:val="0"/>
              <w:widowControl/>
              <w:kinsoku/>
              <w:wordWrap w:val="0"/>
              <w:overflowPunct/>
              <w:topLinePunct w:val="0"/>
              <w:autoSpaceDE w:val="0"/>
              <w:autoSpaceDN w:val="0"/>
              <w:bidi w:val="0"/>
              <w:adjustRightInd w:val="0"/>
              <w:snapToGrid w:val="0"/>
              <w:spacing w:before="177"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姓   名</w:t>
            </w:r>
          </w:p>
        </w:tc>
        <w:tc>
          <w:tcPr>
            <w:tcW w:w="1294" w:type="dxa"/>
            <w:gridSpan w:val="2"/>
            <w:vAlign w:val="center"/>
          </w:tcPr>
          <w:p w14:paraId="459C112F">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57" w:type="dxa"/>
            <w:vAlign w:val="center"/>
          </w:tcPr>
          <w:p w14:paraId="1B35C805">
            <w:pPr>
              <w:keepNext w:val="0"/>
              <w:keepLines w:val="0"/>
              <w:pageBreakBefore w:val="0"/>
              <w:widowControl/>
              <w:kinsoku/>
              <w:wordWrap w:val="0"/>
              <w:overflowPunct/>
              <w:topLinePunct w:val="0"/>
              <w:autoSpaceDE w:val="0"/>
              <w:autoSpaceDN w:val="0"/>
              <w:bidi w:val="0"/>
              <w:adjustRightInd w:val="0"/>
              <w:snapToGrid w:val="0"/>
              <w:spacing w:before="177"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性  别</w:t>
            </w:r>
          </w:p>
        </w:tc>
        <w:tc>
          <w:tcPr>
            <w:tcW w:w="2062" w:type="dxa"/>
            <w:vAlign w:val="center"/>
          </w:tcPr>
          <w:p w14:paraId="606F045A">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144F8EEA">
            <w:pPr>
              <w:keepNext w:val="0"/>
              <w:keepLines w:val="0"/>
              <w:pageBreakBefore w:val="0"/>
              <w:widowControl/>
              <w:kinsoku/>
              <w:wordWrap w:val="0"/>
              <w:overflowPunct/>
              <w:topLinePunct w:val="0"/>
              <w:autoSpaceDE w:val="0"/>
              <w:autoSpaceDN w:val="0"/>
              <w:bidi w:val="0"/>
              <w:adjustRightInd w:val="0"/>
              <w:snapToGrid w:val="0"/>
              <w:spacing w:before="177"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龄</w:t>
            </w:r>
          </w:p>
        </w:tc>
        <w:tc>
          <w:tcPr>
            <w:tcW w:w="1398" w:type="dxa"/>
            <w:vAlign w:val="center"/>
          </w:tcPr>
          <w:p w14:paraId="248A87D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7C7B6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center"/>
          </w:tcPr>
          <w:p w14:paraId="6C5EBB96">
            <w:pPr>
              <w:keepNext w:val="0"/>
              <w:keepLines w:val="0"/>
              <w:pageBreakBefore w:val="0"/>
              <w:widowControl/>
              <w:kinsoku/>
              <w:wordWrap w:val="0"/>
              <w:overflowPunct/>
              <w:topLinePunct w:val="0"/>
              <w:autoSpaceDE w:val="0"/>
              <w:autoSpaceDN w:val="0"/>
              <w:bidi w:val="0"/>
              <w:adjustRightInd w:val="0"/>
              <w:snapToGrid w:val="0"/>
              <w:spacing w:before="175"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务</w:t>
            </w:r>
          </w:p>
        </w:tc>
        <w:tc>
          <w:tcPr>
            <w:tcW w:w="1294" w:type="dxa"/>
            <w:gridSpan w:val="2"/>
            <w:vAlign w:val="center"/>
          </w:tcPr>
          <w:p w14:paraId="49703266">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57" w:type="dxa"/>
            <w:vAlign w:val="center"/>
          </w:tcPr>
          <w:p w14:paraId="275BEF66">
            <w:pPr>
              <w:keepNext w:val="0"/>
              <w:keepLines w:val="0"/>
              <w:pageBreakBefore w:val="0"/>
              <w:widowControl/>
              <w:kinsoku/>
              <w:wordWrap w:val="0"/>
              <w:overflowPunct/>
              <w:topLinePunct w:val="0"/>
              <w:autoSpaceDE w:val="0"/>
              <w:autoSpaceDN w:val="0"/>
              <w:bidi w:val="0"/>
              <w:adjustRightInd w:val="0"/>
              <w:snapToGrid w:val="0"/>
              <w:spacing w:before="174" w:line="231"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称</w:t>
            </w:r>
          </w:p>
        </w:tc>
        <w:tc>
          <w:tcPr>
            <w:tcW w:w="2062" w:type="dxa"/>
            <w:vAlign w:val="center"/>
          </w:tcPr>
          <w:p w14:paraId="16D1E87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3B726250">
            <w:pPr>
              <w:keepNext w:val="0"/>
              <w:keepLines w:val="0"/>
              <w:pageBreakBefore w:val="0"/>
              <w:widowControl/>
              <w:kinsoku/>
              <w:wordWrap w:val="0"/>
              <w:overflowPunct/>
              <w:topLinePunct w:val="0"/>
              <w:autoSpaceDE w:val="0"/>
              <w:autoSpaceDN w:val="0"/>
              <w:bidi w:val="0"/>
              <w:adjustRightInd w:val="0"/>
              <w:snapToGrid w:val="0"/>
              <w:spacing w:before="175" w:line="230"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学   历</w:t>
            </w:r>
          </w:p>
        </w:tc>
        <w:tc>
          <w:tcPr>
            <w:tcW w:w="1398" w:type="dxa"/>
            <w:vAlign w:val="center"/>
          </w:tcPr>
          <w:p w14:paraId="18686FE9">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58DD0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center"/>
          </w:tcPr>
          <w:p w14:paraId="6CA0A6E3">
            <w:pPr>
              <w:keepNext w:val="0"/>
              <w:keepLines w:val="0"/>
              <w:pageBreakBefore w:val="0"/>
              <w:widowControl/>
              <w:kinsoku/>
              <w:wordWrap w:val="0"/>
              <w:overflowPunct/>
              <w:topLinePunct w:val="0"/>
              <w:autoSpaceDE w:val="0"/>
              <w:autoSpaceDN w:val="0"/>
              <w:bidi w:val="0"/>
              <w:adjustRightInd w:val="0"/>
              <w:snapToGrid w:val="0"/>
              <w:spacing w:before="175"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参加工作时间</w:t>
            </w:r>
          </w:p>
        </w:tc>
        <w:tc>
          <w:tcPr>
            <w:tcW w:w="2651" w:type="dxa"/>
            <w:gridSpan w:val="3"/>
            <w:vAlign w:val="center"/>
          </w:tcPr>
          <w:p w14:paraId="1D8F273A">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3860" w:type="dxa"/>
            <w:gridSpan w:val="2"/>
            <w:vAlign w:val="center"/>
          </w:tcPr>
          <w:p w14:paraId="1DCA2560">
            <w:pPr>
              <w:keepNext w:val="0"/>
              <w:keepLines w:val="0"/>
              <w:pageBreakBefore w:val="0"/>
              <w:widowControl/>
              <w:kinsoku/>
              <w:wordWrap w:val="0"/>
              <w:overflowPunct/>
              <w:topLinePunct w:val="0"/>
              <w:autoSpaceDE w:val="0"/>
              <w:autoSpaceDN w:val="0"/>
              <w:bidi w:val="0"/>
              <w:adjustRightInd w:val="0"/>
              <w:snapToGrid w:val="0"/>
              <w:spacing w:before="176"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从事工程建设项目管理工作年限</w:t>
            </w:r>
          </w:p>
        </w:tc>
        <w:tc>
          <w:tcPr>
            <w:tcW w:w="1398" w:type="dxa"/>
            <w:vAlign w:val="center"/>
          </w:tcPr>
          <w:p w14:paraId="55F6DD2C">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35205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center"/>
          </w:tcPr>
          <w:p w14:paraId="1985FCD7">
            <w:pPr>
              <w:keepNext w:val="0"/>
              <w:keepLines w:val="0"/>
              <w:pageBreakBefore w:val="0"/>
              <w:widowControl/>
              <w:kinsoku/>
              <w:wordWrap w:val="0"/>
              <w:overflowPunct/>
              <w:topLinePunct w:val="0"/>
              <w:autoSpaceDE w:val="0"/>
              <w:autoSpaceDN w:val="0"/>
              <w:bidi w:val="0"/>
              <w:adjustRightInd w:val="0"/>
              <w:snapToGrid w:val="0"/>
              <w:spacing w:before="176"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以项目经理身份参与过的主要业绩（已完工项目）</w:t>
            </w:r>
          </w:p>
        </w:tc>
      </w:tr>
      <w:tr w14:paraId="6A55E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center"/>
          </w:tcPr>
          <w:p w14:paraId="226DD453">
            <w:pPr>
              <w:keepNext w:val="0"/>
              <w:keepLines w:val="0"/>
              <w:pageBreakBefore w:val="0"/>
              <w:widowControl/>
              <w:kinsoku/>
              <w:wordWrap w:val="0"/>
              <w:overflowPunct/>
              <w:topLinePunct w:val="0"/>
              <w:autoSpaceDE w:val="0"/>
              <w:autoSpaceDN w:val="0"/>
              <w:bidi w:val="0"/>
              <w:adjustRightInd w:val="0"/>
              <w:snapToGrid w:val="0"/>
              <w:spacing w:before="176" w:line="230"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1624" w:type="dxa"/>
            <w:gridSpan w:val="2"/>
            <w:vAlign w:val="center"/>
          </w:tcPr>
          <w:p w14:paraId="67B2AAAA">
            <w:pPr>
              <w:keepNext w:val="0"/>
              <w:keepLines w:val="0"/>
              <w:pageBreakBefore w:val="0"/>
              <w:widowControl/>
              <w:kinsoku/>
              <w:wordWrap w:val="0"/>
              <w:overflowPunct/>
              <w:topLinePunct w:val="0"/>
              <w:autoSpaceDE w:val="0"/>
              <w:autoSpaceDN w:val="0"/>
              <w:bidi w:val="0"/>
              <w:adjustRightInd w:val="0"/>
              <w:snapToGrid w:val="0"/>
              <w:spacing w:before="176"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项目名称</w:t>
            </w:r>
          </w:p>
        </w:tc>
        <w:tc>
          <w:tcPr>
            <w:tcW w:w="2037" w:type="dxa"/>
            <w:gridSpan w:val="2"/>
            <w:vAlign w:val="center"/>
          </w:tcPr>
          <w:p w14:paraId="4801985C">
            <w:pPr>
              <w:keepNext w:val="0"/>
              <w:keepLines w:val="0"/>
              <w:pageBreakBefore w:val="0"/>
              <w:widowControl/>
              <w:kinsoku/>
              <w:wordWrap w:val="0"/>
              <w:overflowPunct/>
              <w:topLinePunct w:val="0"/>
              <w:autoSpaceDE w:val="0"/>
              <w:autoSpaceDN w:val="0"/>
              <w:bidi w:val="0"/>
              <w:adjustRightInd w:val="0"/>
              <w:snapToGrid w:val="0"/>
              <w:spacing w:before="176"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2062" w:type="dxa"/>
            <w:vAlign w:val="center"/>
          </w:tcPr>
          <w:p w14:paraId="027FA0A0">
            <w:pPr>
              <w:keepNext w:val="0"/>
              <w:keepLines w:val="0"/>
              <w:pageBreakBefore w:val="0"/>
              <w:widowControl/>
              <w:kinsoku/>
              <w:wordWrap w:val="0"/>
              <w:overflowPunct/>
              <w:topLinePunct w:val="0"/>
              <w:autoSpaceDE w:val="0"/>
              <w:autoSpaceDN w:val="0"/>
              <w:bidi w:val="0"/>
              <w:adjustRightInd w:val="0"/>
              <w:snapToGrid w:val="0"/>
              <w:spacing w:before="176"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建设内容和规模</w:t>
            </w:r>
          </w:p>
        </w:tc>
        <w:tc>
          <w:tcPr>
            <w:tcW w:w="1798" w:type="dxa"/>
            <w:vAlign w:val="center"/>
          </w:tcPr>
          <w:p w14:paraId="13665F3A">
            <w:pPr>
              <w:keepNext w:val="0"/>
              <w:keepLines w:val="0"/>
              <w:pageBreakBefore w:val="0"/>
              <w:widowControl/>
              <w:kinsoku/>
              <w:wordWrap w:val="0"/>
              <w:overflowPunct/>
              <w:topLinePunct w:val="0"/>
              <w:autoSpaceDE w:val="0"/>
              <w:autoSpaceDN w:val="0"/>
              <w:bidi w:val="0"/>
              <w:adjustRightInd w:val="0"/>
              <w:snapToGrid w:val="0"/>
              <w:spacing w:before="176"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开、竣工日期</w:t>
            </w:r>
          </w:p>
        </w:tc>
        <w:tc>
          <w:tcPr>
            <w:tcW w:w="1398" w:type="dxa"/>
            <w:vAlign w:val="center"/>
          </w:tcPr>
          <w:p w14:paraId="1363170B">
            <w:pPr>
              <w:keepNext w:val="0"/>
              <w:keepLines w:val="0"/>
              <w:pageBreakBefore w:val="0"/>
              <w:widowControl/>
              <w:kinsoku/>
              <w:wordWrap w:val="0"/>
              <w:overflowPunct/>
              <w:topLinePunct w:val="0"/>
              <w:autoSpaceDE w:val="0"/>
              <w:autoSpaceDN w:val="0"/>
              <w:bidi w:val="0"/>
              <w:adjustRightInd w:val="0"/>
              <w:snapToGrid w:val="0"/>
              <w:spacing w:before="176"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质量等级</w:t>
            </w:r>
          </w:p>
        </w:tc>
      </w:tr>
      <w:tr w14:paraId="69665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67F61AFB">
            <w:pPr>
              <w:keepNext w:val="0"/>
              <w:keepLines w:val="0"/>
              <w:pageBreakBefore w:val="0"/>
              <w:widowControl/>
              <w:kinsoku/>
              <w:wordWrap w:val="0"/>
              <w:overflowPunct/>
              <w:topLinePunct w:val="0"/>
              <w:autoSpaceDE w:val="0"/>
              <w:autoSpaceDN w:val="0"/>
              <w:bidi w:val="0"/>
              <w:adjustRightInd w:val="0"/>
              <w:snapToGrid w:val="0"/>
              <w:spacing w:before="214" w:line="195"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624" w:type="dxa"/>
            <w:gridSpan w:val="2"/>
            <w:vAlign w:val="center"/>
          </w:tcPr>
          <w:p w14:paraId="6B906EE2">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39014A66">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015E44A0">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191B5C4F">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5601622C">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7ADBD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center"/>
          </w:tcPr>
          <w:p w14:paraId="2D37EB61">
            <w:pPr>
              <w:keepNext w:val="0"/>
              <w:keepLines w:val="0"/>
              <w:pageBreakBefore w:val="0"/>
              <w:widowControl/>
              <w:kinsoku/>
              <w:wordWrap w:val="0"/>
              <w:overflowPunct/>
              <w:topLinePunct w:val="0"/>
              <w:autoSpaceDE w:val="0"/>
              <w:autoSpaceDN w:val="0"/>
              <w:bidi w:val="0"/>
              <w:adjustRightInd w:val="0"/>
              <w:snapToGrid w:val="0"/>
              <w:spacing w:before="213" w:line="195"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624" w:type="dxa"/>
            <w:gridSpan w:val="2"/>
            <w:vAlign w:val="center"/>
          </w:tcPr>
          <w:p w14:paraId="3F9424A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5C8C87A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4B5D2BB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347BC37F">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0D3458B9">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7612B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3C8FBE28">
            <w:pPr>
              <w:keepNext w:val="0"/>
              <w:keepLines w:val="0"/>
              <w:pageBreakBefore w:val="0"/>
              <w:widowControl/>
              <w:kinsoku/>
              <w:wordWrap w:val="0"/>
              <w:overflowPunct/>
              <w:topLinePunct w:val="0"/>
              <w:autoSpaceDE w:val="0"/>
              <w:autoSpaceDN w:val="0"/>
              <w:bidi w:val="0"/>
              <w:adjustRightInd w:val="0"/>
              <w:snapToGrid w:val="0"/>
              <w:spacing w:before="213" w:line="195"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w:t>
            </w:r>
          </w:p>
        </w:tc>
        <w:tc>
          <w:tcPr>
            <w:tcW w:w="1624" w:type="dxa"/>
            <w:gridSpan w:val="2"/>
            <w:vAlign w:val="center"/>
          </w:tcPr>
          <w:p w14:paraId="05CB1FA8">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67C95E4D">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0F3F3FCD">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7EEF915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1073B937">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75BEC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center"/>
          </w:tcPr>
          <w:p w14:paraId="68FD65E9">
            <w:pPr>
              <w:keepNext w:val="0"/>
              <w:keepLines w:val="0"/>
              <w:pageBreakBefore w:val="0"/>
              <w:widowControl/>
              <w:kinsoku/>
              <w:wordWrap w:val="0"/>
              <w:overflowPunct/>
              <w:topLinePunct w:val="0"/>
              <w:autoSpaceDE w:val="0"/>
              <w:autoSpaceDN w:val="0"/>
              <w:bidi w:val="0"/>
              <w:adjustRightInd w:val="0"/>
              <w:snapToGrid w:val="0"/>
              <w:spacing w:before="177" w:line="325" w:lineRule="exac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624" w:type="dxa"/>
            <w:gridSpan w:val="2"/>
            <w:vAlign w:val="center"/>
          </w:tcPr>
          <w:p w14:paraId="11BEC3EF">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3178352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01C4C87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7DE5047D">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26308B2C">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bl>
    <w:p w14:paraId="2A57AD35">
      <w:pPr>
        <w:pStyle w:val="5"/>
        <w:keepNext w:val="0"/>
        <w:keepLines w:val="0"/>
        <w:pageBreakBefore w:val="0"/>
        <w:kinsoku/>
        <w:wordWrap w:val="0"/>
        <w:overflowPunct/>
        <w:topLinePunct w:val="0"/>
        <w:bidi w:val="0"/>
        <w:spacing w:line="315" w:lineRule="auto"/>
        <w:ind w:right="84" w:rightChars="40"/>
        <w:rPr>
          <w:rFonts w:hint="eastAsia" w:ascii="宋体" w:hAnsi="宋体" w:eastAsia="宋体" w:cs="宋体"/>
          <w:color w:val="auto"/>
          <w:spacing w:val="0"/>
          <w:highlight w:val="none"/>
        </w:rPr>
      </w:pPr>
    </w:p>
    <w:p w14:paraId="006CE30E">
      <w:pPr>
        <w:keepNext w:val="0"/>
        <w:keepLines w:val="0"/>
        <w:pageBreakBefore w:val="0"/>
        <w:kinsoku/>
        <w:wordWrap w:val="0"/>
        <w:overflowPunct/>
        <w:topLinePunct w:val="0"/>
        <w:bidi w:val="0"/>
        <w:spacing w:before="78" w:line="220" w:lineRule="auto"/>
        <w:ind w:left="69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项目经理：</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color w:val="auto"/>
          <w:spacing w:val="0"/>
          <w:sz w:val="24"/>
          <w:szCs w:val="24"/>
          <w:highlight w:val="none"/>
        </w:rPr>
        <w:t>（签字）</w:t>
      </w:r>
    </w:p>
    <w:p w14:paraId="16855C17">
      <w:pPr>
        <w:pStyle w:val="5"/>
        <w:keepNext w:val="0"/>
        <w:keepLines w:val="0"/>
        <w:pageBreakBefore w:val="0"/>
        <w:kinsoku/>
        <w:wordWrap w:val="0"/>
        <w:overflowPunct/>
        <w:topLinePunct w:val="0"/>
        <w:bidi w:val="0"/>
        <w:spacing w:line="256" w:lineRule="auto"/>
        <w:ind w:right="84" w:rightChars="40"/>
        <w:rPr>
          <w:rFonts w:hint="eastAsia" w:ascii="宋体" w:hAnsi="宋体" w:eastAsia="宋体" w:cs="宋体"/>
          <w:color w:val="auto"/>
          <w:spacing w:val="0"/>
          <w:highlight w:val="none"/>
        </w:rPr>
      </w:pPr>
    </w:p>
    <w:p w14:paraId="13503D5A">
      <w:pPr>
        <w:pStyle w:val="5"/>
        <w:keepNext w:val="0"/>
        <w:keepLines w:val="0"/>
        <w:pageBreakBefore w:val="0"/>
        <w:kinsoku/>
        <w:wordWrap w:val="0"/>
        <w:overflowPunct/>
        <w:topLinePunct w:val="0"/>
        <w:bidi w:val="0"/>
        <w:spacing w:line="254" w:lineRule="auto"/>
        <w:ind w:right="84" w:rightChars="40"/>
        <w:jc w:val="right"/>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2046C6DB">
      <w:pPr>
        <w:keepNext w:val="0"/>
        <w:keepLines w:val="0"/>
        <w:pageBreakBefore w:val="0"/>
        <w:kinsoku/>
        <w:wordWrap w:val="0"/>
        <w:overflowPunct/>
        <w:topLinePunct w:val="0"/>
        <w:bidi w:val="0"/>
        <w:spacing w:before="78" w:line="220" w:lineRule="auto"/>
        <w:ind w:left="4226" w:right="84" w:rightChars="40"/>
        <w:jc w:val="center"/>
        <w:rPr>
          <w:rFonts w:hint="eastAsia" w:ascii="宋体" w:hAnsi="宋体" w:eastAsia="宋体" w:cs="宋体"/>
          <w:color w:val="auto"/>
          <w:spacing w:val="0"/>
          <w:highlight w:val="none"/>
        </w:rPr>
      </w:pPr>
    </w:p>
    <w:p w14:paraId="338141CB">
      <w:pPr>
        <w:pStyle w:val="5"/>
        <w:keepNext w:val="0"/>
        <w:keepLines w:val="0"/>
        <w:pageBreakBefore w:val="0"/>
        <w:kinsoku/>
        <w:wordWrap w:val="0"/>
        <w:overflowPunct/>
        <w:topLinePunct w:val="0"/>
        <w:bidi w:val="0"/>
        <w:spacing w:line="241" w:lineRule="auto"/>
        <w:ind w:right="84" w:rightChars="40"/>
        <w:rPr>
          <w:rFonts w:hint="eastAsia" w:ascii="宋体" w:hAnsi="宋体" w:eastAsia="宋体" w:cs="宋体"/>
          <w:color w:val="auto"/>
          <w:spacing w:val="0"/>
          <w:highlight w:val="none"/>
        </w:rPr>
      </w:pPr>
    </w:p>
    <w:p w14:paraId="0D471702">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说明：《项目经理简历表》后应附拟派项目经理以下资料：</w:t>
      </w:r>
    </w:p>
    <w:p w14:paraId="2281CD1D">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0"/>
        <w:textAlignment w:val="baseline"/>
        <w:outlineLvl w:val="9"/>
        <w:rPr>
          <w:rFonts w:hint="eastAsia" w:ascii="宋体" w:hAnsi="宋体" w:eastAsia="宋体" w:cs="宋体"/>
          <w:color w:val="auto"/>
          <w:spacing w:val="0"/>
          <w:sz w:val="24"/>
          <w:szCs w:val="24"/>
          <w:highlight w:val="none"/>
        </w:rPr>
      </w:pPr>
      <w:bookmarkStart w:id="253" w:name="_Toc25271"/>
      <w:bookmarkStart w:id="254" w:name="_Toc1942"/>
      <w:r>
        <w:rPr>
          <w:rFonts w:hint="eastAsia" w:ascii="宋体" w:hAnsi="宋体" w:eastAsia="宋体" w:cs="宋体"/>
          <w:color w:val="auto"/>
          <w:spacing w:val="0"/>
          <w:sz w:val="24"/>
          <w:szCs w:val="24"/>
          <w:highlight w:val="none"/>
        </w:rPr>
        <w:t>1 ．身份证彩色扫描件；</w:t>
      </w:r>
      <w:bookmarkEnd w:id="253"/>
      <w:bookmarkEnd w:id="254"/>
    </w:p>
    <w:p w14:paraId="256029DB">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．建造师电子注册证书（在使用有效期内的有效电子证书）彩色扫描件；</w:t>
      </w:r>
    </w:p>
    <w:p w14:paraId="66281E20">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3．B 类安全生产考核合格证书彩色扫描件或广东省建筑施工企业管理人员安全生产考核系统考核合格信息彩色扫描件；</w:t>
      </w:r>
    </w:p>
    <w:p w14:paraId="76F37EF6">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 ．在本单位缴纳社保</w:t>
      </w:r>
      <w:r>
        <w:rPr>
          <w:rFonts w:hint="eastAsia" w:ascii="宋体" w:hAnsi="宋体" w:eastAsia="宋体" w:cs="宋体"/>
          <w:color w:val="auto"/>
          <w:spacing w:val="0"/>
          <w:sz w:val="24"/>
          <w:szCs w:val="24"/>
          <w:highlight w:val="none"/>
          <w:lang w:eastAsia="zh-CN"/>
        </w:rPr>
        <w:t>的证明（至少</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个月，其</w:t>
      </w:r>
      <w:bookmarkStart w:id="255" w:name="OLE_LINK38"/>
      <w:r>
        <w:rPr>
          <w:rFonts w:hint="eastAsia" w:ascii="宋体" w:hAnsi="宋体" w:eastAsia="宋体" w:cs="宋体"/>
          <w:color w:val="auto"/>
          <w:spacing w:val="0"/>
          <w:sz w:val="24"/>
          <w:szCs w:val="24"/>
          <w:highlight w:val="none"/>
          <w:lang w:eastAsia="zh-CN"/>
        </w:rPr>
        <w:t>中必须有202</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lang w:eastAsia="zh-CN"/>
        </w:rPr>
        <w:t>年</w:t>
      </w:r>
      <w:r>
        <w:rPr>
          <w:rFonts w:hint="eastAsia" w:ascii="宋体" w:hAnsi="宋体" w:eastAsia="宋体" w:cs="宋体"/>
          <w:color w:val="auto"/>
          <w:spacing w:val="0"/>
          <w:sz w:val="24"/>
          <w:szCs w:val="24"/>
          <w:highlight w:val="none"/>
          <w:lang w:val="en-US" w:eastAsia="zh-CN"/>
        </w:rPr>
        <w:t>9</w:t>
      </w:r>
      <w:r>
        <w:rPr>
          <w:rFonts w:hint="eastAsia" w:ascii="宋体" w:hAnsi="宋体" w:eastAsia="宋体" w:cs="宋体"/>
          <w:color w:val="auto"/>
          <w:spacing w:val="0"/>
          <w:sz w:val="24"/>
          <w:szCs w:val="24"/>
          <w:highlight w:val="none"/>
          <w:lang w:eastAsia="zh-CN"/>
        </w:rPr>
        <w:t>月</w:t>
      </w:r>
      <w:bookmarkEnd w:id="255"/>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扫描</w:t>
      </w:r>
      <w:r>
        <w:rPr>
          <w:rFonts w:hint="eastAsia" w:ascii="宋体" w:hAnsi="宋体" w:eastAsia="宋体" w:cs="宋体"/>
          <w:color w:val="auto"/>
          <w:spacing w:val="0"/>
          <w:sz w:val="24"/>
          <w:szCs w:val="24"/>
          <w:highlight w:val="none"/>
        </w:rPr>
        <w:t>件或打印件。拟派项目经理为退休返聘人员无法提供社保证明的，提供退休证和劳动合同彩色扫描件。</w:t>
      </w:r>
    </w:p>
    <w:p w14:paraId="2A87991E">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．“进粤企业和人员诚信信息登记平台 ”个人信息情况截图。（适用于省外建筑企业）</w:t>
      </w:r>
    </w:p>
    <w:p w14:paraId="4BCF539F">
      <w:pPr>
        <w:pStyle w:val="24"/>
        <w:keepNext w:val="0"/>
        <w:keepLines w:val="0"/>
        <w:pageBreakBefore w:val="0"/>
        <w:kinsoku/>
        <w:bidi w:val="0"/>
        <w:ind w:right="84" w:rightChars="40"/>
        <w:rPr>
          <w:rFonts w:hint="eastAsia" w:ascii="宋体" w:hAnsi="宋体" w:eastAsia="宋体" w:cs="宋体"/>
          <w:color w:val="auto"/>
          <w:highlight w:val="none"/>
        </w:rPr>
      </w:pPr>
    </w:p>
    <w:p w14:paraId="00386200">
      <w:pPr>
        <w:keepNext w:val="0"/>
        <w:keepLines w:val="0"/>
        <w:pageBreakBefore w:val="0"/>
        <w:kinsoku/>
        <w:wordWrap w:val="0"/>
        <w:overflowPunct/>
        <w:topLinePunct w:val="0"/>
        <w:bidi w:val="0"/>
        <w:spacing w:line="300" w:lineRule="auto"/>
        <w:ind w:right="84" w:rightChars="40"/>
        <w:rPr>
          <w:rFonts w:hint="eastAsia" w:ascii="宋体" w:hAnsi="宋体" w:eastAsia="宋体" w:cs="宋体"/>
          <w:color w:val="auto"/>
          <w:spacing w:val="0"/>
          <w:sz w:val="20"/>
          <w:szCs w:val="20"/>
          <w:highlight w:val="none"/>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A1871F0">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56" w:name="_Toc11650"/>
      <w:r>
        <w:rPr>
          <w:rFonts w:hint="eastAsia" w:ascii="宋体" w:hAnsi="宋体" w:eastAsia="宋体" w:cs="宋体"/>
          <w:b/>
          <w:bCs/>
          <w:color w:val="auto"/>
          <w:spacing w:val="0"/>
          <w:sz w:val="24"/>
          <w:szCs w:val="24"/>
          <w:highlight w:val="none"/>
        </w:rPr>
        <w:t>格式九 项目经理任职声明</w:t>
      </w:r>
      <w:bookmarkEnd w:id="256"/>
    </w:p>
    <w:p w14:paraId="0578F8FA">
      <w:pPr>
        <w:pStyle w:val="5"/>
        <w:keepNext w:val="0"/>
        <w:keepLines w:val="0"/>
        <w:pageBreakBefore w:val="0"/>
        <w:kinsoku/>
        <w:wordWrap w:val="0"/>
        <w:overflowPunct/>
        <w:topLinePunct w:val="0"/>
        <w:bidi w:val="0"/>
        <w:spacing w:line="350" w:lineRule="auto"/>
        <w:ind w:right="84" w:rightChars="40"/>
        <w:rPr>
          <w:rFonts w:hint="eastAsia" w:ascii="宋体" w:hAnsi="宋体" w:eastAsia="宋体" w:cs="宋体"/>
          <w:color w:val="auto"/>
          <w:spacing w:val="0"/>
          <w:highlight w:val="none"/>
        </w:rPr>
      </w:pPr>
    </w:p>
    <w:p w14:paraId="18B06342">
      <w:pPr>
        <w:pStyle w:val="5"/>
        <w:keepNext w:val="0"/>
        <w:keepLines w:val="0"/>
        <w:pageBreakBefore w:val="0"/>
        <w:kinsoku/>
        <w:wordWrap w:val="0"/>
        <w:overflowPunct/>
        <w:topLinePunct w:val="0"/>
        <w:bidi w:val="0"/>
        <w:spacing w:line="350" w:lineRule="auto"/>
        <w:ind w:right="84" w:rightChars="40"/>
        <w:rPr>
          <w:rFonts w:hint="eastAsia" w:ascii="宋体" w:hAnsi="宋体" w:eastAsia="宋体" w:cs="宋体"/>
          <w:color w:val="auto"/>
          <w:spacing w:val="0"/>
          <w:highlight w:val="none"/>
        </w:rPr>
      </w:pPr>
    </w:p>
    <w:p w14:paraId="40F834AF">
      <w:pPr>
        <w:keepNext w:val="0"/>
        <w:keepLines w:val="0"/>
        <w:pageBreakBefore w:val="0"/>
        <w:kinsoku/>
        <w:wordWrap w:val="0"/>
        <w:overflowPunct/>
        <w:topLinePunct w:val="0"/>
        <w:bidi w:val="0"/>
        <w:spacing w:before="98" w:line="220" w:lineRule="auto"/>
        <w:ind w:left="3338" w:right="84" w:rightChars="40"/>
        <w:rPr>
          <w:rFonts w:hint="eastAsia" w:ascii="宋体" w:hAnsi="宋体" w:eastAsia="宋体" w:cs="宋体"/>
          <w:color w:val="auto"/>
          <w:spacing w:val="0"/>
          <w:sz w:val="30"/>
          <w:szCs w:val="30"/>
          <w:highlight w:val="none"/>
        </w:rPr>
      </w:pPr>
      <w:bookmarkStart w:id="257" w:name="bookmark157"/>
      <w:bookmarkEnd w:id="257"/>
      <w:r>
        <w:rPr>
          <w:rFonts w:hint="eastAsia" w:ascii="宋体" w:hAnsi="宋体" w:eastAsia="宋体" w:cs="宋体"/>
          <w:b/>
          <w:bCs/>
          <w:color w:val="auto"/>
          <w:spacing w:val="0"/>
          <w:sz w:val="30"/>
          <w:szCs w:val="30"/>
          <w:highlight w:val="none"/>
        </w:rPr>
        <w:t>项目经理任职声明</w:t>
      </w:r>
    </w:p>
    <w:p w14:paraId="532E6150">
      <w:pPr>
        <w:pStyle w:val="5"/>
        <w:keepNext w:val="0"/>
        <w:keepLines w:val="0"/>
        <w:pageBreakBefore w:val="0"/>
        <w:kinsoku/>
        <w:wordWrap w:val="0"/>
        <w:overflowPunct/>
        <w:topLinePunct w:val="0"/>
        <w:bidi w:val="0"/>
        <w:spacing w:line="250" w:lineRule="auto"/>
        <w:ind w:right="84" w:rightChars="40"/>
        <w:rPr>
          <w:rFonts w:hint="eastAsia" w:ascii="宋体" w:hAnsi="宋体" w:eastAsia="宋体" w:cs="宋体"/>
          <w:color w:val="auto"/>
          <w:spacing w:val="0"/>
          <w:highlight w:val="none"/>
        </w:rPr>
      </w:pPr>
    </w:p>
    <w:p w14:paraId="5161A470">
      <w:pPr>
        <w:pStyle w:val="5"/>
        <w:keepNext w:val="0"/>
        <w:keepLines w:val="0"/>
        <w:pageBreakBefore w:val="0"/>
        <w:kinsoku/>
        <w:wordWrap w:val="0"/>
        <w:overflowPunct/>
        <w:topLinePunct w:val="0"/>
        <w:bidi w:val="0"/>
        <w:spacing w:line="250" w:lineRule="auto"/>
        <w:ind w:right="84" w:rightChars="40"/>
        <w:rPr>
          <w:rFonts w:hint="eastAsia" w:ascii="宋体" w:hAnsi="宋体" w:eastAsia="宋体" w:cs="宋体"/>
          <w:color w:val="auto"/>
          <w:spacing w:val="0"/>
          <w:highlight w:val="none"/>
        </w:rPr>
      </w:pPr>
    </w:p>
    <w:p w14:paraId="641FA575">
      <w:pPr>
        <w:pStyle w:val="5"/>
        <w:keepNext w:val="0"/>
        <w:keepLines w:val="0"/>
        <w:pageBreakBefore w:val="0"/>
        <w:kinsoku/>
        <w:wordWrap w:val="0"/>
        <w:overflowPunct/>
        <w:topLinePunct w:val="0"/>
        <w:bidi w:val="0"/>
        <w:spacing w:line="251" w:lineRule="auto"/>
        <w:ind w:right="84" w:rightChars="40"/>
        <w:rPr>
          <w:rFonts w:hint="eastAsia" w:ascii="宋体" w:hAnsi="宋体" w:eastAsia="宋体" w:cs="宋体"/>
          <w:color w:val="auto"/>
          <w:spacing w:val="0"/>
          <w:highlight w:val="none"/>
        </w:rPr>
      </w:pPr>
    </w:p>
    <w:p w14:paraId="5A6A5383">
      <w:pPr>
        <w:keepNext w:val="0"/>
        <w:keepLines w:val="0"/>
        <w:pageBreakBefore w:val="0"/>
        <w:kinsoku/>
        <w:wordWrap w:val="0"/>
        <w:overflowPunct/>
        <w:topLinePunct w:val="0"/>
        <w:bidi w:val="0"/>
        <w:spacing w:before="78" w:line="221" w:lineRule="auto"/>
        <w:ind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（招标人名称）</w:t>
      </w:r>
    </w:p>
    <w:p w14:paraId="6DF111E3">
      <w:pPr>
        <w:keepNext w:val="0"/>
        <w:keepLines w:val="0"/>
        <w:pageBreakBefore w:val="0"/>
        <w:kinsoku/>
        <w:wordWrap w:val="0"/>
        <w:overflowPunct/>
        <w:topLinePunct w:val="0"/>
        <w:bidi w:val="0"/>
        <w:spacing w:before="155" w:line="324" w:lineRule="auto"/>
        <w:ind w:right="84" w:rightChars="40"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我方在此声明，我方拟派往</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（项目名称）的项目经理</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（项目经理姓名）现阶段没有担任任何在施（包括已中标未开工、已开工未竣工）建设工程项目的项目经理。</w:t>
      </w:r>
    </w:p>
    <w:p w14:paraId="30B4DC4A">
      <w:pPr>
        <w:keepNext w:val="0"/>
        <w:keepLines w:val="0"/>
        <w:pageBreakBefore w:val="0"/>
        <w:kinsoku/>
        <w:wordWrap w:val="0"/>
        <w:overflowPunct/>
        <w:topLinePunct w:val="0"/>
        <w:bidi w:val="0"/>
        <w:spacing w:before="35" w:line="326" w:lineRule="auto"/>
        <w:ind w:right="84" w:rightChars="40"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我方保证上述信息的真实和准确，并愿意承担因我方就此弄虚作假所引起的一切法律后果。</w:t>
      </w:r>
    </w:p>
    <w:p w14:paraId="3FFEA1FE">
      <w:pPr>
        <w:pStyle w:val="5"/>
        <w:keepNext w:val="0"/>
        <w:keepLines w:val="0"/>
        <w:pageBreakBefore w:val="0"/>
        <w:kinsoku/>
        <w:wordWrap w:val="0"/>
        <w:overflowPunct/>
        <w:topLinePunct w:val="0"/>
        <w:bidi w:val="0"/>
        <w:spacing w:line="391" w:lineRule="auto"/>
        <w:ind w:right="84" w:rightChars="40"/>
        <w:rPr>
          <w:rFonts w:hint="eastAsia" w:ascii="宋体" w:hAnsi="宋体" w:eastAsia="宋体" w:cs="宋体"/>
          <w:color w:val="auto"/>
          <w:spacing w:val="0"/>
          <w:highlight w:val="none"/>
        </w:rPr>
      </w:pPr>
    </w:p>
    <w:p w14:paraId="2CFADE2D">
      <w:pPr>
        <w:keepNext w:val="0"/>
        <w:keepLines w:val="0"/>
        <w:pageBreakBefore w:val="0"/>
        <w:kinsoku/>
        <w:wordWrap w:val="0"/>
        <w:overflowPunct/>
        <w:topLinePunct w:val="0"/>
        <w:bidi w:val="0"/>
        <w:spacing w:before="78" w:line="220" w:lineRule="auto"/>
        <w:ind w:left="48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特此承诺</w:t>
      </w:r>
    </w:p>
    <w:p w14:paraId="187690F7">
      <w:pPr>
        <w:pStyle w:val="5"/>
        <w:keepNext w:val="0"/>
        <w:keepLines w:val="0"/>
        <w:pageBreakBefore w:val="0"/>
        <w:kinsoku/>
        <w:wordWrap w:val="0"/>
        <w:overflowPunct/>
        <w:topLinePunct w:val="0"/>
        <w:bidi w:val="0"/>
        <w:spacing w:line="316" w:lineRule="auto"/>
        <w:ind w:right="84" w:rightChars="40"/>
        <w:rPr>
          <w:rFonts w:hint="eastAsia" w:ascii="宋体" w:hAnsi="宋体" w:eastAsia="宋体" w:cs="宋体"/>
          <w:color w:val="auto"/>
          <w:spacing w:val="0"/>
          <w:highlight w:val="none"/>
        </w:rPr>
      </w:pPr>
    </w:p>
    <w:p w14:paraId="5CA4FAA1">
      <w:pPr>
        <w:pStyle w:val="5"/>
        <w:keepNext w:val="0"/>
        <w:keepLines w:val="0"/>
        <w:pageBreakBefore w:val="0"/>
        <w:kinsoku/>
        <w:wordWrap w:val="0"/>
        <w:overflowPunct/>
        <w:topLinePunct w:val="0"/>
        <w:bidi w:val="0"/>
        <w:spacing w:line="317" w:lineRule="auto"/>
        <w:ind w:right="84" w:rightChars="40"/>
        <w:rPr>
          <w:rFonts w:hint="eastAsia" w:ascii="宋体" w:hAnsi="宋体" w:eastAsia="宋体" w:cs="宋体"/>
          <w:color w:val="auto"/>
          <w:spacing w:val="0"/>
          <w:highlight w:val="none"/>
        </w:rPr>
      </w:pPr>
    </w:p>
    <w:p w14:paraId="66166C76">
      <w:pPr>
        <w:pStyle w:val="5"/>
        <w:keepNext w:val="0"/>
        <w:keepLines w:val="0"/>
        <w:pageBreakBefore w:val="0"/>
        <w:kinsoku/>
        <w:wordWrap w:val="0"/>
        <w:overflowPunct/>
        <w:topLinePunct w:val="0"/>
        <w:bidi w:val="0"/>
        <w:spacing w:line="317" w:lineRule="auto"/>
        <w:ind w:right="84" w:rightChars="40"/>
        <w:rPr>
          <w:rFonts w:hint="eastAsia" w:ascii="宋体" w:hAnsi="宋体" w:eastAsia="宋体" w:cs="宋体"/>
          <w:color w:val="auto"/>
          <w:spacing w:val="0"/>
          <w:highlight w:val="none"/>
        </w:rPr>
      </w:pPr>
    </w:p>
    <w:p w14:paraId="07DB27C5">
      <w:pPr>
        <w:keepNext w:val="0"/>
        <w:keepLines w:val="0"/>
        <w:pageBreakBefore w:val="0"/>
        <w:kinsoku/>
        <w:wordWrap w:val="0"/>
        <w:overflowPunct/>
        <w:topLinePunct w:val="0"/>
        <w:bidi w:val="0"/>
        <w:spacing w:before="79" w:line="219" w:lineRule="auto"/>
        <w:ind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1AF704E9">
      <w:pPr>
        <w:pStyle w:val="5"/>
        <w:keepNext w:val="0"/>
        <w:keepLines w:val="0"/>
        <w:pageBreakBefore w:val="0"/>
        <w:kinsoku/>
        <w:wordWrap w:val="0"/>
        <w:overflowPunct/>
        <w:topLinePunct w:val="0"/>
        <w:bidi w:val="0"/>
        <w:spacing w:line="317" w:lineRule="auto"/>
        <w:ind w:right="84" w:rightChars="40"/>
        <w:rPr>
          <w:rFonts w:hint="eastAsia" w:ascii="宋体" w:hAnsi="宋体" w:eastAsia="宋体" w:cs="宋体"/>
          <w:color w:val="auto"/>
          <w:spacing w:val="0"/>
          <w:highlight w:val="none"/>
        </w:rPr>
      </w:pPr>
    </w:p>
    <w:p w14:paraId="4421D560">
      <w:pPr>
        <w:pStyle w:val="5"/>
        <w:keepNext w:val="0"/>
        <w:keepLines w:val="0"/>
        <w:pageBreakBefore w:val="0"/>
        <w:kinsoku/>
        <w:wordWrap w:val="0"/>
        <w:overflowPunct/>
        <w:topLinePunct w:val="0"/>
        <w:bidi w:val="0"/>
        <w:spacing w:line="317" w:lineRule="auto"/>
        <w:ind w:right="84" w:rightChars="40"/>
        <w:rPr>
          <w:rFonts w:hint="eastAsia" w:ascii="宋体" w:hAnsi="宋体" w:eastAsia="宋体" w:cs="宋体"/>
          <w:color w:val="auto"/>
          <w:spacing w:val="0"/>
          <w:highlight w:val="none"/>
        </w:rPr>
      </w:pPr>
    </w:p>
    <w:p w14:paraId="7188D609">
      <w:pPr>
        <w:pStyle w:val="5"/>
        <w:keepNext w:val="0"/>
        <w:keepLines w:val="0"/>
        <w:pageBreakBefore w:val="0"/>
        <w:kinsoku/>
        <w:wordWrap w:val="0"/>
        <w:overflowPunct/>
        <w:topLinePunct w:val="0"/>
        <w:bidi w:val="0"/>
        <w:spacing w:line="317" w:lineRule="auto"/>
        <w:ind w:right="84" w:rightChars="40"/>
        <w:rPr>
          <w:rFonts w:hint="eastAsia" w:ascii="宋体" w:hAnsi="宋体" w:eastAsia="宋体" w:cs="宋体"/>
          <w:color w:val="auto"/>
          <w:spacing w:val="0"/>
          <w:highlight w:val="none"/>
        </w:rPr>
      </w:pPr>
    </w:p>
    <w:p w14:paraId="6A29B34B">
      <w:pPr>
        <w:keepNext w:val="0"/>
        <w:keepLines w:val="0"/>
        <w:pageBreakBefore w:val="0"/>
        <w:kinsoku/>
        <w:wordWrap w:val="0"/>
        <w:overflowPunct/>
        <w:topLinePunct w:val="0"/>
        <w:bidi w:val="0"/>
        <w:spacing w:before="78" w:line="219" w:lineRule="auto"/>
        <w:ind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6AD94480">
      <w:pPr>
        <w:pStyle w:val="5"/>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highlight w:val="none"/>
        </w:rPr>
      </w:pPr>
    </w:p>
    <w:p w14:paraId="234EACCA">
      <w:pPr>
        <w:pStyle w:val="5"/>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highlight w:val="none"/>
        </w:rPr>
      </w:pPr>
    </w:p>
    <w:p w14:paraId="348EEA26">
      <w:pPr>
        <w:pStyle w:val="5"/>
        <w:keepNext w:val="0"/>
        <w:keepLines w:val="0"/>
        <w:pageBreakBefore w:val="0"/>
        <w:kinsoku/>
        <w:wordWrap w:val="0"/>
        <w:overflowPunct/>
        <w:topLinePunct w:val="0"/>
        <w:bidi w:val="0"/>
        <w:spacing w:line="254" w:lineRule="auto"/>
        <w:ind w:right="84" w:rightChars="40"/>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2C2A7387">
      <w:pPr>
        <w:keepNext w:val="0"/>
        <w:keepLines w:val="0"/>
        <w:pageBreakBefore w:val="0"/>
        <w:kinsoku/>
        <w:wordWrap w:val="0"/>
        <w:overflowPunct/>
        <w:topLinePunct w:val="0"/>
        <w:bidi w:val="0"/>
        <w:spacing w:line="220" w:lineRule="auto"/>
        <w:ind w:right="84" w:rightChars="40"/>
        <w:rPr>
          <w:rFonts w:hint="eastAsia" w:ascii="宋体" w:hAnsi="宋体" w:eastAsia="宋体" w:cs="宋体"/>
          <w:color w:val="auto"/>
          <w:spacing w:val="0"/>
          <w:sz w:val="24"/>
          <w:szCs w:val="24"/>
          <w:highlight w:val="none"/>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E9C11AF">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58" w:name="_Toc18047"/>
      <w:r>
        <w:rPr>
          <w:rFonts w:hint="eastAsia" w:ascii="宋体" w:hAnsi="宋体" w:eastAsia="宋体" w:cs="宋体"/>
          <w:b/>
          <w:bCs/>
          <w:color w:val="auto"/>
          <w:spacing w:val="0"/>
          <w:sz w:val="24"/>
          <w:szCs w:val="24"/>
          <w:highlight w:val="none"/>
        </w:rPr>
        <w:t>格式十 项目技术负责人简历表</w:t>
      </w:r>
      <w:bookmarkEnd w:id="258"/>
    </w:p>
    <w:p w14:paraId="4A542C8B">
      <w:pPr>
        <w:pStyle w:val="5"/>
        <w:keepNext w:val="0"/>
        <w:keepLines w:val="0"/>
        <w:pageBreakBefore w:val="0"/>
        <w:kinsoku/>
        <w:wordWrap w:val="0"/>
        <w:overflowPunct/>
        <w:topLinePunct w:val="0"/>
        <w:bidi w:val="0"/>
        <w:spacing w:line="444" w:lineRule="auto"/>
        <w:ind w:right="84" w:rightChars="40"/>
        <w:rPr>
          <w:rFonts w:hint="eastAsia" w:ascii="宋体" w:hAnsi="宋体" w:eastAsia="宋体" w:cs="宋体"/>
          <w:color w:val="auto"/>
          <w:spacing w:val="0"/>
          <w:highlight w:val="none"/>
        </w:rPr>
      </w:pPr>
    </w:p>
    <w:p w14:paraId="19FD339A">
      <w:pPr>
        <w:keepNext w:val="0"/>
        <w:keepLines w:val="0"/>
        <w:pageBreakBefore w:val="0"/>
        <w:kinsoku/>
        <w:wordWrap w:val="0"/>
        <w:overflowPunct/>
        <w:topLinePunct w:val="0"/>
        <w:bidi w:val="0"/>
        <w:spacing w:before="97" w:line="219" w:lineRule="auto"/>
        <w:ind w:left="3087" w:right="84" w:rightChars="40"/>
        <w:outlineLvl w:val="9"/>
        <w:rPr>
          <w:rFonts w:hint="eastAsia" w:ascii="宋体" w:hAnsi="宋体" w:eastAsia="宋体" w:cs="宋体"/>
          <w:color w:val="auto"/>
          <w:spacing w:val="0"/>
          <w:sz w:val="30"/>
          <w:szCs w:val="30"/>
          <w:highlight w:val="none"/>
        </w:rPr>
      </w:pPr>
      <w:bookmarkStart w:id="259" w:name="_Toc1553"/>
      <w:bookmarkStart w:id="260" w:name="_Toc25712"/>
      <w:r>
        <w:rPr>
          <w:rFonts w:hint="eastAsia" w:ascii="宋体" w:hAnsi="宋体" w:eastAsia="宋体" w:cs="宋体"/>
          <w:b/>
          <w:bCs/>
          <w:color w:val="auto"/>
          <w:spacing w:val="0"/>
          <w:sz w:val="30"/>
          <w:szCs w:val="30"/>
          <w:highlight w:val="none"/>
        </w:rPr>
        <w:t>项目技术负责人简历表</w:t>
      </w:r>
      <w:bookmarkEnd w:id="259"/>
      <w:bookmarkEnd w:id="260"/>
    </w:p>
    <w:p w14:paraId="76293364">
      <w:pPr>
        <w:keepNext w:val="0"/>
        <w:keepLines w:val="0"/>
        <w:pageBreakBefore w:val="0"/>
        <w:kinsoku/>
        <w:wordWrap w:val="0"/>
        <w:overflowPunct/>
        <w:topLinePunct w:val="0"/>
        <w:bidi w:val="0"/>
        <w:spacing w:line="240" w:lineRule="exact"/>
        <w:ind w:right="84" w:rightChars="40"/>
        <w:rPr>
          <w:rFonts w:hint="eastAsia" w:ascii="宋体" w:hAnsi="宋体" w:eastAsia="宋体" w:cs="宋体"/>
          <w:color w:val="auto"/>
          <w:spacing w:val="0"/>
          <w:highlight w:val="none"/>
        </w:rPr>
      </w:pPr>
    </w:p>
    <w:tbl>
      <w:tblPr>
        <w:tblStyle w:val="14"/>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2EEC3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center"/>
          </w:tcPr>
          <w:p w14:paraId="202B1A61">
            <w:pPr>
              <w:keepNext w:val="0"/>
              <w:keepLines w:val="0"/>
              <w:pageBreakBefore w:val="0"/>
              <w:widowControl/>
              <w:kinsoku/>
              <w:wordWrap w:val="0"/>
              <w:overflowPunct/>
              <w:topLinePunct w:val="0"/>
              <w:autoSpaceDE w:val="0"/>
              <w:autoSpaceDN w:val="0"/>
              <w:bidi w:val="0"/>
              <w:adjustRightInd w:val="0"/>
              <w:snapToGrid w:val="0"/>
              <w:spacing w:before="177"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姓   名</w:t>
            </w:r>
          </w:p>
        </w:tc>
        <w:tc>
          <w:tcPr>
            <w:tcW w:w="1282" w:type="dxa"/>
            <w:gridSpan w:val="2"/>
            <w:vAlign w:val="center"/>
          </w:tcPr>
          <w:p w14:paraId="35180F15">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lang w:val="en-US" w:eastAsia="zh-CN"/>
              </w:rPr>
            </w:pPr>
          </w:p>
        </w:tc>
        <w:tc>
          <w:tcPr>
            <w:tcW w:w="1346" w:type="dxa"/>
            <w:vAlign w:val="center"/>
          </w:tcPr>
          <w:p w14:paraId="411B9C93">
            <w:pPr>
              <w:keepNext w:val="0"/>
              <w:keepLines w:val="0"/>
              <w:pageBreakBefore w:val="0"/>
              <w:widowControl/>
              <w:kinsoku/>
              <w:wordWrap w:val="0"/>
              <w:overflowPunct/>
              <w:topLinePunct w:val="0"/>
              <w:autoSpaceDE w:val="0"/>
              <w:autoSpaceDN w:val="0"/>
              <w:bidi w:val="0"/>
              <w:adjustRightInd w:val="0"/>
              <w:snapToGrid w:val="0"/>
              <w:spacing w:before="177"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性  别</w:t>
            </w:r>
          </w:p>
        </w:tc>
        <w:tc>
          <w:tcPr>
            <w:tcW w:w="2047" w:type="dxa"/>
            <w:vAlign w:val="center"/>
          </w:tcPr>
          <w:p w14:paraId="2F452FFD">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2A711865">
            <w:pPr>
              <w:keepNext w:val="0"/>
              <w:keepLines w:val="0"/>
              <w:pageBreakBefore w:val="0"/>
              <w:widowControl/>
              <w:kinsoku/>
              <w:wordWrap w:val="0"/>
              <w:overflowPunct/>
              <w:topLinePunct w:val="0"/>
              <w:autoSpaceDE w:val="0"/>
              <w:autoSpaceDN w:val="0"/>
              <w:bidi w:val="0"/>
              <w:adjustRightInd w:val="0"/>
              <w:snapToGrid w:val="0"/>
              <w:spacing w:before="177"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龄</w:t>
            </w:r>
          </w:p>
        </w:tc>
        <w:tc>
          <w:tcPr>
            <w:tcW w:w="1386" w:type="dxa"/>
            <w:vAlign w:val="center"/>
          </w:tcPr>
          <w:p w14:paraId="5240B450">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76C2B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center"/>
          </w:tcPr>
          <w:p w14:paraId="29B76BC5">
            <w:pPr>
              <w:keepNext w:val="0"/>
              <w:keepLines w:val="0"/>
              <w:pageBreakBefore w:val="0"/>
              <w:widowControl/>
              <w:kinsoku/>
              <w:wordWrap w:val="0"/>
              <w:overflowPunct/>
              <w:topLinePunct w:val="0"/>
              <w:autoSpaceDE w:val="0"/>
              <w:autoSpaceDN w:val="0"/>
              <w:bidi w:val="0"/>
              <w:adjustRightInd w:val="0"/>
              <w:snapToGrid w:val="0"/>
              <w:spacing w:before="175"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务</w:t>
            </w:r>
          </w:p>
        </w:tc>
        <w:tc>
          <w:tcPr>
            <w:tcW w:w="1282" w:type="dxa"/>
            <w:gridSpan w:val="2"/>
            <w:vAlign w:val="center"/>
          </w:tcPr>
          <w:p w14:paraId="307065D1">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46" w:type="dxa"/>
            <w:vAlign w:val="center"/>
          </w:tcPr>
          <w:p w14:paraId="2E6461F1">
            <w:pPr>
              <w:keepNext w:val="0"/>
              <w:keepLines w:val="0"/>
              <w:pageBreakBefore w:val="0"/>
              <w:widowControl/>
              <w:kinsoku/>
              <w:wordWrap w:val="0"/>
              <w:overflowPunct/>
              <w:topLinePunct w:val="0"/>
              <w:autoSpaceDE w:val="0"/>
              <w:autoSpaceDN w:val="0"/>
              <w:bidi w:val="0"/>
              <w:adjustRightInd w:val="0"/>
              <w:snapToGrid w:val="0"/>
              <w:spacing w:before="174" w:line="231"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称</w:t>
            </w:r>
          </w:p>
        </w:tc>
        <w:tc>
          <w:tcPr>
            <w:tcW w:w="2047" w:type="dxa"/>
            <w:vAlign w:val="center"/>
          </w:tcPr>
          <w:p w14:paraId="59539D9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1F83FFA8">
            <w:pPr>
              <w:keepNext w:val="0"/>
              <w:keepLines w:val="0"/>
              <w:pageBreakBefore w:val="0"/>
              <w:widowControl/>
              <w:kinsoku/>
              <w:wordWrap w:val="0"/>
              <w:overflowPunct/>
              <w:topLinePunct w:val="0"/>
              <w:autoSpaceDE w:val="0"/>
              <w:autoSpaceDN w:val="0"/>
              <w:bidi w:val="0"/>
              <w:adjustRightInd w:val="0"/>
              <w:snapToGrid w:val="0"/>
              <w:spacing w:before="175" w:line="230"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学   历</w:t>
            </w:r>
          </w:p>
        </w:tc>
        <w:tc>
          <w:tcPr>
            <w:tcW w:w="1386" w:type="dxa"/>
            <w:vAlign w:val="center"/>
          </w:tcPr>
          <w:p w14:paraId="46640CDA">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6C17D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center"/>
          </w:tcPr>
          <w:p w14:paraId="2A561424">
            <w:pPr>
              <w:keepNext w:val="0"/>
              <w:keepLines w:val="0"/>
              <w:pageBreakBefore w:val="0"/>
              <w:widowControl/>
              <w:kinsoku/>
              <w:wordWrap w:val="0"/>
              <w:overflowPunct/>
              <w:topLinePunct w:val="0"/>
              <w:autoSpaceDE w:val="0"/>
              <w:autoSpaceDN w:val="0"/>
              <w:bidi w:val="0"/>
              <w:adjustRightInd w:val="0"/>
              <w:snapToGrid w:val="0"/>
              <w:spacing w:before="175"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参加工作时间</w:t>
            </w:r>
          </w:p>
        </w:tc>
        <w:tc>
          <w:tcPr>
            <w:tcW w:w="2628" w:type="dxa"/>
            <w:gridSpan w:val="3"/>
            <w:vAlign w:val="center"/>
          </w:tcPr>
          <w:p w14:paraId="14B00331">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3830" w:type="dxa"/>
            <w:gridSpan w:val="2"/>
            <w:vAlign w:val="center"/>
          </w:tcPr>
          <w:p w14:paraId="0B864845">
            <w:pPr>
              <w:keepNext w:val="0"/>
              <w:keepLines w:val="0"/>
              <w:pageBreakBefore w:val="0"/>
              <w:widowControl/>
              <w:kinsoku/>
              <w:wordWrap w:val="0"/>
              <w:overflowPunct/>
              <w:topLinePunct w:val="0"/>
              <w:autoSpaceDE w:val="0"/>
              <w:autoSpaceDN w:val="0"/>
              <w:bidi w:val="0"/>
              <w:adjustRightInd w:val="0"/>
              <w:snapToGrid w:val="0"/>
              <w:spacing w:before="176"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从事工程建设项目管理工作年限</w:t>
            </w:r>
          </w:p>
        </w:tc>
        <w:tc>
          <w:tcPr>
            <w:tcW w:w="1386" w:type="dxa"/>
            <w:vAlign w:val="center"/>
          </w:tcPr>
          <w:p w14:paraId="18B2FE92">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7C727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center"/>
          </w:tcPr>
          <w:p w14:paraId="0F93C385">
            <w:pPr>
              <w:keepNext w:val="0"/>
              <w:keepLines w:val="0"/>
              <w:pageBreakBefore w:val="0"/>
              <w:widowControl/>
              <w:kinsoku/>
              <w:wordWrap w:val="0"/>
              <w:overflowPunct/>
              <w:topLinePunct w:val="0"/>
              <w:autoSpaceDE w:val="0"/>
              <w:autoSpaceDN w:val="0"/>
              <w:bidi w:val="0"/>
              <w:adjustRightInd w:val="0"/>
              <w:snapToGrid w:val="0"/>
              <w:spacing w:before="176"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以项目技术负责人身份参与过的主要业绩（已完工项目）</w:t>
            </w:r>
          </w:p>
        </w:tc>
      </w:tr>
      <w:tr w14:paraId="259C5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center"/>
          </w:tcPr>
          <w:p w14:paraId="23B1418B">
            <w:pPr>
              <w:keepNext w:val="0"/>
              <w:keepLines w:val="0"/>
              <w:pageBreakBefore w:val="0"/>
              <w:widowControl/>
              <w:kinsoku/>
              <w:wordWrap w:val="0"/>
              <w:overflowPunct/>
              <w:topLinePunct w:val="0"/>
              <w:autoSpaceDE w:val="0"/>
              <w:autoSpaceDN w:val="0"/>
              <w:bidi w:val="0"/>
              <w:adjustRightInd w:val="0"/>
              <w:snapToGrid w:val="0"/>
              <w:spacing w:before="176" w:line="230"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1610" w:type="dxa"/>
            <w:gridSpan w:val="2"/>
            <w:vAlign w:val="center"/>
          </w:tcPr>
          <w:p w14:paraId="7FF7FF79">
            <w:pPr>
              <w:keepNext w:val="0"/>
              <w:keepLines w:val="0"/>
              <w:pageBreakBefore w:val="0"/>
              <w:widowControl/>
              <w:kinsoku/>
              <w:wordWrap w:val="0"/>
              <w:overflowPunct/>
              <w:topLinePunct w:val="0"/>
              <w:autoSpaceDE w:val="0"/>
              <w:autoSpaceDN w:val="0"/>
              <w:bidi w:val="0"/>
              <w:adjustRightInd w:val="0"/>
              <w:snapToGrid w:val="0"/>
              <w:spacing w:before="176"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项目名称</w:t>
            </w:r>
          </w:p>
        </w:tc>
        <w:tc>
          <w:tcPr>
            <w:tcW w:w="2021" w:type="dxa"/>
            <w:gridSpan w:val="2"/>
            <w:vAlign w:val="center"/>
          </w:tcPr>
          <w:p w14:paraId="7075F8FD">
            <w:pPr>
              <w:keepNext w:val="0"/>
              <w:keepLines w:val="0"/>
              <w:pageBreakBefore w:val="0"/>
              <w:widowControl/>
              <w:kinsoku/>
              <w:wordWrap w:val="0"/>
              <w:overflowPunct/>
              <w:topLinePunct w:val="0"/>
              <w:autoSpaceDE w:val="0"/>
              <w:autoSpaceDN w:val="0"/>
              <w:bidi w:val="0"/>
              <w:adjustRightInd w:val="0"/>
              <w:snapToGrid w:val="0"/>
              <w:spacing w:before="176"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2047" w:type="dxa"/>
            <w:vAlign w:val="center"/>
          </w:tcPr>
          <w:p w14:paraId="00179D26">
            <w:pPr>
              <w:keepNext w:val="0"/>
              <w:keepLines w:val="0"/>
              <w:pageBreakBefore w:val="0"/>
              <w:widowControl/>
              <w:kinsoku/>
              <w:wordWrap w:val="0"/>
              <w:overflowPunct/>
              <w:topLinePunct w:val="0"/>
              <w:autoSpaceDE w:val="0"/>
              <w:autoSpaceDN w:val="0"/>
              <w:bidi w:val="0"/>
              <w:adjustRightInd w:val="0"/>
              <w:snapToGrid w:val="0"/>
              <w:spacing w:before="176"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建设内容和规模</w:t>
            </w:r>
          </w:p>
        </w:tc>
        <w:tc>
          <w:tcPr>
            <w:tcW w:w="1783" w:type="dxa"/>
            <w:vAlign w:val="center"/>
          </w:tcPr>
          <w:p w14:paraId="236A707E">
            <w:pPr>
              <w:keepNext w:val="0"/>
              <w:keepLines w:val="0"/>
              <w:pageBreakBefore w:val="0"/>
              <w:widowControl/>
              <w:kinsoku/>
              <w:wordWrap w:val="0"/>
              <w:overflowPunct/>
              <w:topLinePunct w:val="0"/>
              <w:autoSpaceDE w:val="0"/>
              <w:autoSpaceDN w:val="0"/>
              <w:bidi w:val="0"/>
              <w:adjustRightInd w:val="0"/>
              <w:snapToGrid w:val="0"/>
              <w:spacing w:before="176"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开、竣工日期</w:t>
            </w:r>
          </w:p>
        </w:tc>
        <w:tc>
          <w:tcPr>
            <w:tcW w:w="1386" w:type="dxa"/>
            <w:vAlign w:val="center"/>
          </w:tcPr>
          <w:p w14:paraId="2BE768CF">
            <w:pPr>
              <w:keepNext w:val="0"/>
              <w:keepLines w:val="0"/>
              <w:pageBreakBefore w:val="0"/>
              <w:widowControl/>
              <w:kinsoku/>
              <w:wordWrap w:val="0"/>
              <w:overflowPunct/>
              <w:topLinePunct w:val="0"/>
              <w:autoSpaceDE w:val="0"/>
              <w:autoSpaceDN w:val="0"/>
              <w:bidi w:val="0"/>
              <w:adjustRightInd w:val="0"/>
              <w:snapToGrid w:val="0"/>
              <w:spacing w:before="176"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质量等级</w:t>
            </w:r>
          </w:p>
        </w:tc>
      </w:tr>
      <w:tr w14:paraId="04238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0F63873B">
            <w:pPr>
              <w:keepNext w:val="0"/>
              <w:keepLines w:val="0"/>
              <w:pageBreakBefore w:val="0"/>
              <w:widowControl/>
              <w:kinsoku/>
              <w:wordWrap w:val="0"/>
              <w:overflowPunct/>
              <w:topLinePunct w:val="0"/>
              <w:autoSpaceDE w:val="0"/>
              <w:autoSpaceDN w:val="0"/>
              <w:bidi w:val="0"/>
              <w:adjustRightInd w:val="0"/>
              <w:snapToGrid w:val="0"/>
              <w:spacing w:before="214" w:line="195"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610" w:type="dxa"/>
            <w:gridSpan w:val="2"/>
            <w:vAlign w:val="center"/>
          </w:tcPr>
          <w:p w14:paraId="578F80B6">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6F99EC2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4631B1E5">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2230ED0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01694071">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3653F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center"/>
          </w:tcPr>
          <w:p w14:paraId="7F39EB96">
            <w:pPr>
              <w:keepNext w:val="0"/>
              <w:keepLines w:val="0"/>
              <w:pageBreakBefore w:val="0"/>
              <w:widowControl/>
              <w:kinsoku/>
              <w:wordWrap w:val="0"/>
              <w:overflowPunct/>
              <w:topLinePunct w:val="0"/>
              <w:autoSpaceDE w:val="0"/>
              <w:autoSpaceDN w:val="0"/>
              <w:bidi w:val="0"/>
              <w:adjustRightInd w:val="0"/>
              <w:snapToGrid w:val="0"/>
              <w:spacing w:before="213" w:line="195"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610" w:type="dxa"/>
            <w:gridSpan w:val="2"/>
            <w:vAlign w:val="center"/>
          </w:tcPr>
          <w:p w14:paraId="2429E20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21F39687">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187647C5">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12E10BA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2CCF984C">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0E2BD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C3BEFDC">
            <w:pPr>
              <w:keepNext w:val="0"/>
              <w:keepLines w:val="0"/>
              <w:pageBreakBefore w:val="0"/>
              <w:widowControl/>
              <w:kinsoku/>
              <w:wordWrap w:val="0"/>
              <w:overflowPunct/>
              <w:topLinePunct w:val="0"/>
              <w:autoSpaceDE w:val="0"/>
              <w:autoSpaceDN w:val="0"/>
              <w:bidi w:val="0"/>
              <w:adjustRightInd w:val="0"/>
              <w:snapToGrid w:val="0"/>
              <w:spacing w:before="178" w:line="324" w:lineRule="exac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610" w:type="dxa"/>
            <w:gridSpan w:val="2"/>
            <w:vAlign w:val="center"/>
          </w:tcPr>
          <w:p w14:paraId="4CA19BC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3B5F7A6D">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2C82DE69">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1E92035E">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0264D791">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6F797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68DEEC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610" w:type="dxa"/>
            <w:gridSpan w:val="2"/>
            <w:vAlign w:val="center"/>
          </w:tcPr>
          <w:p w14:paraId="4D6AC80A">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477B4007">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1E64ACA0">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10A6E2C9">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262B31D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2483F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center"/>
          </w:tcPr>
          <w:p w14:paraId="46E95890">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610" w:type="dxa"/>
            <w:gridSpan w:val="2"/>
            <w:vAlign w:val="center"/>
          </w:tcPr>
          <w:p w14:paraId="6C7700FC">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7FB1A631">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748C3361">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47051D9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5DDD3800">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bl>
    <w:p w14:paraId="65A12D51">
      <w:pPr>
        <w:pStyle w:val="5"/>
        <w:keepNext w:val="0"/>
        <w:keepLines w:val="0"/>
        <w:pageBreakBefore w:val="0"/>
        <w:kinsoku/>
        <w:wordWrap w:val="0"/>
        <w:overflowPunct/>
        <w:topLinePunct w:val="0"/>
        <w:bidi w:val="0"/>
        <w:spacing w:line="314" w:lineRule="auto"/>
        <w:ind w:right="84" w:rightChars="40"/>
        <w:rPr>
          <w:rFonts w:hint="eastAsia" w:ascii="宋体" w:hAnsi="宋体" w:eastAsia="宋体" w:cs="宋体"/>
          <w:color w:val="auto"/>
          <w:spacing w:val="0"/>
          <w:sz w:val="24"/>
          <w:szCs w:val="24"/>
          <w:highlight w:val="none"/>
        </w:rPr>
      </w:pPr>
    </w:p>
    <w:p w14:paraId="06CDD6A3">
      <w:pPr>
        <w:pStyle w:val="5"/>
        <w:keepNext w:val="0"/>
        <w:keepLines w:val="0"/>
        <w:pageBreakBefore w:val="0"/>
        <w:kinsoku/>
        <w:wordWrap w:val="0"/>
        <w:overflowPunct/>
        <w:topLinePunct w:val="0"/>
        <w:bidi w:val="0"/>
        <w:spacing w:line="315" w:lineRule="auto"/>
        <w:ind w:right="84" w:rightChars="40"/>
        <w:rPr>
          <w:rFonts w:hint="eastAsia" w:ascii="宋体" w:hAnsi="宋体" w:eastAsia="宋体" w:cs="宋体"/>
          <w:color w:val="auto"/>
          <w:spacing w:val="0"/>
          <w:sz w:val="24"/>
          <w:szCs w:val="24"/>
          <w:highlight w:val="none"/>
        </w:rPr>
      </w:pPr>
    </w:p>
    <w:p w14:paraId="23DA4F53">
      <w:pPr>
        <w:keepNext w:val="0"/>
        <w:keepLines w:val="0"/>
        <w:pageBreakBefore w:val="0"/>
        <w:kinsoku/>
        <w:wordWrap w:val="0"/>
        <w:overflowPunct/>
        <w:topLinePunct w:val="0"/>
        <w:bidi w:val="0"/>
        <w:spacing w:before="78" w:line="220" w:lineRule="auto"/>
        <w:ind w:left="5165"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项目技术负责人：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w:t>
      </w:r>
    </w:p>
    <w:p w14:paraId="765047AA">
      <w:pPr>
        <w:pStyle w:val="5"/>
        <w:keepNext w:val="0"/>
        <w:keepLines w:val="0"/>
        <w:pageBreakBefore w:val="0"/>
        <w:kinsoku/>
        <w:wordWrap w:val="0"/>
        <w:overflowPunct/>
        <w:topLinePunct w:val="0"/>
        <w:bidi w:val="0"/>
        <w:spacing w:line="256" w:lineRule="auto"/>
        <w:ind w:right="84" w:rightChars="40"/>
        <w:jc w:val="right"/>
        <w:rPr>
          <w:rFonts w:hint="eastAsia" w:ascii="宋体" w:hAnsi="宋体" w:eastAsia="宋体" w:cs="宋体"/>
          <w:color w:val="auto"/>
          <w:spacing w:val="0"/>
          <w:sz w:val="24"/>
          <w:szCs w:val="24"/>
          <w:highlight w:val="none"/>
        </w:rPr>
      </w:pPr>
    </w:p>
    <w:p w14:paraId="48E9D4AF">
      <w:pPr>
        <w:pStyle w:val="5"/>
        <w:keepNext w:val="0"/>
        <w:keepLines w:val="0"/>
        <w:pageBreakBefore w:val="0"/>
        <w:kinsoku/>
        <w:wordWrap w:val="0"/>
        <w:overflowPunct/>
        <w:topLinePunct w:val="0"/>
        <w:bidi w:val="0"/>
        <w:spacing w:line="257" w:lineRule="auto"/>
        <w:ind w:right="84" w:rightChars="40"/>
        <w:jc w:val="right"/>
        <w:rPr>
          <w:rFonts w:hint="eastAsia" w:ascii="宋体" w:hAnsi="宋体" w:eastAsia="宋体" w:cs="宋体"/>
          <w:color w:val="auto"/>
          <w:spacing w:val="0"/>
          <w:sz w:val="24"/>
          <w:szCs w:val="24"/>
          <w:highlight w:val="none"/>
        </w:rPr>
      </w:pPr>
    </w:p>
    <w:p w14:paraId="7AFA30EA">
      <w:pPr>
        <w:pStyle w:val="5"/>
        <w:keepNext w:val="0"/>
        <w:keepLines w:val="0"/>
        <w:pageBreakBefore w:val="0"/>
        <w:kinsoku/>
        <w:wordWrap w:val="0"/>
        <w:overflowPunct/>
        <w:topLinePunct w:val="0"/>
        <w:bidi w:val="0"/>
        <w:spacing w:line="254" w:lineRule="auto"/>
        <w:ind w:right="84" w:rightChars="40"/>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6EF6B21B">
      <w:pPr>
        <w:keepNext w:val="0"/>
        <w:keepLines w:val="0"/>
        <w:pageBreakBefore w:val="0"/>
        <w:widowControl/>
        <w:kinsoku/>
        <w:wordWrap w:val="0"/>
        <w:overflowPunct/>
        <w:topLinePunct w:val="0"/>
        <w:autoSpaceDE w:val="0"/>
        <w:autoSpaceDN w:val="0"/>
        <w:bidi w:val="0"/>
        <w:adjustRightInd/>
        <w:snapToGrid/>
        <w:spacing w:before="65" w:line="360" w:lineRule="auto"/>
        <w:ind w:left="0" w:right="84" w:rightChars="4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说明：《项目技术负责人简历表》后应附拟派项目技术负责人以下资料：</w:t>
      </w:r>
    </w:p>
    <w:p w14:paraId="5ED95DA0">
      <w:pPr>
        <w:keepNext w:val="0"/>
        <w:keepLines w:val="0"/>
        <w:pageBreakBefore w:val="0"/>
        <w:widowControl/>
        <w:kinsoku/>
        <w:wordWrap w:val="0"/>
        <w:overflowPunct/>
        <w:topLinePunct w:val="0"/>
        <w:autoSpaceDE w:val="0"/>
        <w:autoSpaceDN w:val="0"/>
        <w:bidi w:val="0"/>
        <w:adjustRightInd/>
        <w:snapToGrid/>
        <w:spacing w:before="155" w:line="360" w:lineRule="auto"/>
        <w:ind w:left="0" w:right="84" w:rightChars="4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．身份证彩色扫描件；</w:t>
      </w:r>
    </w:p>
    <w:p w14:paraId="1DB79E91">
      <w:pPr>
        <w:keepNext w:val="0"/>
        <w:keepLines w:val="0"/>
        <w:pageBreakBefore w:val="0"/>
        <w:widowControl/>
        <w:kinsoku/>
        <w:wordWrap w:val="0"/>
        <w:overflowPunct/>
        <w:topLinePunct w:val="0"/>
        <w:autoSpaceDE w:val="0"/>
        <w:autoSpaceDN w:val="0"/>
        <w:bidi w:val="0"/>
        <w:adjustRightInd/>
        <w:snapToGrid/>
        <w:spacing w:before="151" w:line="360" w:lineRule="auto"/>
        <w:ind w:left="0" w:right="84" w:rightChars="4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．职称证彩色扫描件</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或打印件</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w:t>
      </w:r>
    </w:p>
    <w:p w14:paraId="21264357">
      <w:pPr>
        <w:keepNext w:val="0"/>
        <w:keepLines w:val="0"/>
        <w:pageBreakBefore w:val="0"/>
        <w:widowControl/>
        <w:kinsoku/>
        <w:wordWrap w:val="0"/>
        <w:overflowPunct/>
        <w:topLinePunct w:val="0"/>
        <w:autoSpaceDE w:val="0"/>
        <w:autoSpaceDN w:val="0"/>
        <w:bidi w:val="0"/>
        <w:adjustRightInd/>
        <w:snapToGrid/>
        <w:spacing w:before="153" w:line="360" w:lineRule="auto"/>
        <w:ind w:left="0" w:right="84" w:rightChars="4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．在本单位缴纳社保的证明（</w:t>
      </w:r>
      <w:r>
        <w:rPr>
          <w:rFonts w:hint="eastAsia" w:ascii="宋体" w:hAnsi="宋体" w:eastAsia="宋体" w:cs="宋体"/>
          <w:color w:val="auto"/>
          <w:spacing w:val="0"/>
          <w:sz w:val="24"/>
          <w:szCs w:val="24"/>
          <w:highlight w:val="none"/>
          <w:lang w:eastAsia="zh-CN"/>
        </w:rPr>
        <w:t>至少</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个月</w:t>
      </w:r>
      <w:r>
        <w:rPr>
          <w:rFonts w:hint="eastAsia" w:ascii="宋体" w:hAnsi="宋体" w:eastAsia="宋体" w:cs="宋体"/>
          <w:color w:val="auto"/>
          <w:spacing w:val="0"/>
          <w:sz w:val="24"/>
          <w:szCs w:val="24"/>
          <w:highlight w:val="none"/>
        </w:rPr>
        <w:t>，其中必须有</w:t>
      </w:r>
      <w:r>
        <w:rPr>
          <w:rFonts w:hint="eastAsia" w:ascii="宋体" w:hAnsi="宋体" w:eastAsia="宋体" w:cs="宋体"/>
          <w:color w:val="auto"/>
          <w:spacing w:val="0"/>
          <w:sz w:val="24"/>
          <w:szCs w:val="24"/>
          <w:highlight w:val="none"/>
          <w:lang w:eastAsia="zh-CN"/>
        </w:rPr>
        <w:t>202</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lang w:val="en-US" w:eastAsia="zh-CN"/>
        </w:rPr>
        <w:t>9</w:t>
      </w:r>
      <w:r>
        <w:rPr>
          <w:rFonts w:hint="eastAsia" w:ascii="宋体" w:hAnsi="宋体" w:eastAsia="宋体" w:cs="宋体"/>
          <w:color w:val="auto"/>
          <w:spacing w:val="0"/>
          <w:sz w:val="24"/>
          <w:szCs w:val="24"/>
          <w:highlight w:val="none"/>
        </w:rPr>
        <w:t>月）扫描件</w:t>
      </w:r>
      <w:r>
        <w:rPr>
          <w:rFonts w:hint="eastAsia" w:ascii="宋体" w:hAnsi="宋体" w:eastAsia="宋体" w:cs="宋体"/>
          <w:color w:val="auto"/>
          <w:spacing w:val="0"/>
          <w:sz w:val="24"/>
          <w:szCs w:val="24"/>
          <w:highlight w:val="none"/>
          <w:lang w:val="en-US" w:eastAsia="zh-CN"/>
        </w:rPr>
        <w:t>或打印件</w:t>
      </w:r>
      <w:r>
        <w:rPr>
          <w:rFonts w:hint="eastAsia" w:ascii="宋体" w:hAnsi="宋体" w:eastAsia="宋体" w:cs="宋体"/>
          <w:color w:val="auto"/>
          <w:spacing w:val="0"/>
          <w:sz w:val="24"/>
          <w:szCs w:val="24"/>
          <w:highlight w:val="none"/>
        </w:rPr>
        <w:t>。 拟派项目技术负责人为退休返聘人员无法提供社保证明的，提供退休证和劳动合同彩色扫描件。</w:t>
      </w:r>
    </w:p>
    <w:p w14:paraId="6422CCA0">
      <w:pPr>
        <w:keepNext w:val="0"/>
        <w:keepLines w:val="0"/>
        <w:pageBreakBefore w:val="0"/>
        <w:widowControl/>
        <w:kinsoku/>
        <w:wordWrap w:val="0"/>
        <w:overflowPunct/>
        <w:topLinePunct w:val="0"/>
        <w:autoSpaceDE w:val="0"/>
        <w:autoSpaceDN w:val="0"/>
        <w:bidi w:val="0"/>
        <w:adjustRightInd/>
        <w:snapToGrid/>
        <w:spacing w:before="153" w:line="360" w:lineRule="auto"/>
        <w:ind w:left="0" w:right="84" w:rightChars="4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 ．“进粤企业和人员诚信信息登记平台 ”个人信息情况截图。（适用于省外建筑企业）</w:t>
      </w:r>
    </w:p>
    <w:p w14:paraId="2833B1E2">
      <w:pPr>
        <w:keepNext w:val="0"/>
        <w:keepLines w:val="0"/>
        <w:pageBreakBefore w:val="0"/>
        <w:kinsoku/>
        <w:wordWrap w:val="0"/>
        <w:overflowPunct/>
        <w:topLinePunct w:val="0"/>
        <w:bidi w:val="0"/>
        <w:spacing w:line="228" w:lineRule="auto"/>
        <w:ind w:right="84" w:rightChars="40"/>
        <w:rPr>
          <w:rFonts w:hint="eastAsia" w:ascii="宋体" w:hAnsi="宋体" w:eastAsia="宋体" w:cs="宋体"/>
          <w:color w:val="auto"/>
          <w:spacing w:val="0"/>
          <w:sz w:val="20"/>
          <w:szCs w:val="20"/>
          <w:highlight w:val="none"/>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0C4B517">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61" w:name="_Toc24872"/>
      <w:r>
        <w:rPr>
          <w:rFonts w:hint="eastAsia" w:ascii="宋体" w:hAnsi="宋体" w:eastAsia="宋体" w:cs="宋体"/>
          <w:b/>
          <w:bCs/>
          <w:color w:val="auto"/>
          <w:spacing w:val="0"/>
          <w:sz w:val="24"/>
          <w:szCs w:val="24"/>
          <w:highlight w:val="none"/>
        </w:rPr>
        <w:t>格式十一 项目管理机构组成表</w:t>
      </w:r>
      <w:bookmarkEnd w:id="261"/>
    </w:p>
    <w:p w14:paraId="3B084A82">
      <w:pPr>
        <w:pStyle w:val="5"/>
        <w:keepNext w:val="0"/>
        <w:keepLines w:val="0"/>
        <w:pageBreakBefore w:val="0"/>
        <w:kinsoku/>
        <w:wordWrap w:val="0"/>
        <w:overflowPunct/>
        <w:topLinePunct w:val="0"/>
        <w:bidi w:val="0"/>
        <w:spacing w:line="351" w:lineRule="auto"/>
        <w:ind w:right="84" w:rightChars="40"/>
        <w:rPr>
          <w:rFonts w:hint="eastAsia" w:ascii="宋体" w:hAnsi="宋体" w:eastAsia="宋体" w:cs="宋体"/>
          <w:color w:val="auto"/>
          <w:spacing w:val="0"/>
          <w:highlight w:val="none"/>
        </w:rPr>
      </w:pPr>
    </w:p>
    <w:p w14:paraId="25B0F7B1">
      <w:pPr>
        <w:pStyle w:val="5"/>
        <w:keepNext w:val="0"/>
        <w:keepLines w:val="0"/>
        <w:pageBreakBefore w:val="0"/>
        <w:kinsoku/>
        <w:wordWrap w:val="0"/>
        <w:overflowPunct/>
        <w:topLinePunct w:val="0"/>
        <w:bidi w:val="0"/>
        <w:spacing w:line="351" w:lineRule="auto"/>
        <w:ind w:right="84" w:rightChars="40"/>
        <w:rPr>
          <w:rFonts w:hint="eastAsia" w:ascii="宋体" w:hAnsi="宋体" w:eastAsia="宋体" w:cs="宋体"/>
          <w:color w:val="auto"/>
          <w:spacing w:val="0"/>
          <w:highlight w:val="none"/>
        </w:rPr>
      </w:pPr>
    </w:p>
    <w:p w14:paraId="4DF3D9BA">
      <w:pPr>
        <w:keepNext w:val="0"/>
        <w:keepLines w:val="0"/>
        <w:pageBreakBefore w:val="0"/>
        <w:kinsoku/>
        <w:wordWrap w:val="0"/>
        <w:overflowPunct/>
        <w:topLinePunct w:val="0"/>
        <w:bidi w:val="0"/>
        <w:spacing w:before="97" w:line="219" w:lineRule="auto"/>
        <w:ind w:left="3200" w:right="84" w:rightChars="40"/>
        <w:outlineLvl w:val="9"/>
        <w:rPr>
          <w:rFonts w:hint="eastAsia" w:ascii="宋体" w:hAnsi="宋体" w:eastAsia="宋体" w:cs="宋体"/>
          <w:color w:val="auto"/>
          <w:spacing w:val="0"/>
          <w:sz w:val="30"/>
          <w:szCs w:val="30"/>
          <w:highlight w:val="none"/>
        </w:rPr>
      </w:pPr>
      <w:bookmarkStart w:id="262" w:name="bookmark158"/>
      <w:bookmarkEnd w:id="262"/>
      <w:bookmarkStart w:id="263" w:name="_Toc19973"/>
      <w:bookmarkStart w:id="264" w:name="_Toc28765"/>
      <w:r>
        <w:rPr>
          <w:rFonts w:hint="eastAsia" w:ascii="宋体" w:hAnsi="宋体" w:eastAsia="宋体" w:cs="宋体"/>
          <w:b/>
          <w:bCs/>
          <w:color w:val="auto"/>
          <w:spacing w:val="0"/>
          <w:sz w:val="30"/>
          <w:szCs w:val="30"/>
          <w:highlight w:val="none"/>
        </w:rPr>
        <w:t>项目管理机构组成表</w:t>
      </w:r>
      <w:bookmarkEnd w:id="263"/>
      <w:bookmarkEnd w:id="264"/>
    </w:p>
    <w:p w14:paraId="14B78991">
      <w:pPr>
        <w:keepNext w:val="0"/>
        <w:keepLines w:val="0"/>
        <w:pageBreakBefore w:val="0"/>
        <w:kinsoku/>
        <w:wordWrap w:val="0"/>
        <w:overflowPunct/>
        <w:topLinePunct w:val="0"/>
        <w:bidi w:val="0"/>
        <w:spacing w:before="7"/>
        <w:ind w:right="84" w:rightChars="40"/>
        <w:rPr>
          <w:rFonts w:hint="eastAsia" w:ascii="宋体" w:hAnsi="宋体" w:eastAsia="宋体" w:cs="宋体"/>
          <w:color w:val="auto"/>
          <w:spacing w:val="0"/>
          <w:highlight w:val="none"/>
        </w:rPr>
      </w:pPr>
    </w:p>
    <w:tbl>
      <w:tblPr>
        <w:tblStyle w:val="14"/>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50326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center"/>
          </w:tcPr>
          <w:p w14:paraId="60869D9E">
            <w:pPr>
              <w:keepNext w:val="0"/>
              <w:keepLines w:val="0"/>
              <w:pageBreakBefore w:val="0"/>
              <w:widowControl/>
              <w:kinsoku/>
              <w:wordWrap w:val="0"/>
              <w:overflowPunct/>
              <w:topLinePunct w:val="0"/>
              <w:autoSpaceDE w:val="0"/>
              <w:autoSpaceDN w:val="0"/>
              <w:bidi w:val="0"/>
              <w:adjustRightInd w:val="0"/>
              <w:snapToGrid w:val="0"/>
              <w:spacing w:before="229" w:line="231" w:lineRule="auto"/>
              <w:ind w:left="0" w:right="84" w:rightChars="4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序号</w:t>
            </w:r>
          </w:p>
        </w:tc>
        <w:tc>
          <w:tcPr>
            <w:tcW w:w="1939" w:type="dxa"/>
            <w:vAlign w:val="center"/>
          </w:tcPr>
          <w:p w14:paraId="7439BD66">
            <w:pPr>
              <w:keepNext w:val="0"/>
              <w:keepLines w:val="0"/>
              <w:pageBreakBefore w:val="0"/>
              <w:widowControl/>
              <w:kinsoku/>
              <w:wordWrap w:val="0"/>
              <w:overflowPunct/>
              <w:topLinePunct w:val="0"/>
              <w:autoSpaceDE w:val="0"/>
              <w:autoSpaceDN w:val="0"/>
              <w:bidi w:val="0"/>
              <w:adjustRightInd w:val="0"/>
              <w:snapToGrid w:val="0"/>
              <w:spacing w:before="228" w:line="231" w:lineRule="auto"/>
              <w:ind w:left="0" w:right="84" w:rightChars="4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岗位</w:t>
            </w:r>
          </w:p>
        </w:tc>
        <w:tc>
          <w:tcPr>
            <w:tcW w:w="1567" w:type="dxa"/>
            <w:vAlign w:val="center"/>
          </w:tcPr>
          <w:p w14:paraId="7EBB74F3">
            <w:pPr>
              <w:keepNext w:val="0"/>
              <w:keepLines w:val="0"/>
              <w:pageBreakBefore w:val="0"/>
              <w:widowControl/>
              <w:kinsoku/>
              <w:wordWrap w:val="0"/>
              <w:overflowPunct/>
              <w:topLinePunct w:val="0"/>
              <w:autoSpaceDE w:val="0"/>
              <w:autoSpaceDN w:val="0"/>
              <w:bidi w:val="0"/>
              <w:adjustRightInd w:val="0"/>
              <w:snapToGrid w:val="0"/>
              <w:spacing w:before="228" w:line="231" w:lineRule="auto"/>
              <w:ind w:left="0" w:right="84" w:rightChars="4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姓名</w:t>
            </w:r>
          </w:p>
        </w:tc>
        <w:tc>
          <w:tcPr>
            <w:tcW w:w="1017" w:type="dxa"/>
            <w:vAlign w:val="center"/>
          </w:tcPr>
          <w:p w14:paraId="3DE10A85">
            <w:pPr>
              <w:keepNext w:val="0"/>
              <w:keepLines w:val="0"/>
              <w:pageBreakBefore w:val="0"/>
              <w:widowControl/>
              <w:kinsoku/>
              <w:wordWrap w:val="0"/>
              <w:overflowPunct/>
              <w:topLinePunct w:val="0"/>
              <w:autoSpaceDE w:val="0"/>
              <w:autoSpaceDN w:val="0"/>
              <w:bidi w:val="0"/>
              <w:adjustRightInd w:val="0"/>
              <w:snapToGrid w:val="0"/>
              <w:spacing w:before="228" w:line="230" w:lineRule="auto"/>
              <w:ind w:left="0" w:right="84" w:rightChars="4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性别</w:t>
            </w:r>
          </w:p>
        </w:tc>
        <w:tc>
          <w:tcPr>
            <w:tcW w:w="1002" w:type="dxa"/>
            <w:vAlign w:val="center"/>
          </w:tcPr>
          <w:p w14:paraId="3050ABB3">
            <w:pPr>
              <w:keepNext w:val="0"/>
              <w:keepLines w:val="0"/>
              <w:pageBreakBefore w:val="0"/>
              <w:widowControl/>
              <w:kinsoku/>
              <w:wordWrap w:val="0"/>
              <w:overflowPunct/>
              <w:topLinePunct w:val="0"/>
              <w:autoSpaceDE w:val="0"/>
              <w:autoSpaceDN w:val="0"/>
              <w:bidi w:val="0"/>
              <w:adjustRightInd w:val="0"/>
              <w:snapToGrid w:val="0"/>
              <w:spacing w:before="229" w:line="231" w:lineRule="auto"/>
              <w:ind w:left="0" w:right="84" w:rightChars="4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年龄</w:t>
            </w:r>
          </w:p>
        </w:tc>
        <w:tc>
          <w:tcPr>
            <w:tcW w:w="1551" w:type="dxa"/>
            <w:vAlign w:val="center"/>
          </w:tcPr>
          <w:p w14:paraId="59C156EA">
            <w:pPr>
              <w:keepNext w:val="0"/>
              <w:keepLines w:val="0"/>
              <w:pageBreakBefore w:val="0"/>
              <w:widowControl/>
              <w:kinsoku/>
              <w:wordWrap w:val="0"/>
              <w:overflowPunct/>
              <w:topLinePunct w:val="0"/>
              <w:autoSpaceDE w:val="0"/>
              <w:autoSpaceDN w:val="0"/>
              <w:bidi w:val="0"/>
              <w:adjustRightInd w:val="0"/>
              <w:snapToGrid w:val="0"/>
              <w:spacing w:before="228" w:line="230" w:lineRule="auto"/>
              <w:ind w:left="0" w:right="84" w:rightChars="4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职称</w:t>
            </w:r>
          </w:p>
        </w:tc>
        <w:tc>
          <w:tcPr>
            <w:tcW w:w="1926" w:type="dxa"/>
            <w:vAlign w:val="center"/>
          </w:tcPr>
          <w:p w14:paraId="7FE3C975">
            <w:pPr>
              <w:keepNext w:val="0"/>
              <w:keepLines w:val="0"/>
              <w:pageBreakBefore w:val="0"/>
              <w:widowControl/>
              <w:kinsoku/>
              <w:wordWrap w:val="0"/>
              <w:overflowPunct/>
              <w:topLinePunct w:val="0"/>
              <w:autoSpaceDE w:val="0"/>
              <w:autoSpaceDN w:val="0"/>
              <w:bidi w:val="0"/>
              <w:adjustRightInd w:val="0"/>
              <w:snapToGrid w:val="0"/>
              <w:spacing w:before="228" w:line="230" w:lineRule="auto"/>
              <w:ind w:left="0" w:right="84" w:rightChars="4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备注</w:t>
            </w:r>
          </w:p>
        </w:tc>
      </w:tr>
      <w:tr w14:paraId="1711D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36AB410A">
            <w:pPr>
              <w:keepNext w:val="0"/>
              <w:keepLines w:val="0"/>
              <w:pageBreakBefore w:val="0"/>
              <w:widowControl/>
              <w:kinsoku/>
              <w:wordWrap w:val="0"/>
              <w:overflowPunct/>
              <w:topLinePunct w:val="0"/>
              <w:autoSpaceDE w:val="0"/>
              <w:autoSpaceDN w:val="0"/>
              <w:bidi w:val="0"/>
              <w:adjustRightInd w:val="0"/>
              <w:snapToGrid w:val="0"/>
              <w:spacing w:before="185" w:line="195"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939" w:type="dxa"/>
            <w:vAlign w:val="center"/>
          </w:tcPr>
          <w:p w14:paraId="1997300C">
            <w:pPr>
              <w:keepNext w:val="0"/>
              <w:keepLines w:val="0"/>
              <w:pageBreakBefore w:val="0"/>
              <w:widowControl/>
              <w:kinsoku/>
              <w:wordWrap w:val="0"/>
              <w:overflowPunct/>
              <w:topLinePunct w:val="0"/>
              <w:autoSpaceDE w:val="0"/>
              <w:autoSpaceDN w:val="0"/>
              <w:bidi w:val="0"/>
              <w:adjustRightInd w:val="0"/>
              <w:snapToGrid w:val="0"/>
              <w:spacing w:before="150"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项目经理</w:t>
            </w:r>
          </w:p>
        </w:tc>
        <w:tc>
          <w:tcPr>
            <w:tcW w:w="1567" w:type="dxa"/>
            <w:vAlign w:val="center"/>
          </w:tcPr>
          <w:p w14:paraId="05C5473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57F30F4D">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0F1D6EB1">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41672C6D">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4DE9F02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2165C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center"/>
          </w:tcPr>
          <w:p w14:paraId="31D50A1B">
            <w:pPr>
              <w:keepNext w:val="0"/>
              <w:keepLines w:val="0"/>
              <w:pageBreakBefore w:val="0"/>
              <w:widowControl/>
              <w:kinsoku/>
              <w:wordWrap w:val="0"/>
              <w:overflowPunct/>
              <w:topLinePunct w:val="0"/>
              <w:autoSpaceDE w:val="0"/>
              <w:autoSpaceDN w:val="0"/>
              <w:bidi w:val="0"/>
              <w:adjustRightInd w:val="0"/>
              <w:snapToGrid w:val="0"/>
              <w:spacing w:before="187" w:line="195"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939" w:type="dxa"/>
            <w:vAlign w:val="center"/>
          </w:tcPr>
          <w:p w14:paraId="3A12DDFD">
            <w:pPr>
              <w:keepNext w:val="0"/>
              <w:keepLines w:val="0"/>
              <w:pageBreakBefore w:val="0"/>
              <w:widowControl/>
              <w:kinsoku/>
              <w:wordWrap w:val="0"/>
              <w:overflowPunct/>
              <w:topLinePunct w:val="0"/>
              <w:autoSpaceDE w:val="0"/>
              <w:autoSpaceDN w:val="0"/>
              <w:bidi w:val="0"/>
              <w:adjustRightInd w:val="0"/>
              <w:snapToGrid w:val="0"/>
              <w:spacing w:before="152"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项目技术负责人</w:t>
            </w:r>
          </w:p>
        </w:tc>
        <w:tc>
          <w:tcPr>
            <w:tcW w:w="1567" w:type="dxa"/>
            <w:vAlign w:val="center"/>
          </w:tcPr>
          <w:p w14:paraId="6A048FE5">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62616D65">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290403F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513D5740">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44350E5E">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7C2BE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7FC001D7">
            <w:pPr>
              <w:keepNext w:val="0"/>
              <w:keepLines w:val="0"/>
              <w:pageBreakBefore w:val="0"/>
              <w:widowControl/>
              <w:kinsoku/>
              <w:wordWrap w:val="0"/>
              <w:overflowPunct/>
              <w:topLinePunct w:val="0"/>
              <w:autoSpaceDE w:val="0"/>
              <w:autoSpaceDN w:val="0"/>
              <w:bidi w:val="0"/>
              <w:adjustRightInd w:val="0"/>
              <w:snapToGrid w:val="0"/>
              <w:spacing w:before="189" w:line="195" w:lineRule="auto"/>
              <w:ind w:left="0" w:right="84" w:rightChars="40"/>
              <w:jc w:val="center"/>
              <w:textAlignment w:val="baseline"/>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w:t>
            </w:r>
          </w:p>
        </w:tc>
        <w:tc>
          <w:tcPr>
            <w:tcW w:w="1939" w:type="dxa"/>
            <w:vAlign w:val="center"/>
          </w:tcPr>
          <w:p w14:paraId="35920EAB">
            <w:pPr>
              <w:keepNext w:val="0"/>
              <w:keepLines w:val="0"/>
              <w:pageBreakBefore w:val="0"/>
              <w:widowControl/>
              <w:kinsoku/>
              <w:wordWrap w:val="0"/>
              <w:overflowPunct/>
              <w:topLinePunct w:val="0"/>
              <w:autoSpaceDE w:val="0"/>
              <w:autoSpaceDN w:val="0"/>
              <w:bidi w:val="0"/>
              <w:adjustRightInd w:val="0"/>
              <w:snapToGrid w:val="0"/>
              <w:spacing w:before="153"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专职安全员</w:t>
            </w:r>
          </w:p>
        </w:tc>
        <w:tc>
          <w:tcPr>
            <w:tcW w:w="1567" w:type="dxa"/>
            <w:vAlign w:val="center"/>
          </w:tcPr>
          <w:p w14:paraId="539D56FA">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106625F6">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1934B0B9">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733019E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2A7AA2A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10559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0773F671">
            <w:pPr>
              <w:keepNext w:val="0"/>
              <w:keepLines w:val="0"/>
              <w:pageBreakBefore w:val="0"/>
              <w:widowControl/>
              <w:kinsoku/>
              <w:wordWrap w:val="0"/>
              <w:overflowPunct/>
              <w:topLinePunct w:val="0"/>
              <w:autoSpaceDE w:val="0"/>
              <w:autoSpaceDN w:val="0"/>
              <w:bidi w:val="0"/>
              <w:adjustRightInd w:val="0"/>
              <w:snapToGrid w:val="0"/>
              <w:spacing w:before="188" w:line="195"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w:t>
            </w:r>
          </w:p>
        </w:tc>
        <w:tc>
          <w:tcPr>
            <w:tcW w:w="1939" w:type="dxa"/>
            <w:vAlign w:val="center"/>
          </w:tcPr>
          <w:p w14:paraId="30C10F88">
            <w:pPr>
              <w:keepNext w:val="0"/>
              <w:keepLines w:val="0"/>
              <w:pageBreakBefore w:val="0"/>
              <w:widowControl/>
              <w:kinsoku/>
              <w:wordWrap w:val="0"/>
              <w:overflowPunct/>
              <w:topLinePunct w:val="0"/>
              <w:autoSpaceDE w:val="0"/>
              <w:autoSpaceDN w:val="0"/>
              <w:bidi w:val="0"/>
              <w:adjustRightInd w:val="0"/>
              <w:snapToGrid w:val="0"/>
              <w:spacing w:before="152" w:line="230"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施工员</w:t>
            </w:r>
          </w:p>
        </w:tc>
        <w:tc>
          <w:tcPr>
            <w:tcW w:w="1567" w:type="dxa"/>
            <w:vAlign w:val="center"/>
          </w:tcPr>
          <w:p w14:paraId="05CA2BD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10108C0F">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34A0A4E6">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2D97556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48296E49">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131EE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1C720381">
            <w:pPr>
              <w:keepNext w:val="0"/>
              <w:keepLines w:val="0"/>
              <w:pageBreakBefore w:val="0"/>
              <w:widowControl/>
              <w:kinsoku/>
              <w:wordWrap w:val="0"/>
              <w:overflowPunct/>
              <w:topLinePunct w:val="0"/>
              <w:autoSpaceDE w:val="0"/>
              <w:autoSpaceDN w:val="0"/>
              <w:bidi w:val="0"/>
              <w:adjustRightInd w:val="0"/>
              <w:snapToGrid w:val="0"/>
              <w:spacing w:before="193" w:line="192"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w:t>
            </w:r>
          </w:p>
        </w:tc>
        <w:tc>
          <w:tcPr>
            <w:tcW w:w="1939" w:type="dxa"/>
            <w:vAlign w:val="center"/>
          </w:tcPr>
          <w:p w14:paraId="3CAE22C0">
            <w:pPr>
              <w:keepNext w:val="0"/>
              <w:keepLines w:val="0"/>
              <w:pageBreakBefore w:val="0"/>
              <w:widowControl/>
              <w:kinsoku/>
              <w:wordWrap w:val="0"/>
              <w:overflowPunct/>
              <w:topLinePunct w:val="0"/>
              <w:autoSpaceDE w:val="0"/>
              <w:autoSpaceDN w:val="0"/>
              <w:bidi w:val="0"/>
              <w:adjustRightInd w:val="0"/>
              <w:snapToGrid w:val="0"/>
              <w:spacing w:before="154"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质量员</w:t>
            </w:r>
          </w:p>
        </w:tc>
        <w:tc>
          <w:tcPr>
            <w:tcW w:w="1567" w:type="dxa"/>
            <w:vAlign w:val="center"/>
          </w:tcPr>
          <w:p w14:paraId="16086B6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203D9B6F">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465E507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1AC236B1">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1B74D74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3A35A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2DD916FB">
            <w:pPr>
              <w:keepNext w:val="0"/>
              <w:keepLines w:val="0"/>
              <w:pageBreakBefore w:val="0"/>
              <w:widowControl/>
              <w:kinsoku/>
              <w:wordWrap w:val="0"/>
              <w:overflowPunct/>
              <w:topLinePunct w:val="0"/>
              <w:autoSpaceDE w:val="0"/>
              <w:autoSpaceDN w:val="0"/>
              <w:bidi w:val="0"/>
              <w:adjustRightInd w:val="0"/>
              <w:snapToGrid w:val="0"/>
              <w:spacing w:before="191" w:line="195"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w:t>
            </w:r>
          </w:p>
        </w:tc>
        <w:tc>
          <w:tcPr>
            <w:tcW w:w="1939" w:type="dxa"/>
            <w:vAlign w:val="center"/>
          </w:tcPr>
          <w:p w14:paraId="00D908A3">
            <w:pPr>
              <w:keepNext w:val="0"/>
              <w:keepLines w:val="0"/>
              <w:pageBreakBefore w:val="0"/>
              <w:widowControl/>
              <w:kinsoku/>
              <w:wordWrap w:val="0"/>
              <w:overflowPunct/>
              <w:topLinePunct w:val="0"/>
              <w:autoSpaceDE w:val="0"/>
              <w:autoSpaceDN w:val="0"/>
              <w:bidi w:val="0"/>
              <w:adjustRightInd w:val="0"/>
              <w:snapToGrid w:val="0"/>
              <w:spacing w:before="155" w:line="228"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材料员</w:t>
            </w:r>
          </w:p>
        </w:tc>
        <w:tc>
          <w:tcPr>
            <w:tcW w:w="1567" w:type="dxa"/>
            <w:vAlign w:val="center"/>
          </w:tcPr>
          <w:p w14:paraId="7A4124E4">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21B90CFC">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7429CA6B">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355EF2BE">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3D80AEAF">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596C3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4F1DC0C4">
            <w:pPr>
              <w:keepNext w:val="0"/>
              <w:keepLines w:val="0"/>
              <w:pageBreakBefore w:val="0"/>
              <w:widowControl/>
              <w:kinsoku/>
              <w:wordWrap w:val="0"/>
              <w:overflowPunct/>
              <w:topLinePunct w:val="0"/>
              <w:autoSpaceDE w:val="0"/>
              <w:autoSpaceDN w:val="0"/>
              <w:bidi w:val="0"/>
              <w:adjustRightInd w:val="0"/>
              <w:snapToGrid w:val="0"/>
              <w:spacing w:before="192" w:line="192"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w:t>
            </w:r>
          </w:p>
        </w:tc>
        <w:tc>
          <w:tcPr>
            <w:tcW w:w="1939" w:type="dxa"/>
            <w:vAlign w:val="center"/>
          </w:tcPr>
          <w:p w14:paraId="2B81E2B2">
            <w:pPr>
              <w:keepNext w:val="0"/>
              <w:keepLines w:val="0"/>
              <w:pageBreakBefore w:val="0"/>
              <w:widowControl/>
              <w:kinsoku/>
              <w:wordWrap w:val="0"/>
              <w:overflowPunct/>
              <w:topLinePunct w:val="0"/>
              <w:autoSpaceDE w:val="0"/>
              <w:autoSpaceDN w:val="0"/>
              <w:bidi w:val="0"/>
              <w:adjustRightInd w:val="0"/>
              <w:snapToGrid w:val="0"/>
              <w:spacing w:before="154" w:line="229" w:lineRule="auto"/>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资料员</w:t>
            </w:r>
          </w:p>
        </w:tc>
        <w:tc>
          <w:tcPr>
            <w:tcW w:w="1567" w:type="dxa"/>
            <w:vAlign w:val="center"/>
          </w:tcPr>
          <w:p w14:paraId="5830ACFC">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2BE2E7C7">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1AEE4D9D">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462B06F0">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75D8694A">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r w14:paraId="66E88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center"/>
          </w:tcPr>
          <w:p w14:paraId="01C28551">
            <w:pPr>
              <w:keepNext w:val="0"/>
              <w:keepLines w:val="0"/>
              <w:pageBreakBefore w:val="0"/>
              <w:widowControl/>
              <w:kinsoku/>
              <w:wordWrap w:val="0"/>
              <w:overflowPunct/>
              <w:topLinePunct w:val="0"/>
              <w:autoSpaceDE w:val="0"/>
              <w:autoSpaceDN w:val="0"/>
              <w:bidi w:val="0"/>
              <w:adjustRightInd w:val="0"/>
              <w:snapToGrid w:val="0"/>
              <w:spacing w:before="154" w:line="325" w:lineRule="exact"/>
              <w:ind w:left="0" w:right="84" w:rightChars="4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939" w:type="dxa"/>
            <w:vAlign w:val="center"/>
          </w:tcPr>
          <w:p w14:paraId="40723A72">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567" w:type="dxa"/>
            <w:vAlign w:val="center"/>
          </w:tcPr>
          <w:p w14:paraId="7F1F6AE8">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77322F0D">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62FB4EA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2D6E46A7">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52450073">
            <w:pPr>
              <w:pStyle w:val="27"/>
              <w:keepNext w:val="0"/>
              <w:keepLines w:val="0"/>
              <w:pageBreakBefore w:val="0"/>
              <w:widowControl/>
              <w:kinsoku/>
              <w:wordWrap w:val="0"/>
              <w:overflowPunct/>
              <w:topLinePunct w:val="0"/>
              <w:autoSpaceDE w:val="0"/>
              <w:autoSpaceDN w:val="0"/>
              <w:bidi w:val="0"/>
              <w:adjustRightInd w:val="0"/>
              <w:snapToGrid w:val="0"/>
              <w:ind w:left="0" w:right="84" w:rightChars="40"/>
              <w:jc w:val="center"/>
              <w:textAlignment w:val="baseline"/>
              <w:rPr>
                <w:rFonts w:hint="eastAsia" w:ascii="宋体" w:hAnsi="宋体" w:eastAsia="宋体" w:cs="宋体"/>
                <w:color w:val="auto"/>
                <w:spacing w:val="0"/>
                <w:sz w:val="24"/>
                <w:szCs w:val="24"/>
                <w:highlight w:val="none"/>
              </w:rPr>
            </w:pPr>
          </w:p>
        </w:tc>
      </w:tr>
    </w:tbl>
    <w:p w14:paraId="1A2216AD">
      <w:pPr>
        <w:pStyle w:val="5"/>
        <w:keepNext w:val="0"/>
        <w:keepLines w:val="0"/>
        <w:pageBreakBefore w:val="0"/>
        <w:kinsoku/>
        <w:wordWrap w:val="0"/>
        <w:overflowPunct/>
        <w:topLinePunct w:val="0"/>
        <w:bidi w:val="0"/>
        <w:spacing w:line="395" w:lineRule="auto"/>
        <w:ind w:right="84" w:rightChars="40"/>
        <w:rPr>
          <w:rFonts w:hint="eastAsia" w:ascii="宋体" w:hAnsi="宋体" w:eastAsia="宋体" w:cs="宋体"/>
          <w:color w:val="auto"/>
          <w:spacing w:val="0"/>
          <w:sz w:val="24"/>
          <w:szCs w:val="24"/>
          <w:highlight w:val="none"/>
        </w:rPr>
      </w:pPr>
    </w:p>
    <w:p w14:paraId="3469D01B">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w:t>
      </w:r>
    </w:p>
    <w:p w14:paraId="39CA077E">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0" w:firstLineChars="200"/>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．《项目管理机构组成表》后应附表中拟派人员（项目经理、项目技术负责人除外）以下资料：</w:t>
      </w:r>
    </w:p>
    <w:p w14:paraId="0CE589C1">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0" w:firstLineChars="200"/>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身份证彩色扫描件；</w:t>
      </w:r>
    </w:p>
    <w:p w14:paraId="02AA64CE">
      <w:pPr>
        <w:keepNext w:val="0"/>
        <w:keepLines w:val="0"/>
        <w:pageBreakBefore w:val="0"/>
        <w:widowControl/>
        <w:kinsoku/>
        <w:wordWrap w:val="0"/>
        <w:overflowPunct/>
        <w:topLinePunct w:val="0"/>
        <w:autoSpaceDE w:val="0"/>
        <w:autoSpaceDN w:val="0"/>
        <w:bidi w:val="0"/>
        <w:adjustRightInd/>
        <w:snapToGrid/>
        <w:spacing w:line="360" w:lineRule="auto"/>
        <w:ind w:left="0" w:leftChars="0" w:right="84" w:rightChars="4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专职安全员须提供C类安全生产考核合格证书扫描件或“建筑施工企业管理人员安全生产考核信息系统”考核合格信息扫描件；施工员、质量员、材料员、资料员附岗位证书或培训证书彩色扫描件或打印件；</w:t>
      </w:r>
    </w:p>
    <w:p w14:paraId="3CEAFCD3">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在本单位缴纳社保的证明（</w:t>
      </w:r>
      <w:r>
        <w:rPr>
          <w:rFonts w:hint="eastAsia" w:ascii="宋体" w:hAnsi="宋体" w:eastAsia="宋体" w:cs="宋体"/>
          <w:color w:val="auto"/>
          <w:spacing w:val="0"/>
          <w:sz w:val="24"/>
          <w:szCs w:val="24"/>
          <w:highlight w:val="none"/>
          <w:lang w:eastAsia="zh-CN"/>
        </w:rPr>
        <w:t>至少</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个月</w:t>
      </w:r>
      <w:r>
        <w:rPr>
          <w:rFonts w:hint="eastAsia" w:ascii="宋体" w:hAnsi="宋体" w:eastAsia="宋体" w:cs="宋体"/>
          <w:color w:val="auto"/>
          <w:spacing w:val="0"/>
          <w:sz w:val="24"/>
          <w:szCs w:val="24"/>
          <w:highlight w:val="none"/>
        </w:rPr>
        <w:t>，其中必须有</w:t>
      </w:r>
      <w:r>
        <w:rPr>
          <w:rFonts w:hint="eastAsia" w:ascii="宋体" w:hAnsi="宋体" w:eastAsia="宋体" w:cs="宋体"/>
          <w:color w:val="auto"/>
          <w:spacing w:val="0"/>
          <w:sz w:val="24"/>
          <w:szCs w:val="24"/>
          <w:highlight w:val="none"/>
          <w:lang w:eastAsia="zh-CN"/>
        </w:rPr>
        <w:t>202</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lang w:val="en-US" w:eastAsia="zh-CN"/>
        </w:rPr>
        <w:t>9</w:t>
      </w:r>
      <w:r>
        <w:rPr>
          <w:rFonts w:hint="eastAsia" w:ascii="宋体" w:hAnsi="宋体" w:eastAsia="宋体" w:cs="宋体"/>
          <w:color w:val="auto"/>
          <w:spacing w:val="0"/>
          <w:sz w:val="24"/>
          <w:szCs w:val="24"/>
          <w:highlight w:val="none"/>
        </w:rPr>
        <w:t>月）扫描件</w:t>
      </w:r>
      <w:r>
        <w:rPr>
          <w:rFonts w:hint="eastAsia" w:ascii="宋体" w:hAnsi="宋体" w:eastAsia="宋体" w:cs="宋体"/>
          <w:color w:val="auto"/>
          <w:spacing w:val="0"/>
          <w:sz w:val="24"/>
          <w:szCs w:val="24"/>
          <w:highlight w:val="none"/>
          <w:lang w:val="en-US" w:eastAsia="zh-CN"/>
        </w:rPr>
        <w:t>或打印件</w:t>
      </w:r>
      <w:r>
        <w:rPr>
          <w:rFonts w:hint="eastAsia" w:ascii="宋体" w:hAnsi="宋体" w:eastAsia="宋体" w:cs="宋体"/>
          <w:color w:val="auto"/>
          <w:spacing w:val="0"/>
          <w:sz w:val="24"/>
          <w:szCs w:val="24"/>
          <w:highlight w:val="none"/>
        </w:rPr>
        <w:t>。拟派</w:t>
      </w:r>
      <w:r>
        <w:rPr>
          <w:rFonts w:hint="eastAsia" w:ascii="宋体" w:hAnsi="宋体" w:eastAsia="宋体" w:cs="宋体"/>
          <w:color w:val="auto"/>
          <w:spacing w:val="0"/>
          <w:sz w:val="24"/>
          <w:szCs w:val="24"/>
          <w:highlight w:val="none"/>
          <w:lang w:val="en-US" w:eastAsia="zh-CN"/>
        </w:rPr>
        <w:t>人员</w:t>
      </w:r>
      <w:r>
        <w:rPr>
          <w:rFonts w:hint="eastAsia" w:ascii="宋体" w:hAnsi="宋体" w:eastAsia="宋体" w:cs="宋体"/>
          <w:color w:val="auto"/>
          <w:spacing w:val="0"/>
          <w:sz w:val="24"/>
          <w:szCs w:val="24"/>
          <w:highlight w:val="none"/>
        </w:rPr>
        <w:t>为退休返聘人员无法提供社保证明的，提供退休证和劳动合同彩色扫描件。</w:t>
      </w:r>
    </w:p>
    <w:p w14:paraId="61E286EA">
      <w:pPr>
        <w:keepNext w:val="0"/>
        <w:keepLines w:val="0"/>
        <w:pageBreakBefore w:val="0"/>
        <w:widowControl/>
        <w:kinsoku/>
        <w:wordWrap w:val="0"/>
        <w:overflowPunct/>
        <w:topLinePunct w:val="0"/>
        <w:autoSpaceDE w:val="0"/>
        <w:autoSpaceDN w:val="0"/>
        <w:bidi w:val="0"/>
        <w:adjustRightInd/>
        <w:snapToGrid/>
        <w:spacing w:line="360" w:lineRule="auto"/>
        <w:ind w:left="0" w:leftChars="0" w:right="84" w:rightChars="4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（4）“进粤企业和人员诚信信息登记平台”个人信息情况截图。（适用于省外建筑企业）</w:t>
      </w:r>
    </w:p>
    <w:p w14:paraId="73BD7082">
      <w:pPr>
        <w:keepNext w:val="0"/>
        <w:keepLines w:val="0"/>
        <w:pageBreakBefore w:val="0"/>
        <w:widowControl/>
        <w:kinsoku/>
        <w:wordWrap w:val="0"/>
        <w:overflowPunct/>
        <w:topLinePunct w:val="0"/>
        <w:autoSpaceDE w:val="0"/>
        <w:autoSpaceDN w:val="0"/>
        <w:bidi w:val="0"/>
        <w:adjustRightInd/>
        <w:snapToGrid/>
        <w:spacing w:line="360" w:lineRule="auto"/>
        <w:ind w:left="0" w:right="84" w:rightChars="4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联合体投标的，《项目管理机构组成表》应包括联合体成员单位参与项目管理机构的人员，并提供以上所需资料。</w:t>
      </w:r>
    </w:p>
    <w:p w14:paraId="7BD687CB">
      <w:pPr>
        <w:ind w:right="84" w:rightChars="4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487C8DAA">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65" w:name="_Toc32698"/>
      <w:r>
        <w:rPr>
          <w:rFonts w:hint="eastAsia" w:ascii="宋体" w:hAnsi="宋体" w:eastAsia="宋体" w:cs="宋体"/>
          <w:b/>
          <w:bCs/>
          <w:color w:val="auto"/>
          <w:spacing w:val="0"/>
          <w:sz w:val="24"/>
          <w:szCs w:val="24"/>
          <w:highlight w:val="none"/>
        </w:rPr>
        <w:t>格式十二 建造师查询页（有效期+建造师签字）</w:t>
      </w:r>
      <w:bookmarkEnd w:id="265"/>
    </w:p>
    <w:p w14:paraId="734EE390">
      <w:pPr>
        <w:keepNext w:val="0"/>
        <w:keepLines w:val="0"/>
        <w:pageBreakBefore w:val="0"/>
        <w:kinsoku/>
        <w:wordWrap w:val="0"/>
        <w:overflowPunct/>
        <w:topLinePunct w:val="0"/>
        <w:bidi w:val="0"/>
        <w:ind w:right="84" w:rightChars="40"/>
        <w:outlineLvl w:val="9"/>
        <w:rPr>
          <w:rFonts w:hint="eastAsia" w:ascii="宋体" w:hAnsi="宋体" w:eastAsia="宋体" w:cs="宋体"/>
          <w:color w:val="auto"/>
          <w:spacing w:val="0"/>
          <w:highlight w:val="none"/>
        </w:rPr>
      </w:pPr>
      <w:r>
        <w:rPr>
          <w:rFonts w:hint="eastAsia" w:ascii="宋体" w:hAnsi="宋体" w:eastAsia="宋体" w:cs="宋体"/>
          <w:color w:val="auto"/>
          <w:spacing w:val="0"/>
          <w:position w:val="-235"/>
          <w:highlight w:val="none"/>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5"/>
                    <a:stretch>
                      <a:fillRect/>
                    </a:stretch>
                  </pic:blipFill>
                  <pic:spPr>
                    <a:xfrm>
                      <a:off x="0" y="0"/>
                      <a:ext cx="6239510" cy="8013700"/>
                    </a:xfrm>
                    <a:prstGeom prst="rect">
                      <a:avLst/>
                    </a:prstGeom>
                    <a:noFill/>
                    <a:ln>
                      <a:noFill/>
                    </a:ln>
                  </pic:spPr>
                </pic:pic>
              </a:graphicData>
            </a:graphic>
          </wp:inline>
        </w:drawing>
      </w:r>
    </w:p>
    <w:p w14:paraId="64B4C367">
      <w:pPr>
        <w:keepNext w:val="0"/>
        <w:keepLines w:val="0"/>
        <w:pageBreakBefore w:val="0"/>
        <w:kinsoku/>
        <w:wordWrap w:val="0"/>
        <w:overflowPunct/>
        <w:topLinePunct w:val="0"/>
        <w:bidi w:val="0"/>
        <w:spacing w:line="220" w:lineRule="auto"/>
        <w:ind w:right="84" w:rightChars="40"/>
        <w:rPr>
          <w:rFonts w:hint="eastAsia" w:ascii="宋体" w:hAnsi="宋体" w:eastAsia="宋体" w:cs="宋体"/>
          <w:color w:val="auto"/>
          <w:spacing w:val="0"/>
          <w:sz w:val="24"/>
          <w:szCs w:val="24"/>
          <w:highlight w:val="none"/>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D37CFE7">
      <w:pPr>
        <w:keepNext w:val="0"/>
        <w:keepLines w:val="0"/>
        <w:pageBreakBefore w:val="0"/>
        <w:kinsoku/>
        <w:wordWrap w:val="0"/>
        <w:overflowPunct/>
        <w:topLinePunct w:val="0"/>
        <w:bidi w:val="0"/>
        <w:spacing w:line="10744" w:lineRule="exact"/>
        <w:ind w:right="84" w:rightChars="40"/>
        <w:rPr>
          <w:rFonts w:hint="eastAsia" w:ascii="宋体" w:hAnsi="宋体" w:eastAsia="宋体" w:cs="宋体"/>
          <w:color w:val="auto"/>
          <w:spacing w:val="0"/>
          <w:highlight w:val="none"/>
        </w:rPr>
      </w:pPr>
      <w:r>
        <w:rPr>
          <w:rFonts w:hint="eastAsia" w:ascii="宋体" w:hAnsi="宋体" w:eastAsia="宋体" w:cs="宋体"/>
          <w:color w:val="auto"/>
          <w:spacing w:val="0"/>
          <w:position w:val="-214"/>
          <w:highlight w:val="none"/>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6"/>
                    <a:stretch>
                      <a:fillRect/>
                    </a:stretch>
                  </pic:blipFill>
                  <pic:spPr>
                    <a:xfrm>
                      <a:off x="0" y="0"/>
                      <a:ext cx="6285865" cy="6925310"/>
                    </a:xfrm>
                    <a:prstGeom prst="rect">
                      <a:avLst/>
                    </a:prstGeom>
                    <a:noFill/>
                    <a:ln>
                      <a:noFill/>
                    </a:ln>
                  </pic:spPr>
                </pic:pic>
              </a:graphicData>
            </a:graphic>
          </wp:inline>
        </w:drawing>
      </w:r>
    </w:p>
    <w:p w14:paraId="174F9627">
      <w:pPr>
        <w:keepNext w:val="0"/>
        <w:keepLines w:val="0"/>
        <w:pageBreakBefore w:val="0"/>
        <w:kinsoku/>
        <w:wordWrap w:val="0"/>
        <w:overflowPunct/>
        <w:topLinePunct w:val="0"/>
        <w:bidi w:val="0"/>
        <w:spacing w:line="10744" w:lineRule="exact"/>
        <w:ind w:right="84" w:rightChars="40"/>
        <w:rPr>
          <w:rFonts w:hint="eastAsia" w:ascii="宋体" w:hAnsi="宋体" w:eastAsia="宋体" w:cs="宋体"/>
          <w:color w:val="auto"/>
          <w:spacing w:val="0"/>
          <w:highlight w:val="none"/>
        </w:rPr>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9F1B678">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66" w:name="_Toc14863"/>
      <w:r>
        <w:rPr>
          <w:rFonts w:hint="eastAsia" w:ascii="宋体" w:hAnsi="宋体" w:eastAsia="宋体" w:cs="宋体"/>
          <w:b/>
          <w:bCs/>
          <w:color w:val="auto"/>
          <w:spacing w:val="0"/>
          <w:sz w:val="24"/>
          <w:szCs w:val="24"/>
          <w:highlight w:val="none"/>
        </w:rPr>
        <w:t>格式十三</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2"/>
          <w:szCs w:val="22"/>
          <w:highlight w:val="none"/>
        </w:rPr>
        <w:t>危险性较大的分部分项工程清单及超过一定规模的危险性较大的分部分项工程清单</w:t>
      </w:r>
      <w:bookmarkEnd w:id="266"/>
    </w:p>
    <w:p w14:paraId="4E20E0E7">
      <w:pPr>
        <w:pStyle w:val="5"/>
        <w:keepNext w:val="0"/>
        <w:keepLines w:val="0"/>
        <w:pageBreakBefore w:val="0"/>
        <w:kinsoku/>
        <w:wordWrap w:val="0"/>
        <w:overflowPunct/>
        <w:topLinePunct w:val="0"/>
        <w:bidi w:val="0"/>
        <w:spacing w:line="269" w:lineRule="auto"/>
        <w:ind w:right="84" w:rightChars="40"/>
        <w:rPr>
          <w:rFonts w:hint="eastAsia" w:ascii="宋体" w:hAnsi="宋体" w:eastAsia="宋体" w:cs="宋体"/>
          <w:color w:val="auto"/>
          <w:spacing w:val="0"/>
          <w:highlight w:val="none"/>
        </w:rPr>
      </w:pPr>
    </w:p>
    <w:p w14:paraId="0DB6A583">
      <w:pPr>
        <w:keepNext w:val="0"/>
        <w:keepLines w:val="0"/>
        <w:pageBreakBefore w:val="0"/>
        <w:tabs>
          <w:tab w:val="left" w:pos="2940"/>
        </w:tabs>
        <w:kinsoku/>
        <w:wordWrap w:val="0"/>
        <w:overflowPunct/>
        <w:topLinePunct w:val="0"/>
        <w:bidi w:val="0"/>
        <w:spacing w:before="101" w:line="377" w:lineRule="auto"/>
        <w:ind w:left="3179" w:leftChars="0" w:right="84" w:rightChars="40" w:hanging="3133" w:firstLineChars="0"/>
        <w:rPr>
          <w:rFonts w:hint="eastAsia" w:ascii="宋体" w:hAnsi="宋体" w:eastAsia="宋体" w:cs="宋体"/>
          <w:color w:val="auto"/>
          <w:spacing w:val="0"/>
          <w:sz w:val="31"/>
          <w:szCs w:val="31"/>
          <w:highlight w:val="none"/>
        </w:rPr>
      </w:pPr>
      <w:bookmarkStart w:id="267" w:name="bookmark160"/>
      <w:bookmarkEnd w:id="267"/>
      <w:bookmarkStart w:id="268" w:name="OLE_LINK41"/>
      <w:r>
        <w:rPr>
          <w:rFonts w:hint="eastAsia" w:ascii="宋体" w:hAnsi="宋体" w:eastAsia="宋体" w:cs="宋体"/>
          <w:b/>
          <w:bCs/>
          <w:color w:val="auto"/>
          <w:spacing w:val="0"/>
          <w:sz w:val="31"/>
          <w:szCs w:val="31"/>
          <w:highlight w:val="none"/>
        </w:rPr>
        <w:t>危险性较大的分部分项工程清单及超过一定规模的危险性较大的分部分项工程清单</w:t>
      </w:r>
    </w:p>
    <w:bookmarkEnd w:id="268"/>
    <w:p w14:paraId="5004DA81">
      <w:pPr>
        <w:keepNext w:val="0"/>
        <w:keepLines w:val="0"/>
        <w:pageBreakBefore w:val="0"/>
        <w:kinsoku/>
        <w:wordWrap w:val="0"/>
        <w:overflowPunct/>
        <w:topLinePunct w:val="0"/>
        <w:bidi w:val="0"/>
        <w:spacing w:before="6" w:line="326" w:lineRule="auto"/>
        <w:ind w:left="5" w:right="84" w:rightChars="40"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1、根据中华人民共和国住房和城乡建设部令第37号《危险性较大的分部分项工程安全管理规定》（以下简称“37号文 ”），投标人在投标时须补充完善危大工程清单并明确相应的安全管理措施。</w:t>
      </w:r>
    </w:p>
    <w:p w14:paraId="39C98E84">
      <w:pPr>
        <w:keepNext w:val="0"/>
        <w:keepLines w:val="0"/>
        <w:pageBreakBefore w:val="0"/>
        <w:kinsoku/>
        <w:wordWrap w:val="0"/>
        <w:overflowPunct/>
        <w:topLinePunct w:val="0"/>
        <w:bidi w:val="0"/>
        <w:spacing w:before="208" w:line="326" w:lineRule="auto"/>
        <w:ind w:left="1" w:right="84" w:rightChars="40"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2、招标人根据设计文件的要求及37号文、粤建规范〔2019〕2号文的规定列出“危险性较大的分部分项工程清单及超过一定规模的危险性较大的分部分项工程清单 ”中与 本招标项目相关的清单项，具体详见第5点“打 √ ”标识。</w:t>
      </w:r>
    </w:p>
    <w:p w14:paraId="3676768B">
      <w:pPr>
        <w:keepNext w:val="0"/>
        <w:keepLines w:val="0"/>
        <w:pageBreakBefore w:val="0"/>
        <w:kinsoku/>
        <w:wordWrap w:val="0"/>
        <w:overflowPunct/>
        <w:topLinePunct w:val="0"/>
        <w:bidi w:val="0"/>
        <w:spacing w:before="209" w:line="299" w:lineRule="auto"/>
        <w:ind w:left="3" w:right="84" w:rightChars="40"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（1）投标单位同意建设单位在清单中标识的该项请在对应项打“ √ ”标识，并与投标文件中提供相应的安全管理措施。</w:t>
      </w:r>
    </w:p>
    <w:p w14:paraId="1C2AFCFC">
      <w:pPr>
        <w:keepNext w:val="0"/>
        <w:keepLines w:val="0"/>
        <w:pageBreakBefore w:val="0"/>
        <w:kinsoku/>
        <w:wordWrap w:val="0"/>
        <w:overflowPunct/>
        <w:topLinePunct w:val="0"/>
        <w:bidi w:val="0"/>
        <w:spacing w:before="208" w:line="299" w:lineRule="auto"/>
        <w:ind w:left="2" w:right="84" w:rightChars="40"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（2）投标单位对清单中认为需要补充的该项请在对应项打“ √ ”标识，并与投标文件中提供相应的安全管理措施。</w:t>
      </w:r>
    </w:p>
    <w:p w14:paraId="2C57E579">
      <w:pPr>
        <w:keepNext w:val="0"/>
        <w:keepLines w:val="0"/>
        <w:pageBreakBefore w:val="0"/>
        <w:kinsoku/>
        <w:wordWrap w:val="0"/>
        <w:overflowPunct/>
        <w:topLinePunct w:val="0"/>
        <w:bidi w:val="0"/>
        <w:spacing w:before="210" w:line="300" w:lineRule="auto"/>
        <w:ind w:right="84" w:rightChars="40"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（3）投标单位不同意建设单位在清单中标识的该项请在对应项打“ × ”标识，并在备注栏填上相关说明。</w:t>
      </w:r>
    </w:p>
    <w:p w14:paraId="14B36F6D">
      <w:pPr>
        <w:keepNext w:val="0"/>
        <w:keepLines w:val="0"/>
        <w:pageBreakBefore w:val="0"/>
        <w:kinsoku/>
        <w:wordWrap w:val="0"/>
        <w:overflowPunct/>
        <w:topLinePunct w:val="0"/>
        <w:bidi w:val="0"/>
        <w:spacing w:before="207" w:line="371" w:lineRule="auto"/>
        <w:ind w:right="84" w:rightChars="40" w:firstLine="484"/>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u w:val="single"/>
        </w:rPr>
        <w:t>3、投标单位应当在投标时根据招标人提供的下述第5点清单，在投标施工组织中回应建设单位提供的危大工程清单，补充相应的安全管理措施。（为减轻标书编制的工作量，投标单位回应的危大工程清单该部分的页数应控制在3页内）</w:t>
      </w:r>
    </w:p>
    <w:p w14:paraId="74C7E91A">
      <w:pPr>
        <w:keepNext w:val="0"/>
        <w:keepLines w:val="0"/>
        <w:pageBreakBefore w:val="0"/>
        <w:kinsoku/>
        <w:wordWrap w:val="0"/>
        <w:overflowPunct/>
        <w:topLinePunct w:val="0"/>
        <w:bidi w:val="0"/>
        <w:spacing w:before="33" w:line="326" w:lineRule="auto"/>
        <w:ind w:left="1" w:right="84" w:rightChars="40" w:firstLine="47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对于超过一定规模的危大工程，中标单位应当组织召开专家论证会对专项施工方案进行论证。实行施工总承包的，由施工总承包单位组织召开专家论证会。专家论证前专项施工方案应当通过施工总承包单位审核和总监理工程师审查。</w:t>
      </w:r>
    </w:p>
    <w:p w14:paraId="798FF3E3">
      <w:pPr>
        <w:keepNext w:val="0"/>
        <w:keepLines w:val="0"/>
        <w:pageBreakBefore w:val="0"/>
        <w:kinsoku/>
        <w:wordWrap w:val="0"/>
        <w:overflowPunct/>
        <w:topLinePunct w:val="0"/>
        <w:bidi w:val="0"/>
        <w:spacing w:before="208" w:line="301" w:lineRule="auto"/>
        <w:ind w:right="84" w:rightChars="40" w:firstLine="484"/>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5、危险性较大的分部分项工程清单及超过一定规模的危险性较大的分部分项工程清单</w:t>
      </w:r>
    </w:p>
    <w:p w14:paraId="211A5215">
      <w:pPr>
        <w:keepNext w:val="0"/>
        <w:keepLines w:val="0"/>
        <w:pageBreakBefore w:val="0"/>
        <w:kinsoku/>
        <w:wordWrap w:val="0"/>
        <w:overflowPunct/>
        <w:topLinePunct w:val="0"/>
        <w:bidi w:val="0"/>
        <w:spacing w:before="40"/>
        <w:ind w:right="84" w:rightChars="40"/>
        <w:rPr>
          <w:rFonts w:hint="eastAsia" w:ascii="宋体" w:hAnsi="宋体" w:eastAsia="宋体" w:cs="宋体"/>
          <w:color w:val="auto"/>
          <w:spacing w:val="0"/>
          <w:highlight w:val="none"/>
        </w:rPr>
      </w:pPr>
    </w:p>
    <w:tbl>
      <w:tblPr>
        <w:tblStyle w:val="14"/>
        <w:tblW w:w="988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4862"/>
        <w:gridCol w:w="1294"/>
        <w:gridCol w:w="1294"/>
        <w:gridCol w:w="2428"/>
      </w:tblGrid>
      <w:tr w14:paraId="1D6B3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C0C1314">
            <w:pPr>
              <w:keepNext w:val="0"/>
              <w:keepLines w:val="0"/>
              <w:pageBreakBefore w:val="0"/>
              <w:kinsoku/>
              <w:wordWrap w:val="0"/>
              <w:overflowPunct/>
              <w:topLinePunct w:val="0"/>
              <w:bidi w:val="0"/>
              <w:spacing w:before="133" w:line="220" w:lineRule="auto"/>
              <w:ind w:right="84" w:rightChars="40" w:firstLine="241" w:firstLineChars="1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一、危险性较大的分部分项工程清单</w:t>
            </w:r>
          </w:p>
        </w:tc>
        <w:tc>
          <w:tcPr>
            <w:tcW w:w="1294" w:type="dxa"/>
            <w:vAlign w:val="top"/>
          </w:tcPr>
          <w:p w14:paraId="786821EB">
            <w:pPr>
              <w:keepNext w:val="0"/>
              <w:keepLines w:val="0"/>
              <w:pageBreakBefore w:val="0"/>
              <w:kinsoku/>
              <w:wordWrap w:val="0"/>
              <w:overflowPunct/>
              <w:topLinePunct w:val="0"/>
              <w:bidi w:val="0"/>
              <w:spacing w:before="133" w:line="221" w:lineRule="auto"/>
              <w:ind w:left="206" w:leftChars="0" w:right="84" w:rightChars="4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sz w:val="24"/>
                <w:szCs w:val="24"/>
                <w:highlight w:val="none"/>
              </w:rPr>
              <w:t>建设单位</w:t>
            </w:r>
          </w:p>
        </w:tc>
        <w:tc>
          <w:tcPr>
            <w:tcW w:w="1294" w:type="dxa"/>
            <w:vAlign w:val="top"/>
          </w:tcPr>
          <w:p w14:paraId="088710BC">
            <w:pPr>
              <w:keepNext w:val="0"/>
              <w:keepLines w:val="0"/>
              <w:pageBreakBefore w:val="0"/>
              <w:kinsoku/>
              <w:wordWrap w:val="0"/>
              <w:overflowPunct/>
              <w:topLinePunct w:val="0"/>
              <w:bidi w:val="0"/>
              <w:spacing w:before="133" w:line="221" w:lineRule="auto"/>
              <w:ind w:left="205" w:leftChars="0" w:right="84" w:rightChars="40"/>
              <w:rPr>
                <w:rFonts w:hint="eastAsia" w:ascii="宋体" w:hAnsi="宋体" w:eastAsia="宋体" w:cs="宋体"/>
                <w:color w:val="auto"/>
                <w:spacing w:val="0"/>
                <w:w w:val="94"/>
                <w:sz w:val="24"/>
                <w:szCs w:val="24"/>
                <w:highlight w:val="none"/>
              </w:rPr>
            </w:pPr>
            <w:r>
              <w:rPr>
                <w:rFonts w:hint="eastAsia" w:ascii="宋体" w:hAnsi="宋体" w:eastAsia="宋体" w:cs="宋体"/>
                <w:b/>
                <w:bCs/>
                <w:color w:val="auto"/>
                <w:spacing w:val="0"/>
                <w:sz w:val="24"/>
                <w:szCs w:val="24"/>
                <w:highlight w:val="none"/>
              </w:rPr>
              <w:t>投标单位</w:t>
            </w:r>
          </w:p>
        </w:tc>
        <w:tc>
          <w:tcPr>
            <w:tcW w:w="2428" w:type="dxa"/>
            <w:vAlign w:val="top"/>
          </w:tcPr>
          <w:p w14:paraId="5305F236">
            <w:pPr>
              <w:keepNext w:val="0"/>
              <w:keepLines w:val="0"/>
              <w:pageBreakBefore w:val="0"/>
              <w:kinsoku/>
              <w:wordWrap w:val="0"/>
              <w:overflowPunct/>
              <w:topLinePunct w:val="0"/>
              <w:bidi w:val="0"/>
              <w:spacing w:before="133" w:line="222" w:lineRule="auto"/>
              <w:ind w:left="360" w:leftChars="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备注</w:t>
            </w:r>
          </w:p>
        </w:tc>
      </w:tr>
      <w:tr w14:paraId="7851F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12B4333">
            <w:pPr>
              <w:keepNext w:val="0"/>
              <w:keepLines w:val="0"/>
              <w:pageBreakBefore w:val="0"/>
              <w:kinsoku/>
              <w:wordWrap w:val="0"/>
              <w:overflowPunct/>
              <w:topLinePunct w:val="0"/>
              <w:bidi w:val="0"/>
              <w:spacing w:before="128" w:line="221" w:lineRule="auto"/>
              <w:ind w:left="120" w:leftChars="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一、基坑支护</w:t>
            </w:r>
          </w:p>
        </w:tc>
        <w:tc>
          <w:tcPr>
            <w:tcW w:w="1294" w:type="dxa"/>
            <w:vAlign w:val="top"/>
          </w:tcPr>
          <w:p w14:paraId="40D210A2">
            <w:pPr>
              <w:keepNext w:val="0"/>
              <w:keepLines w:val="0"/>
              <w:pageBreakBefore w:val="0"/>
              <w:kinsoku/>
              <w:wordWrap w:val="0"/>
              <w:overflowPunct/>
              <w:topLinePunct w:val="0"/>
              <w:bidi w:val="0"/>
              <w:spacing w:before="128" w:line="223" w:lineRule="auto"/>
              <w:ind w:right="84" w:rightChars="40"/>
              <w:jc w:val="center"/>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bookmarkStart w:id="269" w:name="OLE_LINK39"/>
            <w:r>
              <w:rPr>
                <w:rFonts w:hint="eastAsia" w:ascii="宋体" w:hAnsi="宋体" w:eastAsia="宋体" w:cs="宋体"/>
                <w:color w:val="auto"/>
                <w:spacing w:val="0"/>
                <w:sz w:val="24"/>
                <w:szCs w:val="24"/>
                <w:highlight w:val="none"/>
              </w:rPr>
              <w:t xml:space="preserve">  </w:t>
            </w:r>
            <w:bookmarkEnd w:id="269"/>
            <w:r>
              <w:rPr>
                <w:rFonts w:hint="eastAsia" w:ascii="宋体" w:hAnsi="宋体" w:eastAsia="宋体" w:cs="宋体"/>
                <w:color w:val="auto"/>
                <w:spacing w:val="0"/>
                <w:w w:val="94"/>
                <w:sz w:val="24"/>
                <w:szCs w:val="24"/>
                <w:highlight w:val="none"/>
              </w:rPr>
              <w:t>)</w:t>
            </w:r>
          </w:p>
        </w:tc>
        <w:tc>
          <w:tcPr>
            <w:tcW w:w="1294" w:type="dxa"/>
            <w:vAlign w:val="top"/>
          </w:tcPr>
          <w:p w14:paraId="790D24ED">
            <w:pPr>
              <w:keepNext w:val="0"/>
              <w:keepLines w:val="0"/>
              <w:pageBreakBefore w:val="0"/>
              <w:kinsoku/>
              <w:wordWrap w:val="0"/>
              <w:overflowPunct/>
              <w:topLinePunct w:val="0"/>
              <w:bidi w:val="0"/>
              <w:spacing w:before="128" w:line="223" w:lineRule="auto"/>
              <w:ind w:left="367" w:leftChars="0" w:right="84" w:rightChars="4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DE86A91">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17532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9197831">
            <w:pPr>
              <w:keepNext w:val="0"/>
              <w:keepLines w:val="0"/>
              <w:pageBreakBefore w:val="0"/>
              <w:kinsoku/>
              <w:wordWrap w:val="0"/>
              <w:overflowPunct/>
              <w:topLinePunct w:val="0"/>
              <w:bidi w:val="0"/>
              <w:spacing w:before="129" w:line="328" w:lineRule="auto"/>
              <w:ind w:left="135" w:leftChars="0" w:right="84" w:rightChars="40" w:hanging="8" w:firstLineChars="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（一）开挖深度超过 3m（含 3m）的基坑（槽） 的土方开挖、支护、降水工程。</w:t>
            </w:r>
          </w:p>
        </w:tc>
        <w:tc>
          <w:tcPr>
            <w:tcW w:w="1294" w:type="dxa"/>
            <w:vAlign w:val="top"/>
          </w:tcPr>
          <w:p w14:paraId="5B778EA3">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680472A7">
            <w:pPr>
              <w:keepNext w:val="0"/>
              <w:keepLines w:val="0"/>
              <w:pageBreakBefore w:val="0"/>
              <w:kinsoku/>
              <w:wordWrap w:val="0"/>
              <w:overflowPunct/>
              <w:topLinePunct w:val="0"/>
              <w:bidi w:val="0"/>
              <w:spacing w:before="78" w:line="223" w:lineRule="auto"/>
              <w:ind w:left="396" w:leftChars="0" w:right="84" w:rightChars="4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CF74172">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3E2C041A">
            <w:pPr>
              <w:keepNext w:val="0"/>
              <w:keepLines w:val="0"/>
              <w:pageBreakBefore w:val="0"/>
              <w:kinsoku/>
              <w:wordWrap w:val="0"/>
              <w:overflowPunct/>
              <w:topLinePunct w:val="0"/>
              <w:bidi w:val="0"/>
              <w:spacing w:before="78" w:line="223" w:lineRule="auto"/>
              <w:ind w:left="367" w:leftChars="0" w:right="84" w:rightChars="4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77920F0">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3C180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5D2C12B">
            <w:pPr>
              <w:keepNext w:val="0"/>
              <w:keepLines w:val="0"/>
              <w:pageBreakBefore w:val="0"/>
              <w:kinsoku/>
              <w:wordWrap w:val="0"/>
              <w:overflowPunct/>
              <w:topLinePunct w:val="0"/>
              <w:bidi w:val="0"/>
              <w:spacing w:before="132" w:line="354" w:lineRule="auto"/>
              <w:ind w:left="116" w:right="84" w:rightChars="40" w:firstLine="11"/>
              <w:jc w:val="both"/>
              <w:rPr>
                <w:rFonts w:hint="eastAsia" w:ascii="宋体" w:hAnsi="宋体" w:eastAsia="宋体" w:cs="宋体"/>
                <w:color w:val="auto"/>
                <w:spacing w:val="0"/>
                <w:sz w:val="24"/>
                <w:szCs w:val="24"/>
                <w:highlight w:val="none"/>
              </w:rPr>
            </w:pPr>
            <w:bookmarkStart w:id="270" w:name="bookmark161"/>
            <w:bookmarkEnd w:id="270"/>
            <w:r>
              <w:rPr>
                <w:rFonts w:hint="eastAsia" w:ascii="宋体" w:hAnsi="宋体" w:eastAsia="宋体" w:cs="宋体"/>
                <w:color w:val="auto"/>
                <w:spacing w:val="0"/>
                <w:sz w:val="24"/>
                <w:szCs w:val="24"/>
                <w:highlight w:val="none"/>
              </w:rPr>
              <w:t>（二）开挖深度虽未超过 3m，但地质条件、周 围环境和地下管线复杂，或影响毗邻建、构筑 物安全的基坑（槽）的土方开挖、支护、降水 工程。</w:t>
            </w:r>
          </w:p>
        </w:tc>
        <w:tc>
          <w:tcPr>
            <w:tcW w:w="1294" w:type="dxa"/>
            <w:vAlign w:val="top"/>
          </w:tcPr>
          <w:p w14:paraId="678E3335">
            <w:pPr>
              <w:pStyle w:val="27"/>
              <w:keepNext w:val="0"/>
              <w:keepLines w:val="0"/>
              <w:pageBreakBefore w:val="0"/>
              <w:kinsoku/>
              <w:wordWrap w:val="0"/>
              <w:overflowPunct/>
              <w:topLinePunct w:val="0"/>
              <w:bidi w:val="0"/>
              <w:spacing w:line="263" w:lineRule="auto"/>
              <w:ind w:right="84" w:rightChars="40"/>
              <w:rPr>
                <w:rFonts w:hint="eastAsia" w:ascii="宋体" w:hAnsi="宋体" w:eastAsia="宋体" w:cs="宋体"/>
                <w:color w:val="auto"/>
                <w:spacing w:val="0"/>
                <w:sz w:val="24"/>
                <w:szCs w:val="24"/>
                <w:highlight w:val="none"/>
              </w:rPr>
            </w:pPr>
          </w:p>
          <w:p w14:paraId="03E3E37B">
            <w:pPr>
              <w:pStyle w:val="27"/>
              <w:keepNext w:val="0"/>
              <w:keepLines w:val="0"/>
              <w:pageBreakBefore w:val="0"/>
              <w:kinsoku/>
              <w:wordWrap w:val="0"/>
              <w:overflowPunct/>
              <w:topLinePunct w:val="0"/>
              <w:bidi w:val="0"/>
              <w:spacing w:line="263" w:lineRule="auto"/>
              <w:ind w:right="84" w:rightChars="40"/>
              <w:rPr>
                <w:rFonts w:hint="eastAsia" w:ascii="宋体" w:hAnsi="宋体" w:eastAsia="宋体" w:cs="宋体"/>
                <w:color w:val="auto"/>
                <w:spacing w:val="0"/>
                <w:sz w:val="24"/>
                <w:szCs w:val="24"/>
                <w:highlight w:val="none"/>
              </w:rPr>
            </w:pPr>
          </w:p>
          <w:p w14:paraId="07B348AA">
            <w:pPr>
              <w:pStyle w:val="27"/>
              <w:keepNext w:val="0"/>
              <w:keepLines w:val="0"/>
              <w:pageBreakBefore w:val="0"/>
              <w:kinsoku/>
              <w:wordWrap w:val="0"/>
              <w:overflowPunct/>
              <w:topLinePunct w:val="0"/>
              <w:bidi w:val="0"/>
              <w:spacing w:line="264" w:lineRule="auto"/>
              <w:ind w:right="84" w:rightChars="40"/>
              <w:rPr>
                <w:rFonts w:hint="eastAsia" w:ascii="宋体" w:hAnsi="宋体" w:eastAsia="宋体" w:cs="宋体"/>
                <w:color w:val="auto"/>
                <w:spacing w:val="0"/>
                <w:sz w:val="24"/>
                <w:szCs w:val="24"/>
                <w:highlight w:val="none"/>
              </w:rPr>
            </w:pPr>
          </w:p>
          <w:p w14:paraId="09F5F156">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bookmarkStart w:id="271" w:name="OLE_LINK40"/>
            <w:r>
              <w:rPr>
                <w:rFonts w:hint="eastAsia" w:ascii="宋体" w:hAnsi="宋体" w:eastAsia="宋体" w:cs="宋体"/>
                <w:color w:val="auto"/>
                <w:spacing w:val="0"/>
                <w:sz w:val="24"/>
                <w:szCs w:val="24"/>
                <w:highlight w:val="none"/>
              </w:rPr>
              <w:t xml:space="preserve">     </w:t>
            </w:r>
            <w:bookmarkEnd w:id="271"/>
            <w:r>
              <w:rPr>
                <w:rFonts w:hint="eastAsia" w:ascii="宋体" w:hAnsi="宋体" w:eastAsia="宋体" w:cs="宋体"/>
                <w:color w:val="auto"/>
                <w:spacing w:val="0"/>
                <w:w w:val="94"/>
                <w:sz w:val="24"/>
                <w:szCs w:val="24"/>
                <w:highlight w:val="none"/>
              </w:rPr>
              <w:t>)</w:t>
            </w:r>
          </w:p>
        </w:tc>
        <w:tc>
          <w:tcPr>
            <w:tcW w:w="1294" w:type="dxa"/>
            <w:vAlign w:val="top"/>
          </w:tcPr>
          <w:p w14:paraId="49FC468F">
            <w:pPr>
              <w:pStyle w:val="27"/>
              <w:keepNext w:val="0"/>
              <w:keepLines w:val="0"/>
              <w:pageBreakBefore w:val="0"/>
              <w:kinsoku/>
              <w:wordWrap w:val="0"/>
              <w:overflowPunct/>
              <w:topLinePunct w:val="0"/>
              <w:bidi w:val="0"/>
              <w:spacing w:line="263" w:lineRule="auto"/>
              <w:ind w:right="84" w:rightChars="40"/>
              <w:rPr>
                <w:rFonts w:hint="eastAsia" w:ascii="宋体" w:hAnsi="宋体" w:eastAsia="宋体" w:cs="宋体"/>
                <w:color w:val="auto"/>
                <w:spacing w:val="0"/>
                <w:sz w:val="24"/>
                <w:szCs w:val="24"/>
                <w:highlight w:val="none"/>
              </w:rPr>
            </w:pPr>
          </w:p>
          <w:p w14:paraId="573D6FDA">
            <w:pPr>
              <w:pStyle w:val="27"/>
              <w:keepNext w:val="0"/>
              <w:keepLines w:val="0"/>
              <w:pageBreakBefore w:val="0"/>
              <w:kinsoku/>
              <w:wordWrap w:val="0"/>
              <w:overflowPunct/>
              <w:topLinePunct w:val="0"/>
              <w:bidi w:val="0"/>
              <w:spacing w:line="263" w:lineRule="auto"/>
              <w:ind w:right="84" w:rightChars="40"/>
              <w:rPr>
                <w:rFonts w:hint="eastAsia" w:ascii="宋体" w:hAnsi="宋体" w:eastAsia="宋体" w:cs="宋体"/>
                <w:color w:val="auto"/>
                <w:spacing w:val="0"/>
                <w:sz w:val="24"/>
                <w:szCs w:val="24"/>
                <w:highlight w:val="none"/>
              </w:rPr>
            </w:pPr>
          </w:p>
          <w:p w14:paraId="4B2551ED">
            <w:pPr>
              <w:pStyle w:val="27"/>
              <w:keepNext w:val="0"/>
              <w:keepLines w:val="0"/>
              <w:pageBreakBefore w:val="0"/>
              <w:kinsoku/>
              <w:wordWrap w:val="0"/>
              <w:overflowPunct/>
              <w:topLinePunct w:val="0"/>
              <w:bidi w:val="0"/>
              <w:spacing w:line="264" w:lineRule="auto"/>
              <w:ind w:right="84" w:rightChars="40"/>
              <w:rPr>
                <w:rFonts w:hint="eastAsia" w:ascii="宋体" w:hAnsi="宋体" w:eastAsia="宋体" w:cs="宋体"/>
                <w:color w:val="auto"/>
                <w:spacing w:val="0"/>
                <w:sz w:val="24"/>
                <w:szCs w:val="24"/>
                <w:highlight w:val="none"/>
              </w:rPr>
            </w:pPr>
          </w:p>
          <w:p w14:paraId="036E5E26">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5D403E2">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4CB8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FF3CCA3">
            <w:pPr>
              <w:keepNext w:val="0"/>
              <w:keepLines w:val="0"/>
              <w:pageBreakBefore w:val="0"/>
              <w:kinsoku/>
              <w:wordWrap w:val="0"/>
              <w:overflowPunct/>
              <w:topLinePunct w:val="0"/>
              <w:bidi w:val="0"/>
              <w:spacing w:before="128" w:line="219" w:lineRule="auto"/>
              <w:ind w:left="12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二、模板工程及支撑体系</w:t>
            </w:r>
          </w:p>
        </w:tc>
        <w:tc>
          <w:tcPr>
            <w:tcW w:w="1294" w:type="dxa"/>
            <w:vAlign w:val="top"/>
          </w:tcPr>
          <w:p w14:paraId="4F83F1A7">
            <w:pPr>
              <w:keepNext w:val="0"/>
              <w:keepLines w:val="0"/>
              <w:pageBreakBefore w:val="0"/>
              <w:kinsoku/>
              <w:wordWrap w:val="0"/>
              <w:overflowPunct/>
              <w:topLinePunct w:val="0"/>
              <w:bidi w:val="0"/>
              <w:spacing w:before="12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1DEA9D7">
            <w:pPr>
              <w:keepNext w:val="0"/>
              <w:keepLines w:val="0"/>
              <w:pageBreakBefore w:val="0"/>
              <w:kinsoku/>
              <w:wordWrap w:val="0"/>
              <w:overflowPunct/>
              <w:topLinePunct w:val="0"/>
              <w:bidi w:val="0"/>
              <w:spacing w:before="12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3E66751">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15F75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2B42EF94">
            <w:pPr>
              <w:keepNext w:val="0"/>
              <w:keepLines w:val="0"/>
              <w:pageBreakBefore w:val="0"/>
              <w:kinsoku/>
              <w:wordWrap w:val="0"/>
              <w:overflowPunct/>
              <w:topLinePunct w:val="0"/>
              <w:bidi w:val="0"/>
              <w:spacing w:before="128" w:line="328" w:lineRule="auto"/>
              <w:ind w:left="123" w:right="84" w:rightChars="40" w:firstLine="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（一）各类工具式模板工程：包括滑模、爬模、 飞模、隧道模等工程。</w:t>
            </w:r>
          </w:p>
        </w:tc>
        <w:tc>
          <w:tcPr>
            <w:tcW w:w="1294" w:type="dxa"/>
            <w:vAlign w:val="top"/>
          </w:tcPr>
          <w:p w14:paraId="62BE616C">
            <w:pPr>
              <w:pStyle w:val="27"/>
              <w:keepNext w:val="0"/>
              <w:keepLines w:val="0"/>
              <w:pageBreakBefore w:val="0"/>
              <w:kinsoku/>
              <w:wordWrap w:val="0"/>
              <w:overflowPunct/>
              <w:topLinePunct w:val="0"/>
              <w:bidi w:val="0"/>
              <w:spacing w:line="293" w:lineRule="auto"/>
              <w:ind w:right="84" w:rightChars="40"/>
              <w:rPr>
                <w:rFonts w:hint="eastAsia" w:ascii="宋体" w:hAnsi="宋体" w:eastAsia="宋体" w:cs="宋体"/>
                <w:color w:val="auto"/>
                <w:spacing w:val="0"/>
                <w:sz w:val="24"/>
                <w:szCs w:val="24"/>
                <w:highlight w:val="none"/>
              </w:rPr>
            </w:pPr>
          </w:p>
          <w:p w14:paraId="20787877">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0A3A5B2">
            <w:pPr>
              <w:pStyle w:val="27"/>
              <w:keepNext w:val="0"/>
              <w:keepLines w:val="0"/>
              <w:pageBreakBefore w:val="0"/>
              <w:kinsoku/>
              <w:wordWrap w:val="0"/>
              <w:overflowPunct/>
              <w:topLinePunct w:val="0"/>
              <w:bidi w:val="0"/>
              <w:spacing w:line="293" w:lineRule="auto"/>
              <w:ind w:right="84" w:rightChars="40"/>
              <w:rPr>
                <w:rFonts w:hint="eastAsia" w:ascii="宋体" w:hAnsi="宋体" w:eastAsia="宋体" w:cs="宋体"/>
                <w:color w:val="auto"/>
                <w:spacing w:val="0"/>
                <w:sz w:val="24"/>
                <w:szCs w:val="24"/>
                <w:highlight w:val="none"/>
              </w:rPr>
            </w:pPr>
          </w:p>
          <w:p w14:paraId="4BAF713B">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6A6A71B">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41E75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F44FF8A">
            <w:pPr>
              <w:keepNext w:val="0"/>
              <w:keepLines w:val="0"/>
              <w:pageBreakBefore w:val="0"/>
              <w:kinsoku/>
              <w:wordWrap w:val="0"/>
              <w:overflowPunct/>
              <w:topLinePunct w:val="0"/>
              <w:bidi w:val="0"/>
              <w:spacing w:before="131" w:line="362" w:lineRule="auto"/>
              <w:ind w:left="115" w:right="84" w:rightChars="40"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（二）混凝土模板支撑工程：搭设高度 5m 及以 上，或搭设跨度 10m 及以上，或施工总荷载（荷 载效应基本组合的设计值，以下简称设计值） 10kN/m2 及以上，或集中线荷载（设计值）15kN/m 及以上，或高度大于支撑水平投影宽度且相对 独立无联系构件的混凝土模板支撑工程。</w:t>
            </w:r>
          </w:p>
        </w:tc>
        <w:tc>
          <w:tcPr>
            <w:tcW w:w="1294" w:type="dxa"/>
            <w:vAlign w:val="top"/>
          </w:tcPr>
          <w:p w14:paraId="06D081D3">
            <w:pPr>
              <w:pStyle w:val="27"/>
              <w:keepNext w:val="0"/>
              <w:keepLines w:val="0"/>
              <w:pageBreakBefore w:val="0"/>
              <w:kinsoku/>
              <w:wordWrap w:val="0"/>
              <w:overflowPunct/>
              <w:topLinePunct w:val="0"/>
              <w:bidi w:val="0"/>
              <w:spacing w:line="255" w:lineRule="auto"/>
              <w:ind w:right="84" w:rightChars="40"/>
              <w:rPr>
                <w:rFonts w:hint="eastAsia" w:ascii="宋体" w:hAnsi="宋体" w:eastAsia="宋体" w:cs="宋体"/>
                <w:color w:val="auto"/>
                <w:spacing w:val="0"/>
                <w:sz w:val="24"/>
                <w:szCs w:val="24"/>
                <w:highlight w:val="none"/>
              </w:rPr>
            </w:pPr>
          </w:p>
          <w:p w14:paraId="4A16BFFE">
            <w:pPr>
              <w:pStyle w:val="27"/>
              <w:keepNext w:val="0"/>
              <w:keepLines w:val="0"/>
              <w:pageBreakBefore w:val="0"/>
              <w:kinsoku/>
              <w:wordWrap w:val="0"/>
              <w:overflowPunct/>
              <w:topLinePunct w:val="0"/>
              <w:bidi w:val="0"/>
              <w:spacing w:line="255" w:lineRule="auto"/>
              <w:ind w:right="84" w:rightChars="40"/>
              <w:rPr>
                <w:rFonts w:hint="eastAsia" w:ascii="宋体" w:hAnsi="宋体" w:eastAsia="宋体" w:cs="宋体"/>
                <w:color w:val="auto"/>
                <w:spacing w:val="0"/>
                <w:sz w:val="24"/>
                <w:szCs w:val="24"/>
                <w:highlight w:val="none"/>
              </w:rPr>
            </w:pPr>
          </w:p>
          <w:p w14:paraId="3A0F5923">
            <w:pPr>
              <w:pStyle w:val="27"/>
              <w:keepNext w:val="0"/>
              <w:keepLines w:val="0"/>
              <w:pageBreakBefore w:val="0"/>
              <w:kinsoku/>
              <w:wordWrap w:val="0"/>
              <w:overflowPunct/>
              <w:topLinePunct w:val="0"/>
              <w:bidi w:val="0"/>
              <w:spacing w:line="255" w:lineRule="auto"/>
              <w:ind w:right="84" w:rightChars="40"/>
              <w:rPr>
                <w:rFonts w:hint="eastAsia" w:ascii="宋体" w:hAnsi="宋体" w:eastAsia="宋体" w:cs="宋体"/>
                <w:color w:val="auto"/>
                <w:spacing w:val="0"/>
                <w:sz w:val="24"/>
                <w:szCs w:val="24"/>
                <w:highlight w:val="none"/>
              </w:rPr>
            </w:pPr>
          </w:p>
          <w:p w14:paraId="0E04FF9F">
            <w:pPr>
              <w:pStyle w:val="27"/>
              <w:keepNext w:val="0"/>
              <w:keepLines w:val="0"/>
              <w:pageBreakBefore w:val="0"/>
              <w:kinsoku/>
              <w:wordWrap w:val="0"/>
              <w:overflowPunct/>
              <w:topLinePunct w:val="0"/>
              <w:bidi w:val="0"/>
              <w:spacing w:line="255" w:lineRule="auto"/>
              <w:ind w:right="84" w:rightChars="40"/>
              <w:rPr>
                <w:rFonts w:hint="eastAsia" w:ascii="宋体" w:hAnsi="宋体" w:eastAsia="宋体" w:cs="宋体"/>
                <w:color w:val="auto"/>
                <w:spacing w:val="0"/>
                <w:sz w:val="24"/>
                <w:szCs w:val="24"/>
                <w:highlight w:val="none"/>
              </w:rPr>
            </w:pPr>
          </w:p>
          <w:p w14:paraId="14B37184">
            <w:pPr>
              <w:pStyle w:val="27"/>
              <w:keepNext w:val="0"/>
              <w:keepLines w:val="0"/>
              <w:pageBreakBefore w:val="0"/>
              <w:kinsoku/>
              <w:wordWrap w:val="0"/>
              <w:overflowPunct/>
              <w:topLinePunct w:val="0"/>
              <w:bidi w:val="0"/>
              <w:spacing w:line="256" w:lineRule="auto"/>
              <w:ind w:right="84" w:rightChars="40"/>
              <w:rPr>
                <w:rFonts w:hint="eastAsia" w:ascii="宋体" w:hAnsi="宋体" w:eastAsia="宋体" w:cs="宋体"/>
                <w:color w:val="auto"/>
                <w:spacing w:val="0"/>
                <w:sz w:val="24"/>
                <w:szCs w:val="24"/>
                <w:highlight w:val="none"/>
              </w:rPr>
            </w:pPr>
          </w:p>
          <w:p w14:paraId="5A4F6FF6">
            <w:pPr>
              <w:keepNext w:val="0"/>
              <w:keepLines w:val="0"/>
              <w:pageBreakBefore w:val="0"/>
              <w:kinsoku/>
              <w:wordWrap w:val="0"/>
              <w:overflowPunct/>
              <w:topLinePunct w:val="0"/>
              <w:bidi w:val="0"/>
              <w:spacing w:before="78" w:line="223" w:lineRule="auto"/>
              <w:ind w:left="42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BC45176">
            <w:pPr>
              <w:pStyle w:val="27"/>
              <w:keepNext w:val="0"/>
              <w:keepLines w:val="0"/>
              <w:pageBreakBefore w:val="0"/>
              <w:kinsoku/>
              <w:wordWrap w:val="0"/>
              <w:overflowPunct/>
              <w:topLinePunct w:val="0"/>
              <w:bidi w:val="0"/>
              <w:spacing w:line="255" w:lineRule="auto"/>
              <w:ind w:right="84" w:rightChars="40"/>
              <w:rPr>
                <w:rFonts w:hint="eastAsia" w:ascii="宋体" w:hAnsi="宋体" w:eastAsia="宋体" w:cs="宋体"/>
                <w:color w:val="auto"/>
                <w:spacing w:val="0"/>
                <w:sz w:val="24"/>
                <w:szCs w:val="24"/>
                <w:highlight w:val="none"/>
              </w:rPr>
            </w:pPr>
          </w:p>
          <w:p w14:paraId="6D487157">
            <w:pPr>
              <w:pStyle w:val="27"/>
              <w:keepNext w:val="0"/>
              <w:keepLines w:val="0"/>
              <w:pageBreakBefore w:val="0"/>
              <w:kinsoku/>
              <w:wordWrap w:val="0"/>
              <w:overflowPunct/>
              <w:topLinePunct w:val="0"/>
              <w:bidi w:val="0"/>
              <w:spacing w:line="255" w:lineRule="auto"/>
              <w:ind w:right="84" w:rightChars="40"/>
              <w:rPr>
                <w:rFonts w:hint="eastAsia" w:ascii="宋体" w:hAnsi="宋体" w:eastAsia="宋体" w:cs="宋体"/>
                <w:color w:val="auto"/>
                <w:spacing w:val="0"/>
                <w:sz w:val="24"/>
                <w:szCs w:val="24"/>
                <w:highlight w:val="none"/>
              </w:rPr>
            </w:pPr>
          </w:p>
          <w:p w14:paraId="3E1CE66E">
            <w:pPr>
              <w:pStyle w:val="27"/>
              <w:keepNext w:val="0"/>
              <w:keepLines w:val="0"/>
              <w:pageBreakBefore w:val="0"/>
              <w:kinsoku/>
              <w:wordWrap w:val="0"/>
              <w:overflowPunct/>
              <w:topLinePunct w:val="0"/>
              <w:bidi w:val="0"/>
              <w:spacing w:line="255" w:lineRule="auto"/>
              <w:ind w:right="84" w:rightChars="40"/>
              <w:rPr>
                <w:rFonts w:hint="eastAsia" w:ascii="宋体" w:hAnsi="宋体" w:eastAsia="宋体" w:cs="宋体"/>
                <w:color w:val="auto"/>
                <w:spacing w:val="0"/>
                <w:sz w:val="24"/>
                <w:szCs w:val="24"/>
                <w:highlight w:val="none"/>
              </w:rPr>
            </w:pPr>
          </w:p>
          <w:p w14:paraId="6A7FA7A1">
            <w:pPr>
              <w:pStyle w:val="27"/>
              <w:keepNext w:val="0"/>
              <w:keepLines w:val="0"/>
              <w:pageBreakBefore w:val="0"/>
              <w:kinsoku/>
              <w:wordWrap w:val="0"/>
              <w:overflowPunct/>
              <w:topLinePunct w:val="0"/>
              <w:bidi w:val="0"/>
              <w:spacing w:line="255" w:lineRule="auto"/>
              <w:ind w:right="84" w:rightChars="40"/>
              <w:rPr>
                <w:rFonts w:hint="eastAsia" w:ascii="宋体" w:hAnsi="宋体" w:eastAsia="宋体" w:cs="宋体"/>
                <w:color w:val="auto"/>
                <w:spacing w:val="0"/>
                <w:sz w:val="24"/>
                <w:szCs w:val="24"/>
                <w:highlight w:val="none"/>
              </w:rPr>
            </w:pPr>
          </w:p>
          <w:p w14:paraId="12434D3D">
            <w:pPr>
              <w:pStyle w:val="27"/>
              <w:keepNext w:val="0"/>
              <w:keepLines w:val="0"/>
              <w:pageBreakBefore w:val="0"/>
              <w:kinsoku/>
              <w:wordWrap w:val="0"/>
              <w:overflowPunct/>
              <w:topLinePunct w:val="0"/>
              <w:bidi w:val="0"/>
              <w:spacing w:line="256" w:lineRule="auto"/>
              <w:ind w:right="84" w:rightChars="40"/>
              <w:rPr>
                <w:rFonts w:hint="eastAsia" w:ascii="宋体" w:hAnsi="宋体" w:eastAsia="宋体" w:cs="宋体"/>
                <w:color w:val="auto"/>
                <w:spacing w:val="0"/>
                <w:sz w:val="24"/>
                <w:szCs w:val="24"/>
                <w:highlight w:val="none"/>
              </w:rPr>
            </w:pPr>
          </w:p>
          <w:p w14:paraId="1980D964">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456E965">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4EC0E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F43D72D">
            <w:pPr>
              <w:keepNext w:val="0"/>
              <w:keepLines w:val="0"/>
              <w:pageBreakBefore w:val="0"/>
              <w:kinsoku/>
              <w:wordWrap w:val="0"/>
              <w:overflowPunct/>
              <w:topLinePunct w:val="0"/>
              <w:bidi w:val="0"/>
              <w:spacing w:before="130" w:line="327" w:lineRule="auto"/>
              <w:ind w:left="117" w:right="84" w:rightChars="40"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（三）承重支撑体系：用于钢结构安装等满堂 支撑体系。</w:t>
            </w:r>
          </w:p>
        </w:tc>
        <w:tc>
          <w:tcPr>
            <w:tcW w:w="1294" w:type="dxa"/>
            <w:vAlign w:val="top"/>
          </w:tcPr>
          <w:p w14:paraId="511D615D">
            <w:pPr>
              <w:pStyle w:val="27"/>
              <w:keepNext w:val="0"/>
              <w:keepLines w:val="0"/>
              <w:pageBreakBefore w:val="0"/>
              <w:kinsoku/>
              <w:wordWrap w:val="0"/>
              <w:overflowPunct/>
              <w:topLinePunct w:val="0"/>
              <w:bidi w:val="0"/>
              <w:spacing w:line="296" w:lineRule="auto"/>
              <w:ind w:right="84" w:rightChars="40"/>
              <w:rPr>
                <w:rFonts w:hint="eastAsia" w:ascii="宋体" w:hAnsi="宋体" w:eastAsia="宋体" w:cs="宋体"/>
                <w:color w:val="auto"/>
                <w:spacing w:val="0"/>
                <w:sz w:val="24"/>
                <w:szCs w:val="24"/>
                <w:highlight w:val="none"/>
              </w:rPr>
            </w:pPr>
          </w:p>
          <w:p w14:paraId="65F0F42D">
            <w:pPr>
              <w:keepNext w:val="0"/>
              <w:keepLines w:val="0"/>
              <w:pageBreakBefore w:val="0"/>
              <w:kinsoku/>
              <w:wordWrap w:val="0"/>
              <w:overflowPunct/>
              <w:topLinePunct w:val="0"/>
              <w:bidi w:val="0"/>
              <w:spacing w:before="78" w:line="223" w:lineRule="auto"/>
              <w:ind w:left="3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33D5358">
            <w:pPr>
              <w:pStyle w:val="27"/>
              <w:keepNext w:val="0"/>
              <w:keepLines w:val="0"/>
              <w:pageBreakBefore w:val="0"/>
              <w:kinsoku/>
              <w:wordWrap w:val="0"/>
              <w:overflowPunct/>
              <w:topLinePunct w:val="0"/>
              <w:bidi w:val="0"/>
              <w:spacing w:line="296" w:lineRule="auto"/>
              <w:ind w:right="84" w:rightChars="40"/>
              <w:rPr>
                <w:rFonts w:hint="eastAsia" w:ascii="宋体" w:hAnsi="宋体" w:eastAsia="宋体" w:cs="宋体"/>
                <w:color w:val="auto"/>
                <w:spacing w:val="0"/>
                <w:sz w:val="24"/>
                <w:szCs w:val="24"/>
                <w:highlight w:val="none"/>
              </w:rPr>
            </w:pPr>
          </w:p>
          <w:p w14:paraId="0B3D0D91">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DF9CE6A">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3A456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E79A01C">
            <w:pPr>
              <w:keepNext w:val="0"/>
              <w:keepLines w:val="0"/>
              <w:pageBreakBefore w:val="0"/>
              <w:kinsoku/>
              <w:wordWrap w:val="0"/>
              <w:overflowPunct/>
              <w:topLinePunct w:val="0"/>
              <w:bidi w:val="0"/>
              <w:spacing w:before="130" w:line="219" w:lineRule="auto"/>
              <w:ind w:left="356"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三、起重吊装及起重机械安装拆卸工程</w:t>
            </w:r>
          </w:p>
        </w:tc>
        <w:tc>
          <w:tcPr>
            <w:tcW w:w="1294" w:type="dxa"/>
            <w:vAlign w:val="top"/>
          </w:tcPr>
          <w:p w14:paraId="76D8EB27">
            <w:pPr>
              <w:keepNext w:val="0"/>
              <w:keepLines w:val="0"/>
              <w:pageBreakBefore w:val="0"/>
              <w:kinsoku/>
              <w:wordWrap w:val="0"/>
              <w:overflowPunct/>
              <w:topLinePunct w:val="0"/>
              <w:bidi w:val="0"/>
              <w:spacing w:before="129"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84F6761">
            <w:pPr>
              <w:keepNext w:val="0"/>
              <w:keepLines w:val="0"/>
              <w:pageBreakBefore w:val="0"/>
              <w:kinsoku/>
              <w:wordWrap w:val="0"/>
              <w:overflowPunct/>
              <w:topLinePunct w:val="0"/>
              <w:bidi w:val="0"/>
              <w:spacing w:before="129"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AB0041E">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1C2E0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CDD2F61">
            <w:pPr>
              <w:keepNext w:val="0"/>
              <w:keepLines w:val="0"/>
              <w:pageBreakBefore w:val="0"/>
              <w:kinsoku/>
              <w:wordWrap w:val="0"/>
              <w:overflowPunct/>
              <w:topLinePunct w:val="0"/>
              <w:bidi w:val="0"/>
              <w:spacing w:before="131" w:line="327" w:lineRule="auto"/>
              <w:ind w:left="144" w:right="84" w:rightChars="40" w:hanging="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（一）采用非常规起重设备、方法，且单件起 吊重量在 10kN 及以上的起重吊装工程。</w:t>
            </w:r>
          </w:p>
        </w:tc>
        <w:tc>
          <w:tcPr>
            <w:tcW w:w="1294" w:type="dxa"/>
            <w:vAlign w:val="top"/>
          </w:tcPr>
          <w:p w14:paraId="29DAD9F8">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399CF0AA">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537BA4B">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4107995C">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189630F">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CF08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0DA6BEA">
            <w:pPr>
              <w:keepNext w:val="0"/>
              <w:keepLines w:val="0"/>
              <w:pageBreakBefore w:val="0"/>
              <w:kinsoku/>
              <w:wordWrap w:val="0"/>
              <w:overflowPunct/>
              <w:topLinePunct w:val="0"/>
              <w:bidi w:val="0"/>
              <w:spacing w:before="132" w:line="219"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（二）采用起重机械进行安装的工程。</w:t>
            </w:r>
          </w:p>
        </w:tc>
        <w:tc>
          <w:tcPr>
            <w:tcW w:w="1294" w:type="dxa"/>
            <w:vAlign w:val="top"/>
          </w:tcPr>
          <w:p w14:paraId="05D8A463">
            <w:pPr>
              <w:keepNext w:val="0"/>
              <w:keepLines w:val="0"/>
              <w:pageBreakBefore w:val="0"/>
              <w:kinsoku/>
              <w:wordWrap w:val="0"/>
              <w:overflowPunct/>
              <w:topLinePunct w:val="0"/>
              <w:bidi w:val="0"/>
              <w:spacing w:before="131" w:line="223" w:lineRule="auto"/>
              <w:ind w:left="3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902B328">
            <w:pPr>
              <w:keepNext w:val="0"/>
              <w:keepLines w:val="0"/>
              <w:pageBreakBefore w:val="0"/>
              <w:kinsoku/>
              <w:wordWrap w:val="0"/>
              <w:overflowPunct/>
              <w:topLinePunct w:val="0"/>
              <w:bidi w:val="0"/>
              <w:spacing w:before="131"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63D3528">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1DB15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2F4B30C">
            <w:pPr>
              <w:keepNext w:val="0"/>
              <w:keepLines w:val="0"/>
              <w:pageBreakBefore w:val="0"/>
              <w:kinsoku/>
              <w:wordWrap w:val="0"/>
              <w:overflowPunct/>
              <w:topLinePunct w:val="0"/>
              <w:bidi w:val="0"/>
              <w:spacing w:before="130" w:line="219"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（三）起重机械安装和拆卸工程。</w:t>
            </w:r>
          </w:p>
        </w:tc>
        <w:tc>
          <w:tcPr>
            <w:tcW w:w="1294" w:type="dxa"/>
            <w:vAlign w:val="top"/>
          </w:tcPr>
          <w:p w14:paraId="429C4D99">
            <w:pPr>
              <w:keepNext w:val="0"/>
              <w:keepLines w:val="0"/>
              <w:pageBreakBefore w:val="0"/>
              <w:kinsoku/>
              <w:wordWrap w:val="0"/>
              <w:overflowPunct/>
              <w:topLinePunct w:val="0"/>
              <w:bidi w:val="0"/>
              <w:spacing w:before="129" w:line="223" w:lineRule="auto"/>
              <w:ind w:left="3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E377759">
            <w:pPr>
              <w:keepNext w:val="0"/>
              <w:keepLines w:val="0"/>
              <w:pageBreakBefore w:val="0"/>
              <w:kinsoku/>
              <w:wordWrap w:val="0"/>
              <w:overflowPunct/>
              <w:topLinePunct w:val="0"/>
              <w:bidi w:val="0"/>
              <w:spacing w:before="129"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D68036D">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9A8E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3B4E193">
            <w:pPr>
              <w:keepNext w:val="0"/>
              <w:keepLines w:val="0"/>
              <w:pageBreakBefore w:val="0"/>
              <w:kinsoku/>
              <w:wordWrap w:val="0"/>
              <w:overflowPunct/>
              <w:topLinePunct w:val="0"/>
              <w:bidi w:val="0"/>
              <w:spacing w:before="131" w:line="219" w:lineRule="auto"/>
              <w:ind w:left="138"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四、脚手架工程</w:t>
            </w:r>
          </w:p>
        </w:tc>
        <w:tc>
          <w:tcPr>
            <w:tcW w:w="1294" w:type="dxa"/>
            <w:vAlign w:val="top"/>
          </w:tcPr>
          <w:p w14:paraId="4B0E76C9">
            <w:pPr>
              <w:keepNext w:val="0"/>
              <w:keepLines w:val="0"/>
              <w:pageBreakBefore w:val="0"/>
              <w:kinsoku/>
              <w:wordWrap w:val="0"/>
              <w:overflowPunct/>
              <w:topLinePunct w:val="0"/>
              <w:bidi w:val="0"/>
              <w:spacing w:before="130" w:line="223" w:lineRule="auto"/>
              <w:ind w:left="48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5E1DB8D">
            <w:pPr>
              <w:keepNext w:val="0"/>
              <w:keepLines w:val="0"/>
              <w:pageBreakBefore w:val="0"/>
              <w:kinsoku/>
              <w:wordWrap w:val="0"/>
              <w:overflowPunct/>
              <w:topLinePunct w:val="0"/>
              <w:bidi w:val="0"/>
              <w:spacing w:before="130"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596A5DC">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50A15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15C7215">
            <w:pPr>
              <w:keepNext w:val="0"/>
              <w:keepLines w:val="0"/>
              <w:pageBreakBefore w:val="0"/>
              <w:kinsoku/>
              <w:wordWrap w:val="0"/>
              <w:overflowPunct/>
              <w:topLinePunct w:val="0"/>
              <w:bidi w:val="0"/>
              <w:spacing w:before="130" w:line="327" w:lineRule="auto"/>
              <w:ind w:left="117" w:right="84" w:rightChars="40"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（一）搭设高度 24m 及以上的落地式钢管脚手 架工程（包括采光井、电梯井脚手架）。</w:t>
            </w:r>
          </w:p>
        </w:tc>
        <w:tc>
          <w:tcPr>
            <w:tcW w:w="1294" w:type="dxa"/>
            <w:vAlign w:val="top"/>
          </w:tcPr>
          <w:p w14:paraId="321FD4AD">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679F5793">
            <w:pPr>
              <w:keepNext w:val="0"/>
              <w:keepLines w:val="0"/>
              <w:pageBreakBefore w:val="0"/>
              <w:kinsoku/>
              <w:wordWrap w:val="0"/>
              <w:overflowPunct/>
              <w:topLinePunct w:val="0"/>
              <w:bidi w:val="0"/>
              <w:spacing w:before="78" w:line="223" w:lineRule="auto"/>
              <w:ind w:left="42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CD0218D">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634A98EC">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D925227">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9B470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79A4E32">
            <w:pPr>
              <w:keepNext w:val="0"/>
              <w:keepLines w:val="0"/>
              <w:pageBreakBefore w:val="0"/>
              <w:kinsoku/>
              <w:wordWrap w:val="0"/>
              <w:overflowPunct/>
              <w:topLinePunct w:val="0"/>
              <w:bidi w:val="0"/>
              <w:spacing w:before="131" w:line="219"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（二）附着式升降脚手架工程。</w:t>
            </w:r>
          </w:p>
        </w:tc>
        <w:tc>
          <w:tcPr>
            <w:tcW w:w="1294" w:type="dxa"/>
            <w:vAlign w:val="top"/>
          </w:tcPr>
          <w:p w14:paraId="2834041E">
            <w:pPr>
              <w:keepNext w:val="0"/>
              <w:keepLines w:val="0"/>
              <w:pageBreakBefore w:val="0"/>
              <w:kinsoku/>
              <w:wordWrap w:val="0"/>
              <w:overflowPunct/>
              <w:topLinePunct w:val="0"/>
              <w:bidi w:val="0"/>
              <w:spacing w:before="130" w:line="223" w:lineRule="auto"/>
              <w:ind w:left="24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9E1B740">
            <w:pPr>
              <w:keepNext w:val="0"/>
              <w:keepLines w:val="0"/>
              <w:pageBreakBefore w:val="0"/>
              <w:kinsoku/>
              <w:wordWrap w:val="0"/>
              <w:overflowPunct/>
              <w:topLinePunct w:val="0"/>
              <w:bidi w:val="0"/>
              <w:spacing w:before="130"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CAC225D">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236F1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74FFC9B">
            <w:pPr>
              <w:keepNext w:val="0"/>
              <w:keepLines w:val="0"/>
              <w:pageBreakBefore w:val="0"/>
              <w:kinsoku/>
              <w:wordWrap w:val="0"/>
              <w:overflowPunct/>
              <w:topLinePunct w:val="0"/>
              <w:bidi w:val="0"/>
              <w:spacing w:before="132" w:line="219"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（三）悬挑式脚手架工程。</w:t>
            </w:r>
          </w:p>
        </w:tc>
        <w:tc>
          <w:tcPr>
            <w:tcW w:w="1294" w:type="dxa"/>
            <w:vAlign w:val="top"/>
          </w:tcPr>
          <w:p w14:paraId="5E7432E5">
            <w:pPr>
              <w:keepNext w:val="0"/>
              <w:keepLines w:val="0"/>
              <w:pageBreakBefore w:val="0"/>
              <w:kinsoku/>
              <w:wordWrap w:val="0"/>
              <w:overflowPunct/>
              <w:topLinePunct w:val="0"/>
              <w:bidi w:val="0"/>
              <w:spacing w:before="131" w:line="223" w:lineRule="auto"/>
              <w:ind w:left="24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7D49CBE">
            <w:pPr>
              <w:keepNext w:val="0"/>
              <w:keepLines w:val="0"/>
              <w:pageBreakBefore w:val="0"/>
              <w:kinsoku/>
              <w:wordWrap w:val="0"/>
              <w:overflowPunct/>
              <w:topLinePunct w:val="0"/>
              <w:bidi w:val="0"/>
              <w:spacing w:before="131"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6E687F2">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5EB78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0A65585">
            <w:pPr>
              <w:keepNext w:val="0"/>
              <w:keepLines w:val="0"/>
              <w:pageBreakBefore w:val="0"/>
              <w:kinsoku/>
              <w:wordWrap w:val="0"/>
              <w:overflowPunct/>
              <w:topLinePunct w:val="0"/>
              <w:bidi w:val="0"/>
              <w:spacing w:before="131" w:line="220"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（四）高处作业吊篮。</w:t>
            </w:r>
          </w:p>
        </w:tc>
        <w:tc>
          <w:tcPr>
            <w:tcW w:w="1294" w:type="dxa"/>
            <w:vAlign w:val="top"/>
          </w:tcPr>
          <w:p w14:paraId="14F1C253">
            <w:pPr>
              <w:keepNext w:val="0"/>
              <w:keepLines w:val="0"/>
              <w:pageBreakBefore w:val="0"/>
              <w:kinsoku/>
              <w:wordWrap w:val="0"/>
              <w:overflowPunct/>
              <w:topLinePunct w:val="0"/>
              <w:bidi w:val="0"/>
              <w:spacing w:before="131"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55D4A21">
            <w:pPr>
              <w:keepNext w:val="0"/>
              <w:keepLines w:val="0"/>
              <w:pageBreakBefore w:val="0"/>
              <w:kinsoku/>
              <w:wordWrap w:val="0"/>
              <w:overflowPunct/>
              <w:topLinePunct w:val="0"/>
              <w:bidi w:val="0"/>
              <w:spacing w:before="131"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71AEFFD">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5BFCB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6D85820">
            <w:pPr>
              <w:keepNext w:val="0"/>
              <w:keepLines w:val="0"/>
              <w:pageBreakBefore w:val="0"/>
              <w:kinsoku/>
              <w:wordWrap w:val="0"/>
              <w:overflowPunct/>
              <w:topLinePunct w:val="0"/>
              <w:bidi w:val="0"/>
              <w:spacing w:before="132" w:line="220"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（五）卸料平台、操作平台工程。</w:t>
            </w:r>
          </w:p>
        </w:tc>
        <w:tc>
          <w:tcPr>
            <w:tcW w:w="1294" w:type="dxa"/>
            <w:vAlign w:val="top"/>
          </w:tcPr>
          <w:p w14:paraId="24DA6B96">
            <w:pPr>
              <w:keepNext w:val="0"/>
              <w:keepLines w:val="0"/>
              <w:pageBreakBefore w:val="0"/>
              <w:kinsoku/>
              <w:wordWrap w:val="0"/>
              <w:overflowPunct/>
              <w:topLinePunct w:val="0"/>
              <w:bidi w:val="0"/>
              <w:spacing w:before="132" w:line="223" w:lineRule="auto"/>
              <w:ind w:left="24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972CBB8">
            <w:pPr>
              <w:keepNext w:val="0"/>
              <w:keepLines w:val="0"/>
              <w:pageBreakBefore w:val="0"/>
              <w:kinsoku/>
              <w:wordWrap w:val="0"/>
              <w:overflowPunct/>
              <w:topLinePunct w:val="0"/>
              <w:bidi w:val="0"/>
              <w:spacing w:before="132"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D335B2E">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19049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C96EB0E">
            <w:pPr>
              <w:keepNext w:val="0"/>
              <w:keepLines w:val="0"/>
              <w:pageBreakBefore w:val="0"/>
              <w:kinsoku/>
              <w:wordWrap w:val="0"/>
              <w:overflowPunct/>
              <w:topLinePunct w:val="0"/>
              <w:bidi w:val="0"/>
              <w:spacing w:before="133" w:line="219"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（六）异型脚手架工程。</w:t>
            </w:r>
          </w:p>
        </w:tc>
        <w:tc>
          <w:tcPr>
            <w:tcW w:w="1294" w:type="dxa"/>
            <w:vAlign w:val="top"/>
          </w:tcPr>
          <w:p w14:paraId="2920519C">
            <w:pPr>
              <w:keepNext w:val="0"/>
              <w:keepLines w:val="0"/>
              <w:pageBreakBefore w:val="0"/>
              <w:kinsoku/>
              <w:wordWrap w:val="0"/>
              <w:overflowPunct/>
              <w:topLinePunct w:val="0"/>
              <w:bidi w:val="0"/>
              <w:spacing w:before="132"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6F0ED25">
            <w:pPr>
              <w:keepNext w:val="0"/>
              <w:keepLines w:val="0"/>
              <w:pageBreakBefore w:val="0"/>
              <w:kinsoku/>
              <w:wordWrap w:val="0"/>
              <w:overflowPunct/>
              <w:topLinePunct w:val="0"/>
              <w:bidi w:val="0"/>
              <w:spacing w:before="132"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16F9989">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7684B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DB2BD6B">
            <w:pPr>
              <w:keepNext w:val="0"/>
              <w:keepLines w:val="0"/>
              <w:pageBreakBefore w:val="0"/>
              <w:kinsoku/>
              <w:wordWrap w:val="0"/>
              <w:overflowPunct/>
              <w:topLinePunct w:val="0"/>
              <w:bidi w:val="0"/>
              <w:spacing w:before="131" w:line="220" w:lineRule="auto"/>
              <w:ind w:left="120" w:right="84" w:rightChars="40"/>
              <w:rPr>
                <w:rFonts w:hint="eastAsia" w:ascii="宋体" w:hAnsi="宋体" w:eastAsia="宋体" w:cs="宋体"/>
                <w:color w:val="auto"/>
                <w:spacing w:val="0"/>
                <w:sz w:val="24"/>
                <w:szCs w:val="24"/>
                <w:highlight w:val="none"/>
              </w:rPr>
            </w:pPr>
            <w:bookmarkStart w:id="272" w:name="bookmark162"/>
            <w:bookmarkEnd w:id="272"/>
            <w:r>
              <w:rPr>
                <w:rFonts w:hint="eastAsia" w:ascii="宋体" w:hAnsi="宋体" w:eastAsia="宋体" w:cs="宋体"/>
                <w:color w:val="auto"/>
                <w:spacing w:val="0"/>
                <w:sz w:val="24"/>
                <w:szCs w:val="24"/>
                <w:highlight w:val="none"/>
              </w:rPr>
              <w:t>五、拆除工程</w:t>
            </w:r>
          </w:p>
        </w:tc>
        <w:tc>
          <w:tcPr>
            <w:tcW w:w="1294" w:type="dxa"/>
            <w:vAlign w:val="top"/>
          </w:tcPr>
          <w:p w14:paraId="1F592663">
            <w:pPr>
              <w:keepNext w:val="0"/>
              <w:keepLines w:val="0"/>
              <w:pageBreakBefore w:val="0"/>
              <w:kinsoku/>
              <w:wordWrap w:val="0"/>
              <w:overflowPunct/>
              <w:topLinePunct w:val="0"/>
              <w:bidi w:val="0"/>
              <w:spacing w:before="131" w:line="223" w:lineRule="auto"/>
              <w:ind w:left="48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97AE92B">
            <w:pPr>
              <w:keepNext w:val="0"/>
              <w:keepLines w:val="0"/>
              <w:pageBreakBefore w:val="0"/>
              <w:kinsoku/>
              <w:wordWrap w:val="0"/>
              <w:overflowPunct/>
              <w:topLinePunct w:val="0"/>
              <w:bidi w:val="0"/>
              <w:spacing w:before="131"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B23CF5F">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4E835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355B08F">
            <w:pPr>
              <w:keepNext w:val="0"/>
              <w:keepLines w:val="0"/>
              <w:pageBreakBefore w:val="0"/>
              <w:kinsoku/>
              <w:wordWrap w:val="0"/>
              <w:overflowPunct/>
              <w:topLinePunct w:val="0"/>
              <w:bidi w:val="0"/>
              <w:spacing w:before="126" w:line="329" w:lineRule="auto"/>
              <w:ind w:left="11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可能影响行人、交通、电力设施、通讯设施或 其它建、构筑物安全的拆除工程。</w:t>
            </w:r>
          </w:p>
        </w:tc>
        <w:tc>
          <w:tcPr>
            <w:tcW w:w="1294" w:type="dxa"/>
            <w:vAlign w:val="top"/>
          </w:tcPr>
          <w:p w14:paraId="0A9FAFF7">
            <w:pPr>
              <w:pStyle w:val="27"/>
              <w:keepNext w:val="0"/>
              <w:keepLines w:val="0"/>
              <w:pageBreakBefore w:val="0"/>
              <w:kinsoku/>
              <w:wordWrap w:val="0"/>
              <w:overflowPunct/>
              <w:topLinePunct w:val="0"/>
              <w:bidi w:val="0"/>
              <w:spacing w:line="294" w:lineRule="auto"/>
              <w:ind w:right="84" w:rightChars="40"/>
              <w:rPr>
                <w:rFonts w:hint="eastAsia" w:ascii="宋体" w:hAnsi="宋体" w:eastAsia="宋体" w:cs="宋体"/>
                <w:color w:val="auto"/>
                <w:spacing w:val="0"/>
                <w:sz w:val="24"/>
                <w:szCs w:val="24"/>
                <w:highlight w:val="none"/>
              </w:rPr>
            </w:pPr>
          </w:p>
          <w:p w14:paraId="34B3FB96">
            <w:pPr>
              <w:keepNext w:val="0"/>
              <w:keepLines w:val="0"/>
              <w:pageBreakBefore w:val="0"/>
              <w:kinsoku/>
              <w:wordWrap w:val="0"/>
              <w:overflowPunct/>
              <w:topLinePunct w:val="0"/>
              <w:bidi w:val="0"/>
              <w:spacing w:before="78" w:line="223" w:lineRule="auto"/>
              <w:ind w:left="3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D9904E6">
            <w:pPr>
              <w:pStyle w:val="27"/>
              <w:keepNext w:val="0"/>
              <w:keepLines w:val="0"/>
              <w:pageBreakBefore w:val="0"/>
              <w:kinsoku/>
              <w:wordWrap w:val="0"/>
              <w:overflowPunct/>
              <w:topLinePunct w:val="0"/>
              <w:bidi w:val="0"/>
              <w:spacing w:line="294" w:lineRule="auto"/>
              <w:ind w:right="84" w:rightChars="40"/>
              <w:rPr>
                <w:rFonts w:hint="eastAsia" w:ascii="宋体" w:hAnsi="宋体" w:eastAsia="宋体" w:cs="宋体"/>
                <w:color w:val="auto"/>
                <w:spacing w:val="0"/>
                <w:sz w:val="24"/>
                <w:szCs w:val="24"/>
                <w:highlight w:val="none"/>
              </w:rPr>
            </w:pPr>
          </w:p>
          <w:p w14:paraId="4D0D520C">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50FEA8A">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66C11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0BEE0B8">
            <w:pPr>
              <w:keepNext w:val="0"/>
              <w:keepLines w:val="0"/>
              <w:pageBreakBefore w:val="0"/>
              <w:kinsoku/>
              <w:wordWrap w:val="0"/>
              <w:overflowPunct/>
              <w:topLinePunct w:val="0"/>
              <w:bidi w:val="0"/>
              <w:spacing w:before="126" w:line="221" w:lineRule="auto"/>
              <w:ind w:left="358"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六、暗挖工程</w:t>
            </w:r>
          </w:p>
        </w:tc>
        <w:tc>
          <w:tcPr>
            <w:tcW w:w="1294" w:type="dxa"/>
            <w:vAlign w:val="top"/>
          </w:tcPr>
          <w:p w14:paraId="096738AD">
            <w:pPr>
              <w:keepNext w:val="0"/>
              <w:keepLines w:val="0"/>
              <w:pageBreakBefore w:val="0"/>
              <w:kinsoku/>
              <w:wordWrap w:val="0"/>
              <w:overflowPunct/>
              <w:topLinePunct w:val="0"/>
              <w:bidi w:val="0"/>
              <w:spacing w:before="126"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2FCEA97">
            <w:pPr>
              <w:keepNext w:val="0"/>
              <w:keepLines w:val="0"/>
              <w:pageBreakBefore w:val="0"/>
              <w:kinsoku/>
              <w:wordWrap w:val="0"/>
              <w:overflowPunct/>
              <w:topLinePunct w:val="0"/>
              <w:bidi w:val="0"/>
              <w:spacing w:before="126"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EFB7B18">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50D5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DD12E32">
            <w:pPr>
              <w:keepNext w:val="0"/>
              <w:keepLines w:val="0"/>
              <w:pageBreakBefore w:val="0"/>
              <w:kinsoku/>
              <w:wordWrap w:val="0"/>
              <w:overflowPunct/>
              <w:topLinePunct w:val="0"/>
              <w:bidi w:val="0"/>
              <w:spacing w:before="128" w:line="328" w:lineRule="auto"/>
              <w:ind w:left="119" w:right="84" w:rightChars="40" w:hanging="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采用矿山法、盾构法、顶管法施工的隧道、洞 室工程。</w:t>
            </w:r>
          </w:p>
        </w:tc>
        <w:tc>
          <w:tcPr>
            <w:tcW w:w="1294" w:type="dxa"/>
            <w:vAlign w:val="top"/>
          </w:tcPr>
          <w:p w14:paraId="41A2393E">
            <w:pPr>
              <w:pStyle w:val="27"/>
              <w:keepNext w:val="0"/>
              <w:keepLines w:val="0"/>
              <w:pageBreakBefore w:val="0"/>
              <w:kinsoku/>
              <w:wordWrap w:val="0"/>
              <w:overflowPunct/>
              <w:topLinePunct w:val="0"/>
              <w:bidi w:val="0"/>
              <w:spacing w:line="294" w:lineRule="auto"/>
              <w:ind w:right="84" w:rightChars="40"/>
              <w:rPr>
                <w:rFonts w:hint="eastAsia" w:ascii="宋体" w:hAnsi="宋体" w:eastAsia="宋体" w:cs="宋体"/>
                <w:color w:val="auto"/>
                <w:spacing w:val="0"/>
                <w:sz w:val="24"/>
                <w:szCs w:val="24"/>
                <w:highlight w:val="none"/>
              </w:rPr>
            </w:pPr>
          </w:p>
          <w:p w14:paraId="3183CE4F">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B4F68CC">
            <w:pPr>
              <w:pStyle w:val="27"/>
              <w:keepNext w:val="0"/>
              <w:keepLines w:val="0"/>
              <w:pageBreakBefore w:val="0"/>
              <w:kinsoku/>
              <w:wordWrap w:val="0"/>
              <w:overflowPunct/>
              <w:topLinePunct w:val="0"/>
              <w:bidi w:val="0"/>
              <w:spacing w:line="294" w:lineRule="auto"/>
              <w:ind w:right="84" w:rightChars="40"/>
              <w:rPr>
                <w:rFonts w:hint="eastAsia" w:ascii="宋体" w:hAnsi="宋体" w:eastAsia="宋体" w:cs="宋体"/>
                <w:color w:val="auto"/>
                <w:spacing w:val="0"/>
                <w:sz w:val="24"/>
                <w:szCs w:val="24"/>
                <w:highlight w:val="none"/>
              </w:rPr>
            </w:pPr>
          </w:p>
          <w:p w14:paraId="1E79BD64">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A19A2ED">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5B294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FE7E493">
            <w:pPr>
              <w:keepNext w:val="0"/>
              <w:keepLines w:val="0"/>
              <w:pageBreakBefore w:val="0"/>
              <w:kinsoku/>
              <w:wordWrap w:val="0"/>
              <w:overflowPunct/>
              <w:topLinePunct w:val="0"/>
              <w:bidi w:val="0"/>
              <w:spacing w:before="129" w:line="222" w:lineRule="auto"/>
              <w:ind w:left="11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七、其它</w:t>
            </w:r>
          </w:p>
        </w:tc>
        <w:tc>
          <w:tcPr>
            <w:tcW w:w="1294" w:type="dxa"/>
            <w:vAlign w:val="top"/>
          </w:tcPr>
          <w:p w14:paraId="277DB7A9">
            <w:pPr>
              <w:keepNext w:val="0"/>
              <w:keepLines w:val="0"/>
              <w:pageBreakBefore w:val="0"/>
              <w:kinsoku/>
              <w:wordWrap w:val="0"/>
              <w:overflowPunct/>
              <w:topLinePunct w:val="0"/>
              <w:bidi w:val="0"/>
              <w:spacing w:before="129"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5BBDAB4">
            <w:pPr>
              <w:keepNext w:val="0"/>
              <w:keepLines w:val="0"/>
              <w:pageBreakBefore w:val="0"/>
              <w:kinsoku/>
              <w:wordWrap w:val="0"/>
              <w:overflowPunct/>
              <w:topLinePunct w:val="0"/>
              <w:bidi w:val="0"/>
              <w:spacing w:before="129"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9140078">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8706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47EBC8">
            <w:pPr>
              <w:keepNext w:val="0"/>
              <w:keepLines w:val="0"/>
              <w:pageBreakBefore w:val="0"/>
              <w:kinsoku/>
              <w:wordWrap w:val="0"/>
              <w:overflowPunct/>
              <w:topLinePunct w:val="0"/>
              <w:bidi w:val="0"/>
              <w:spacing w:before="128" w:line="219"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（一）建筑幕墙安装工程。</w:t>
            </w:r>
          </w:p>
        </w:tc>
        <w:tc>
          <w:tcPr>
            <w:tcW w:w="1294" w:type="dxa"/>
            <w:vAlign w:val="top"/>
          </w:tcPr>
          <w:p w14:paraId="594F7240">
            <w:pPr>
              <w:keepNext w:val="0"/>
              <w:keepLines w:val="0"/>
              <w:pageBreakBefore w:val="0"/>
              <w:kinsoku/>
              <w:wordWrap w:val="0"/>
              <w:overflowPunct/>
              <w:topLinePunct w:val="0"/>
              <w:bidi w:val="0"/>
              <w:spacing w:before="127"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3358343">
            <w:pPr>
              <w:keepNext w:val="0"/>
              <w:keepLines w:val="0"/>
              <w:pageBreakBefore w:val="0"/>
              <w:kinsoku/>
              <w:wordWrap w:val="0"/>
              <w:overflowPunct/>
              <w:topLinePunct w:val="0"/>
              <w:bidi w:val="0"/>
              <w:spacing w:before="127"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A6B694E">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40834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6116876">
            <w:pPr>
              <w:keepNext w:val="0"/>
              <w:keepLines w:val="0"/>
              <w:pageBreakBefore w:val="0"/>
              <w:kinsoku/>
              <w:wordWrap w:val="0"/>
              <w:overflowPunct/>
              <w:topLinePunct w:val="0"/>
              <w:bidi w:val="0"/>
              <w:spacing w:before="128" w:line="221"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（二）钢结构、网架和索膜结构安装工程。</w:t>
            </w:r>
          </w:p>
        </w:tc>
        <w:tc>
          <w:tcPr>
            <w:tcW w:w="1294" w:type="dxa"/>
            <w:vAlign w:val="top"/>
          </w:tcPr>
          <w:p w14:paraId="571DD0F6">
            <w:pPr>
              <w:keepNext w:val="0"/>
              <w:keepLines w:val="0"/>
              <w:pageBreakBefore w:val="0"/>
              <w:kinsoku/>
              <w:wordWrap w:val="0"/>
              <w:overflowPunct/>
              <w:topLinePunct w:val="0"/>
              <w:bidi w:val="0"/>
              <w:spacing w:before="12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B1AA7CA">
            <w:pPr>
              <w:keepNext w:val="0"/>
              <w:keepLines w:val="0"/>
              <w:pageBreakBefore w:val="0"/>
              <w:kinsoku/>
              <w:wordWrap w:val="0"/>
              <w:overflowPunct/>
              <w:topLinePunct w:val="0"/>
              <w:bidi w:val="0"/>
              <w:spacing w:before="12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6810C91">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2E9BE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279A1D">
            <w:pPr>
              <w:keepNext w:val="0"/>
              <w:keepLines w:val="0"/>
              <w:pageBreakBefore w:val="0"/>
              <w:kinsoku/>
              <w:wordWrap w:val="0"/>
              <w:overflowPunct/>
              <w:topLinePunct w:val="0"/>
              <w:bidi w:val="0"/>
              <w:spacing w:before="128" w:line="220"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（三）人工挖孔桩工程。</w:t>
            </w:r>
          </w:p>
        </w:tc>
        <w:tc>
          <w:tcPr>
            <w:tcW w:w="1294" w:type="dxa"/>
            <w:vAlign w:val="top"/>
          </w:tcPr>
          <w:p w14:paraId="68A4C3FD">
            <w:pPr>
              <w:keepNext w:val="0"/>
              <w:keepLines w:val="0"/>
              <w:pageBreakBefore w:val="0"/>
              <w:kinsoku/>
              <w:wordWrap w:val="0"/>
              <w:overflowPunct/>
              <w:topLinePunct w:val="0"/>
              <w:bidi w:val="0"/>
              <w:spacing w:before="12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D9EDFFA">
            <w:pPr>
              <w:keepNext w:val="0"/>
              <w:keepLines w:val="0"/>
              <w:pageBreakBefore w:val="0"/>
              <w:kinsoku/>
              <w:wordWrap w:val="0"/>
              <w:overflowPunct/>
              <w:topLinePunct w:val="0"/>
              <w:bidi w:val="0"/>
              <w:spacing w:before="12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28B0F19">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38173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7968F35">
            <w:pPr>
              <w:keepNext w:val="0"/>
              <w:keepLines w:val="0"/>
              <w:pageBreakBefore w:val="0"/>
              <w:kinsoku/>
              <w:wordWrap w:val="0"/>
              <w:overflowPunct/>
              <w:topLinePunct w:val="0"/>
              <w:bidi w:val="0"/>
              <w:spacing w:before="129" w:line="220"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（四）水下作业工程。</w:t>
            </w:r>
          </w:p>
        </w:tc>
        <w:tc>
          <w:tcPr>
            <w:tcW w:w="1294" w:type="dxa"/>
            <w:vAlign w:val="top"/>
          </w:tcPr>
          <w:p w14:paraId="5BBFC845">
            <w:pPr>
              <w:keepNext w:val="0"/>
              <w:keepLines w:val="0"/>
              <w:pageBreakBefore w:val="0"/>
              <w:kinsoku/>
              <w:wordWrap w:val="0"/>
              <w:overflowPunct/>
              <w:topLinePunct w:val="0"/>
              <w:bidi w:val="0"/>
              <w:spacing w:before="129"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11E41E3">
            <w:pPr>
              <w:keepNext w:val="0"/>
              <w:keepLines w:val="0"/>
              <w:pageBreakBefore w:val="0"/>
              <w:kinsoku/>
              <w:wordWrap w:val="0"/>
              <w:overflowPunct/>
              <w:topLinePunct w:val="0"/>
              <w:bidi w:val="0"/>
              <w:spacing w:before="129"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287899C">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6CE42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E2EB51E">
            <w:pPr>
              <w:keepNext w:val="0"/>
              <w:keepLines w:val="0"/>
              <w:pageBreakBefore w:val="0"/>
              <w:kinsoku/>
              <w:wordWrap w:val="0"/>
              <w:overflowPunct/>
              <w:topLinePunct w:val="0"/>
              <w:bidi w:val="0"/>
              <w:spacing w:before="129" w:line="220"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（五）装配式建筑混凝土预制构件安装工程。</w:t>
            </w:r>
          </w:p>
        </w:tc>
        <w:tc>
          <w:tcPr>
            <w:tcW w:w="1294" w:type="dxa"/>
            <w:vAlign w:val="top"/>
          </w:tcPr>
          <w:p w14:paraId="0335193E">
            <w:pPr>
              <w:keepNext w:val="0"/>
              <w:keepLines w:val="0"/>
              <w:pageBreakBefore w:val="0"/>
              <w:kinsoku/>
              <w:wordWrap w:val="0"/>
              <w:overflowPunct/>
              <w:topLinePunct w:val="0"/>
              <w:bidi w:val="0"/>
              <w:spacing w:before="129"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88C26DB">
            <w:pPr>
              <w:keepNext w:val="0"/>
              <w:keepLines w:val="0"/>
              <w:pageBreakBefore w:val="0"/>
              <w:kinsoku/>
              <w:wordWrap w:val="0"/>
              <w:overflowPunct/>
              <w:topLinePunct w:val="0"/>
              <w:bidi w:val="0"/>
              <w:spacing w:before="129"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AE26D27">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60BAC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42918A5">
            <w:pPr>
              <w:keepNext w:val="0"/>
              <w:keepLines w:val="0"/>
              <w:pageBreakBefore w:val="0"/>
              <w:kinsoku/>
              <w:wordWrap w:val="0"/>
              <w:overflowPunct/>
              <w:topLinePunct w:val="0"/>
              <w:bidi w:val="0"/>
              <w:spacing w:before="129" w:line="345" w:lineRule="auto"/>
              <w:ind w:left="117" w:right="84" w:rightChars="40" w:firstLine="1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（六）采用新技术、新工艺、新材料、新设备 可能影响工程施工安全，尚无国家、行业及地 方技术标准的分部分项工程。</w:t>
            </w:r>
          </w:p>
        </w:tc>
        <w:tc>
          <w:tcPr>
            <w:tcW w:w="1294" w:type="dxa"/>
            <w:vAlign w:val="top"/>
          </w:tcPr>
          <w:p w14:paraId="496F222B">
            <w:pPr>
              <w:pStyle w:val="27"/>
              <w:keepNext w:val="0"/>
              <w:keepLines w:val="0"/>
              <w:pageBreakBefore w:val="0"/>
              <w:kinsoku/>
              <w:wordWrap w:val="0"/>
              <w:overflowPunct/>
              <w:topLinePunct w:val="0"/>
              <w:bidi w:val="0"/>
              <w:spacing w:line="270" w:lineRule="auto"/>
              <w:ind w:right="84" w:rightChars="40"/>
              <w:rPr>
                <w:rFonts w:hint="eastAsia" w:ascii="宋体" w:hAnsi="宋体" w:eastAsia="宋体" w:cs="宋体"/>
                <w:color w:val="auto"/>
                <w:spacing w:val="0"/>
                <w:sz w:val="24"/>
                <w:szCs w:val="24"/>
                <w:highlight w:val="none"/>
              </w:rPr>
            </w:pPr>
          </w:p>
          <w:p w14:paraId="4BE76F41">
            <w:pPr>
              <w:pStyle w:val="27"/>
              <w:keepNext w:val="0"/>
              <w:keepLines w:val="0"/>
              <w:pageBreakBefore w:val="0"/>
              <w:kinsoku/>
              <w:wordWrap w:val="0"/>
              <w:overflowPunct/>
              <w:topLinePunct w:val="0"/>
              <w:bidi w:val="0"/>
              <w:spacing w:line="271" w:lineRule="auto"/>
              <w:ind w:right="84" w:rightChars="40"/>
              <w:rPr>
                <w:rFonts w:hint="eastAsia" w:ascii="宋体" w:hAnsi="宋体" w:eastAsia="宋体" w:cs="宋体"/>
                <w:color w:val="auto"/>
                <w:spacing w:val="0"/>
                <w:sz w:val="24"/>
                <w:szCs w:val="24"/>
                <w:highlight w:val="none"/>
              </w:rPr>
            </w:pPr>
          </w:p>
          <w:p w14:paraId="239AC87B">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82C1EFD">
            <w:pPr>
              <w:pStyle w:val="27"/>
              <w:keepNext w:val="0"/>
              <w:keepLines w:val="0"/>
              <w:pageBreakBefore w:val="0"/>
              <w:kinsoku/>
              <w:wordWrap w:val="0"/>
              <w:overflowPunct/>
              <w:topLinePunct w:val="0"/>
              <w:bidi w:val="0"/>
              <w:spacing w:line="270" w:lineRule="auto"/>
              <w:ind w:right="84" w:rightChars="40"/>
              <w:rPr>
                <w:rFonts w:hint="eastAsia" w:ascii="宋体" w:hAnsi="宋体" w:eastAsia="宋体" w:cs="宋体"/>
                <w:color w:val="auto"/>
                <w:spacing w:val="0"/>
                <w:sz w:val="24"/>
                <w:szCs w:val="24"/>
                <w:highlight w:val="none"/>
              </w:rPr>
            </w:pPr>
          </w:p>
          <w:p w14:paraId="7FBE4FE4">
            <w:pPr>
              <w:pStyle w:val="27"/>
              <w:keepNext w:val="0"/>
              <w:keepLines w:val="0"/>
              <w:pageBreakBefore w:val="0"/>
              <w:kinsoku/>
              <w:wordWrap w:val="0"/>
              <w:overflowPunct/>
              <w:topLinePunct w:val="0"/>
              <w:bidi w:val="0"/>
              <w:spacing w:line="271" w:lineRule="auto"/>
              <w:ind w:right="84" w:rightChars="40"/>
              <w:rPr>
                <w:rFonts w:hint="eastAsia" w:ascii="宋体" w:hAnsi="宋体" w:eastAsia="宋体" w:cs="宋体"/>
                <w:color w:val="auto"/>
                <w:spacing w:val="0"/>
                <w:sz w:val="24"/>
                <w:szCs w:val="24"/>
                <w:highlight w:val="none"/>
              </w:rPr>
            </w:pPr>
          </w:p>
          <w:p w14:paraId="232EE85F">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D9EE8AB">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113E8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264981E">
            <w:pPr>
              <w:keepNext w:val="0"/>
              <w:keepLines w:val="0"/>
              <w:pageBreakBefore w:val="0"/>
              <w:kinsoku/>
              <w:wordWrap w:val="0"/>
              <w:overflowPunct/>
              <w:topLinePunct w:val="0"/>
              <w:bidi w:val="0"/>
              <w:spacing w:before="129" w:line="328" w:lineRule="auto"/>
              <w:ind w:left="115" w:right="84" w:rightChars="40" w:firstLine="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二、超过一定规模的危险性较大的分部分项工程清单</w:t>
            </w:r>
          </w:p>
        </w:tc>
        <w:tc>
          <w:tcPr>
            <w:tcW w:w="1294" w:type="dxa"/>
            <w:vAlign w:val="top"/>
          </w:tcPr>
          <w:p w14:paraId="52EDDCE6">
            <w:pPr>
              <w:pStyle w:val="27"/>
              <w:keepNext w:val="0"/>
              <w:keepLines w:val="0"/>
              <w:pageBreakBefore w:val="0"/>
              <w:kinsoku/>
              <w:wordWrap w:val="0"/>
              <w:overflowPunct/>
              <w:topLinePunct w:val="0"/>
              <w:bidi w:val="0"/>
              <w:spacing w:line="295" w:lineRule="auto"/>
              <w:ind w:right="84" w:rightChars="40"/>
              <w:rPr>
                <w:rFonts w:hint="eastAsia" w:ascii="宋体" w:hAnsi="宋体" w:eastAsia="宋体" w:cs="宋体"/>
                <w:color w:val="auto"/>
                <w:spacing w:val="0"/>
                <w:sz w:val="24"/>
                <w:szCs w:val="24"/>
                <w:highlight w:val="none"/>
              </w:rPr>
            </w:pPr>
          </w:p>
          <w:p w14:paraId="45015D35">
            <w:pPr>
              <w:keepNext w:val="0"/>
              <w:keepLines w:val="0"/>
              <w:pageBreakBefore w:val="0"/>
              <w:kinsoku/>
              <w:wordWrap w:val="0"/>
              <w:overflowPunct/>
              <w:topLinePunct w:val="0"/>
              <w:bidi w:val="0"/>
              <w:spacing w:before="78" w:line="221" w:lineRule="auto"/>
              <w:ind w:left="206"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1294" w:type="dxa"/>
            <w:vAlign w:val="top"/>
          </w:tcPr>
          <w:p w14:paraId="7D2CDEE2">
            <w:pPr>
              <w:pStyle w:val="27"/>
              <w:keepNext w:val="0"/>
              <w:keepLines w:val="0"/>
              <w:pageBreakBefore w:val="0"/>
              <w:kinsoku/>
              <w:wordWrap w:val="0"/>
              <w:overflowPunct/>
              <w:topLinePunct w:val="0"/>
              <w:bidi w:val="0"/>
              <w:spacing w:line="295" w:lineRule="auto"/>
              <w:ind w:right="84" w:rightChars="40"/>
              <w:rPr>
                <w:rFonts w:hint="eastAsia" w:ascii="宋体" w:hAnsi="宋体" w:eastAsia="宋体" w:cs="宋体"/>
                <w:color w:val="auto"/>
                <w:spacing w:val="0"/>
                <w:sz w:val="24"/>
                <w:szCs w:val="24"/>
                <w:highlight w:val="none"/>
              </w:rPr>
            </w:pPr>
          </w:p>
          <w:p w14:paraId="09D2C904">
            <w:pPr>
              <w:keepNext w:val="0"/>
              <w:keepLines w:val="0"/>
              <w:pageBreakBefore w:val="0"/>
              <w:kinsoku/>
              <w:wordWrap w:val="0"/>
              <w:overflowPunct/>
              <w:topLinePunct w:val="0"/>
              <w:bidi w:val="0"/>
              <w:spacing w:before="78" w:line="221" w:lineRule="auto"/>
              <w:ind w:left="119"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投标单位</w:t>
            </w:r>
          </w:p>
        </w:tc>
        <w:tc>
          <w:tcPr>
            <w:tcW w:w="2428" w:type="dxa"/>
            <w:vAlign w:val="top"/>
          </w:tcPr>
          <w:p w14:paraId="0E9BBCA9">
            <w:pPr>
              <w:pStyle w:val="27"/>
              <w:keepNext w:val="0"/>
              <w:keepLines w:val="0"/>
              <w:pageBreakBefore w:val="0"/>
              <w:kinsoku/>
              <w:wordWrap w:val="0"/>
              <w:overflowPunct/>
              <w:topLinePunct w:val="0"/>
              <w:bidi w:val="0"/>
              <w:spacing w:line="295" w:lineRule="auto"/>
              <w:ind w:right="84" w:rightChars="40"/>
              <w:rPr>
                <w:rFonts w:hint="eastAsia" w:ascii="宋体" w:hAnsi="宋体" w:eastAsia="宋体" w:cs="宋体"/>
                <w:color w:val="auto"/>
                <w:spacing w:val="0"/>
                <w:sz w:val="24"/>
                <w:szCs w:val="24"/>
                <w:highlight w:val="none"/>
              </w:rPr>
            </w:pPr>
          </w:p>
          <w:p w14:paraId="562A97E9">
            <w:pPr>
              <w:keepNext w:val="0"/>
              <w:keepLines w:val="0"/>
              <w:pageBreakBefore w:val="0"/>
              <w:kinsoku/>
              <w:wordWrap w:val="0"/>
              <w:overflowPunct/>
              <w:topLinePunct w:val="0"/>
              <w:bidi w:val="0"/>
              <w:spacing w:before="78" w:line="222" w:lineRule="auto"/>
              <w:ind w:left="30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备注</w:t>
            </w:r>
          </w:p>
        </w:tc>
      </w:tr>
      <w:tr w14:paraId="09383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2FC6A74">
            <w:pPr>
              <w:keepNext w:val="0"/>
              <w:keepLines w:val="0"/>
              <w:pageBreakBefore w:val="0"/>
              <w:kinsoku/>
              <w:wordWrap w:val="0"/>
              <w:overflowPunct/>
              <w:topLinePunct w:val="0"/>
              <w:bidi w:val="0"/>
              <w:spacing w:before="129" w:line="221" w:lineRule="auto"/>
              <w:ind w:left="12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一、深基坑工程</w:t>
            </w:r>
          </w:p>
        </w:tc>
        <w:tc>
          <w:tcPr>
            <w:tcW w:w="1294" w:type="dxa"/>
            <w:vAlign w:val="top"/>
          </w:tcPr>
          <w:p w14:paraId="0FD5C757">
            <w:pPr>
              <w:keepNext w:val="0"/>
              <w:keepLines w:val="0"/>
              <w:pageBreakBefore w:val="0"/>
              <w:kinsoku/>
              <w:wordWrap w:val="0"/>
              <w:overflowPunct/>
              <w:topLinePunct w:val="0"/>
              <w:bidi w:val="0"/>
              <w:spacing w:before="129" w:line="223" w:lineRule="auto"/>
              <w:ind w:left="3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15D0C9B">
            <w:pPr>
              <w:keepNext w:val="0"/>
              <w:keepLines w:val="0"/>
              <w:pageBreakBefore w:val="0"/>
              <w:kinsoku/>
              <w:wordWrap w:val="0"/>
              <w:overflowPunct/>
              <w:topLinePunct w:val="0"/>
              <w:bidi w:val="0"/>
              <w:spacing w:before="129"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CBB58B3">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73503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045EE0E">
            <w:pPr>
              <w:keepNext w:val="0"/>
              <w:keepLines w:val="0"/>
              <w:pageBreakBefore w:val="0"/>
              <w:kinsoku/>
              <w:wordWrap w:val="0"/>
              <w:overflowPunct/>
              <w:topLinePunct w:val="0"/>
              <w:bidi w:val="0"/>
              <w:spacing w:before="131" w:line="327" w:lineRule="auto"/>
              <w:ind w:left="11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开挖深度超过 5m（含 5m）的基坑（槽）的土方 开挖、支护、降水工程。</w:t>
            </w:r>
          </w:p>
        </w:tc>
        <w:tc>
          <w:tcPr>
            <w:tcW w:w="1294" w:type="dxa"/>
            <w:vAlign w:val="top"/>
          </w:tcPr>
          <w:p w14:paraId="507AE1DC">
            <w:pPr>
              <w:pStyle w:val="27"/>
              <w:keepNext w:val="0"/>
              <w:keepLines w:val="0"/>
              <w:pageBreakBefore w:val="0"/>
              <w:kinsoku/>
              <w:wordWrap w:val="0"/>
              <w:overflowPunct/>
              <w:topLinePunct w:val="0"/>
              <w:bidi w:val="0"/>
              <w:spacing w:line="295" w:lineRule="auto"/>
              <w:ind w:right="84" w:rightChars="40"/>
              <w:rPr>
                <w:rFonts w:hint="eastAsia" w:ascii="宋体" w:hAnsi="宋体" w:eastAsia="宋体" w:cs="宋体"/>
                <w:color w:val="auto"/>
                <w:spacing w:val="0"/>
                <w:sz w:val="24"/>
                <w:szCs w:val="24"/>
                <w:highlight w:val="none"/>
              </w:rPr>
            </w:pPr>
          </w:p>
          <w:p w14:paraId="3F469623">
            <w:pPr>
              <w:keepNext w:val="0"/>
              <w:keepLines w:val="0"/>
              <w:pageBreakBefore w:val="0"/>
              <w:kinsoku/>
              <w:wordWrap w:val="0"/>
              <w:overflowPunct/>
              <w:topLinePunct w:val="0"/>
              <w:bidi w:val="0"/>
              <w:spacing w:before="78" w:line="223" w:lineRule="auto"/>
              <w:ind w:left="3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21BD327">
            <w:pPr>
              <w:pStyle w:val="27"/>
              <w:keepNext w:val="0"/>
              <w:keepLines w:val="0"/>
              <w:pageBreakBefore w:val="0"/>
              <w:kinsoku/>
              <w:wordWrap w:val="0"/>
              <w:overflowPunct/>
              <w:topLinePunct w:val="0"/>
              <w:bidi w:val="0"/>
              <w:spacing w:line="295" w:lineRule="auto"/>
              <w:ind w:right="84" w:rightChars="40"/>
              <w:rPr>
                <w:rFonts w:hint="eastAsia" w:ascii="宋体" w:hAnsi="宋体" w:eastAsia="宋体" w:cs="宋体"/>
                <w:color w:val="auto"/>
                <w:spacing w:val="0"/>
                <w:sz w:val="24"/>
                <w:szCs w:val="24"/>
                <w:highlight w:val="none"/>
              </w:rPr>
            </w:pPr>
          </w:p>
          <w:p w14:paraId="51AD1680">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FCDD85F">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328A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627481A">
            <w:pPr>
              <w:keepNext w:val="0"/>
              <w:keepLines w:val="0"/>
              <w:pageBreakBefore w:val="0"/>
              <w:kinsoku/>
              <w:wordWrap w:val="0"/>
              <w:overflowPunct/>
              <w:topLinePunct w:val="0"/>
              <w:bidi w:val="0"/>
              <w:spacing w:before="130" w:line="219" w:lineRule="auto"/>
              <w:ind w:left="12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二、模板工程及支撑体系</w:t>
            </w:r>
          </w:p>
        </w:tc>
        <w:tc>
          <w:tcPr>
            <w:tcW w:w="1294" w:type="dxa"/>
            <w:vAlign w:val="top"/>
          </w:tcPr>
          <w:p w14:paraId="4297BDAC">
            <w:pPr>
              <w:keepNext w:val="0"/>
              <w:keepLines w:val="0"/>
              <w:pageBreakBefore w:val="0"/>
              <w:kinsoku/>
              <w:wordWrap w:val="0"/>
              <w:overflowPunct/>
              <w:topLinePunct w:val="0"/>
              <w:bidi w:val="0"/>
              <w:spacing w:before="129" w:line="223" w:lineRule="auto"/>
              <w:ind w:left="3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E5FCAEB">
            <w:pPr>
              <w:keepNext w:val="0"/>
              <w:keepLines w:val="0"/>
              <w:pageBreakBefore w:val="0"/>
              <w:kinsoku/>
              <w:wordWrap w:val="0"/>
              <w:overflowPunct/>
              <w:topLinePunct w:val="0"/>
              <w:bidi w:val="0"/>
              <w:spacing w:before="129"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3E9C002">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41D0B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300C9C">
            <w:pPr>
              <w:keepNext w:val="0"/>
              <w:keepLines w:val="0"/>
              <w:pageBreakBefore w:val="0"/>
              <w:kinsoku/>
              <w:wordWrap w:val="0"/>
              <w:overflowPunct/>
              <w:topLinePunct w:val="0"/>
              <w:bidi w:val="0"/>
              <w:spacing w:before="130" w:line="327" w:lineRule="auto"/>
              <w:ind w:left="123" w:right="84" w:rightChars="40" w:firstLine="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（一）各类工具式模板工程：包括滑模、爬模、 飞模、隧道模等工程。</w:t>
            </w:r>
          </w:p>
        </w:tc>
        <w:tc>
          <w:tcPr>
            <w:tcW w:w="1294" w:type="dxa"/>
            <w:vAlign w:val="top"/>
          </w:tcPr>
          <w:p w14:paraId="01D661E1">
            <w:pPr>
              <w:pStyle w:val="27"/>
              <w:keepNext w:val="0"/>
              <w:keepLines w:val="0"/>
              <w:pageBreakBefore w:val="0"/>
              <w:kinsoku/>
              <w:wordWrap w:val="0"/>
              <w:overflowPunct/>
              <w:topLinePunct w:val="0"/>
              <w:bidi w:val="0"/>
              <w:spacing w:line="294" w:lineRule="auto"/>
              <w:ind w:right="84" w:rightChars="40"/>
              <w:rPr>
                <w:rFonts w:hint="eastAsia" w:ascii="宋体" w:hAnsi="宋体" w:eastAsia="宋体" w:cs="宋体"/>
                <w:color w:val="auto"/>
                <w:spacing w:val="0"/>
                <w:sz w:val="24"/>
                <w:szCs w:val="24"/>
                <w:highlight w:val="none"/>
              </w:rPr>
            </w:pPr>
          </w:p>
          <w:p w14:paraId="1DDA3CCD">
            <w:pPr>
              <w:keepNext w:val="0"/>
              <w:keepLines w:val="0"/>
              <w:pageBreakBefore w:val="0"/>
              <w:kinsoku/>
              <w:wordWrap w:val="0"/>
              <w:overflowPunct/>
              <w:topLinePunct w:val="0"/>
              <w:bidi w:val="0"/>
              <w:spacing w:before="78" w:line="223" w:lineRule="auto"/>
              <w:ind w:left="30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4A02DEB">
            <w:pPr>
              <w:pStyle w:val="27"/>
              <w:keepNext w:val="0"/>
              <w:keepLines w:val="0"/>
              <w:pageBreakBefore w:val="0"/>
              <w:kinsoku/>
              <w:wordWrap w:val="0"/>
              <w:overflowPunct/>
              <w:topLinePunct w:val="0"/>
              <w:bidi w:val="0"/>
              <w:spacing w:line="294" w:lineRule="auto"/>
              <w:ind w:right="84" w:rightChars="40"/>
              <w:rPr>
                <w:rFonts w:hint="eastAsia" w:ascii="宋体" w:hAnsi="宋体" w:eastAsia="宋体" w:cs="宋体"/>
                <w:color w:val="auto"/>
                <w:spacing w:val="0"/>
                <w:sz w:val="24"/>
                <w:szCs w:val="24"/>
                <w:highlight w:val="none"/>
              </w:rPr>
            </w:pPr>
          </w:p>
          <w:p w14:paraId="514A516E">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E381ED2">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5FC89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92E50BC">
            <w:pPr>
              <w:keepNext w:val="0"/>
              <w:keepLines w:val="0"/>
              <w:pageBreakBefore w:val="0"/>
              <w:kinsoku/>
              <w:wordWrap w:val="0"/>
              <w:overflowPunct/>
              <w:topLinePunct w:val="0"/>
              <w:bidi w:val="0"/>
              <w:spacing w:before="132" w:line="353" w:lineRule="auto"/>
              <w:ind w:left="116" w:right="84" w:rightChars="40" w:firstLine="11"/>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（二）混凝土模板支撑工程：搭设高度8m 及以 上，或搭设跨度 18m 及以上，或施工总荷载（设计值）15kN/m2 及以上，或集中线荷载（设计值） 20kN/m 及以上。</w:t>
            </w:r>
          </w:p>
        </w:tc>
        <w:tc>
          <w:tcPr>
            <w:tcW w:w="1294" w:type="dxa"/>
            <w:vAlign w:val="top"/>
          </w:tcPr>
          <w:p w14:paraId="6C626011">
            <w:pPr>
              <w:pStyle w:val="27"/>
              <w:keepNext w:val="0"/>
              <w:keepLines w:val="0"/>
              <w:pageBreakBefore w:val="0"/>
              <w:kinsoku/>
              <w:wordWrap w:val="0"/>
              <w:overflowPunct/>
              <w:topLinePunct w:val="0"/>
              <w:bidi w:val="0"/>
              <w:spacing w:line="262" w:lineRule="auto"/>
              <w:ind w:right="84" w:rightChars="40"/>
              <w:rPr>
                <w:rFonts w:hint="eastAsia" w:ascii="宋体" w:hAnsi="宋体" w:eastAsia="宋体" w:cs="宋体"/>
                <w:color w:val="auto"/>
                <w:spacing w:val="0"/>
                <w:sz w:val="24"/>
                <w:szCs w:val="24"/>
                <w:highlight w:val="none"/>
              </w:rPr>
            </w:pPr>
          </w:p>
          <w:p w14:paraId="63B16BE2">
            <w:pPr>
              <w:pStyle w:val="27"/>
              <w:keepNext w:val="0"/>
              <w:keepLines w:val="0"/>
              <w:pageBreakBefore w:val="0"/>
              <w:kinsoku/>
              <w:wordWrap w:val="0"/>
              <w:overflowPunct/>
              <w:topLinePunct w:val="0"/>
              <w:bidi w:val="0"/>
              <w:spacing w:line="263" w:lineRule="auto"/>
              <w:ind w:right="84" w:rightChars="40"/>
              <w:rPr>
                <w:rFonts w:hint="eastAsia" w:ascii="宋体" w:hAnsi="宋体" w:eastAsia="宋体" w:cs="宋体"/>
                <w:color w:val="auto"/>
                <w:spacing w:val="0"/>
                <w:sz w:val="24"/>
                <w:szCs w:val="24"/>
                <w:highlight w:val="none"/>
              </w:rPr>
            </w:pPr>
          </w:p>
          <w:p w14:paraId="2DC2A742">
            <w:pPr>
              <w:pStyle w:val="27"/>
              <w:keepNext w:val="0"/>
              <w:keepLines w:val="0"/>
              <w:pageBreakBefore w:val="0"/>
              <w:kinsoku/>
              <w:wordWrap w:val="0"/>
              <w:overflowPunct/>
              <w:topLinePunct w:val="0"/>
              <w:bidi w:val="0"/>
              <w:spacing w:line="263" w:lineRule="auto"/>
              <w:ind w:right="84" w:rightChars="40"/>
              <w:rPr>
                <w:rFonts w:hint="eastAsia" w:ascii="宋体" w:hAnsi="宋体" w:eastAsia="宋体" w:cs="宋体"/>
                <w:color w:val="auto"/>
                <w:spacing w:val="0"/>
                <w:sz w:val="24"/>
                <w:szCs w:val="24"/>
                <w:highlight w:val="none"/>
              </w:rPr>
            </w:pPr>
          </w:p>
          <w:p w14:paraId="2401A348">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D4918F3">
            <w:pPr>
              <w:pStyle w:val="27"/>
              <w:keepNext w:val="0"/>
              <w:keepLines w:val="0"/>
              <w:pageBreakBefore w:val="0"/>
              <w:kinsoku/>
              <w:wordWrap w:val="0"/>
              <w:overflowPunct/>
              <w:topLinePunct w:val="0"/>
              <w:bidi w:val="0"/>
              <w:spacing w:line="262" w:lineRule="auto"/>
              <w:ind w:right="84" w:rightChars="40"/>
              <w:rPr>
                <w:rFonts w:hint="eastAsia" w:ascii="宋体" w:hAnsi="宋体" w:eastAsia="宋体" w:cs="宋体"/>
                <w:color w:val="auto"/>
                <w:spacing w:val="0"/>
                <w:sz w:val="24"/>
                <w:szCs w:val="24"/>
                <w:highlight w:val="none"/>
              </w:rPr>
            </w:pPr>
          </w:p>
          <w:p w14:paraId="22A75233">
            <w:pPr>
              <w:pStyle w:val="27"/>
              <w:keepNext w:val="0"/>
              <w:keepLines w:val="0"/>
              <w:pageBreakBefore w:val="0"/>
              <w:kinsoku/>
              <w:wordWrap w:val="0"/>
              <w:overflowPunct/>
              <w:topLinePunct w:val="0"/>
              <w:bidi w:val="0"/>
              <w:spacing w:line="263" w:lineRule="auto"/>
              <w:ind w:right="84" w:rightChars="40"/>
              <w:rPr>
                <w:rFonts w:hint="eastAsia" w:ascii="宋体" w:hAnsi="宋体" w:eastAsia="宋体" w:cs="宋体"/>
                <w:color w:val="auto"/>
                <w:spacing w:val="0"/>
                <w:sz w:val="24"/>
                <w:szCs w:val="24"/>
                <w:highlight w:val="none"/>
              </w:rPr>
            </w:pPr>
          </w:p>
          <w:p w14:paraId="6835FC2C">
            <w:pPr>
              <w:pStyle w:val="27"/>
              <w:keepNext w:val="0"/>
              <w:keepLines w:val="0"/>
              <w:pageBreakBefore w:val="0"/>
              <w:kinsoku/>
              <w:wordWrap w:val="0"/>
              <w:overflowPunct/>
              <w:topLinePunct w:val="0"/>
              <w:bidi w:val="0"/>
              <w:spacing w:line="263" w:lineRule="auto"/>
              <w:ind w:right="84" w:rightChars="40"/>
              <w:rPr>
                <w:rFonts w:hint="eastAsia" w:ascii="宋体" w:hAnsi="宋体" w:eastAsia="宋体" w:cs="宋体"/>
                <w:color w:val="auto"/>
                <w:spacing w:val="0"/>
                <w:sz w:val="24"/>
                <w:szCs w:val="24"/>
                <w:highlight w:val="none"/>
              </w:rPr>
            </w:pPr>
          </w:p>
          <w:p w14:paraId="065FF7AF">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B509C14">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218BD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4864" w:type="dxa"/>
            <w:gridSpan w:val="2"/>
            <w:vAlign w:val="top"/>
          </w:tcPr>
          <w:p w14:paraId="49E32F9C">
            <w:pPr>
              <w:keepNext w:val="0"/>
              <w:keepLines w:val="0"/>
              <w:pageBreakBefore w:val="0"/>
              <w:kinsoku/>
              <w:wordWrap w:val="0"/>
              <w:overflowPunct/>
              <w:topLinePunct w:val="0"/>
              <w:bidi w:val="0"/>
              <w:spacing w:before="131" w:line="220"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（三）承重支撑体系：用于钢结构安装等满堂</w:t>
            </w:r>
          </w:p>
          <w:p w14:paraId="78F9700A">
            <w:pPr>
              <w:keepNext w:val="0"/>
              <w:keepLines w:val="0"/>
              <w:pageBreakBefore w:val="0"/>
              <w:kinsoku/>
              <w:wordWrap w:val="0"/>
              <w:overflowPunct/>
              <w:topLinePunct w:val="0"/>
              <w:bidi w:val="0"/>
              <w:spacing w:before="131" w:line="220" w:lineRule="auto"/>
              <w:ind w:left="11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支撑体系，承受单点集中荷载 7kN 及以上。</w:t>
            </w:r>
          </w:p>
        </w:tc>
        <w:tc>
          <w:tcPr>
            <w:tcW w:w="1294" w:type="dxa"/>
            <w:vAlign w:val="top"/>
          </w:tcPr>
          <w:p w14:paraId="553E2DF0">
            <w:pPr>
              <w:keepNext w:val="0"/>
              <w:keepLines w:val="0"/>
              <w:pageBreakBefore w:val="0"/>
              <w:kinsoku/>
              <w:wordWrap w:val="0"/>
              <w:overflowPunct/>
              <w:topLinePunct w:val="0"/>
              <w:bidi w:val="0"/>
              <w:spacing w:before="131"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C72B68A">
            <w:pPr>
              <w:keepNext w:val="0"/>
              <w:keepLines w:val="0"/>
              <w:pageBreakBefore w:val="0"/>
              <w:kinsoku/>
              <w:wordWrap w:val="0"/>
              <w:overflowPunct/>
              <w:topLinePunct w:val="0"/>
              <w:bidi w:val="0"/>
              <w:spacing w:before="131"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BCEDFE2">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12615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43B4A7F">
            <w:pPr>
              <w:keepNext w:val="0"/>
              <w:keepLines w:val="0"/>
              <w:pageBreakBefore w:val="0"/>
              <w:kinsoku/>
              <w:wordWrap w:val="0"/>
              <w:overflowPunct/>
              <w:topLinePunct w:val="0"/>
              <w:bidi w:val="0"/>
              <w:spacing w:before="128" w:line="219" w:lineRule="auto"/>
              <w:ind w:left="356"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三、起重吊装及起重机械安装拆卸工程</w:t>
            </w:r>
          </w:p>
        </w:tc>
        <w:tc>
          <w:tcPr>
            <w:tcW w:w="1294" w:type="dxa"/>
            <w:vAlign w:val="top"/>
          </w:tcPr>
          <w:p w14:paraId="7C46839F">
            <w:pPr>
              <w:keepNext w:val="0"/>
              <w:keepLines w:val="0"/>
              <w:pageBreakBefore w:val="0"/>
              <w:kinsoku/>
              <w:wordWrap w:val="0"/>
              <w:overflowPunct/>
              <w:topLinePunct w:val="0"/>
              <w:bidi w:val="0"/>
              <w:spacing w:before="127" w:line="223" w:lineRule="auto"/>
              <w:ind w:left="42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E954BA4">
            <w:pPr>
              <w:keepNext w:val="0"/>
              <w:keepLines w:val="0"/>
              <w:pageBreakBefore w:val="0"/>
              <w:kinsoku/>
              <w:wordWrap w:val="0"/>
              <w:overflowPunct/>
              <w:topLinePunct w:val="0"/>
              <w:bidi w:val="0"/>
              <w:spacing w:before="127"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BEF426E">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48715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8715B81">
            <w:pPr>
              <w:keepNext w:val="0"/>
              <w:keepLines w:val="0"/>
              <w:pageBreakBefore w:val="0"/>
              <w:kinsoku/>
              <w:wordWrap w:val="0"/>
              <w:overflowPunct/>
              <w:topLinePunct w:val="0"/>
              <w:bidi w:val="0"/>
              <w:spacing w:before="129" w:line="328" w:lineRule="auto"/>
              <w:ind w:left="144" w:right="84" w:rightChars="40" w:hanging="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（一）采用非常规起重设备、方法，且单件起 吊重量在 100kN 及以上的起重吊装工程。</w:t>
            </w:r>
          </w:p>
        </w:tc>
        <w:tc>
          <w:tcPr>
            <w:tcW w:w="1294" w:type="dxa"/>
            <w:vAlign w:val="top"/>
          </w:tcPr>
          <w:p w14:paraId="62176862">
            <w:pPr>
              <w:pStyle w:val="27"/>
              <w:keepNext w:val="0"/>
              <w:keepLines w:val="0"/>
              <w:pageBreakBefore w:val="0"/>
              <w:kinsoku/>
              <w:wordWrap w:val="0"/>
              <w:overflowPunct/>
              <w:topLinePunct w:val="0"/>
              <w:bidi w:val="0"/>
              <w:spacing w:line="295" w:lineRule="auto"/>
              <w:ind w:right="84" w:rightChars="40"/>
              <w:rPr>
                <w:rFonts w:hint="eastAsia" w:ascii="宋体" w:hAnsi="宋体" w:eastAsia="宋体" w:cs="宋体"/>
                <w:color w:val="auto"/>
                <w:spacing w:val="0"/>
                <w:sz w:val="24"/>
                <w:szCs w:val="24"/>
                <w:highlight w:val="none"/>
              </w:rPr>
            </w:pPr>
          </w:p>
          <w:p w14:paraId="48EFCFE9">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23FF28E">
            <w:pPr>
              <w:pStyle w:val="27"/>
              <w:keepNext w:val="0"/>
              <w:keepLines w:val="0"/>
              <w:pageBreakBefore w:val="0"/>
              <w:kinsoku/>
              <w:wordWrap w:val="0"/>
              <w:overflowPunct/>
              <w:topLinePunct w:val="0"/>
              <w:bidi w:val="0"/>
              <w:spacing w:line="295" w:lineRule="auto"/>
              <w:ind w:right="84" w:rightChars="40"/>
              <w:rPr>
                <w:rFonts w:hint="eastAsia" w:ascii="宋体" w:hAnsi="宋体" w:eastAsia="宋体" w:cs="宋体"/>
                <w:color w:val="auto"/>
                <w:spacing w:val="0"/>
                <w:sz w:val="24"/>
                <w:szCs w:val="24"/>
                <w:highlight w:val="none"/>
              </w:rPr>
            </w:pPr>
          </w:p>
          <w:p w14:paraId="3385602F">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78E792E">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3819C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32EB0C9">
            <w:pPr>
              <w:keepNext w:val="0"/>
              <w:keepLines w:val="0"/>
              <w:pageBreakBefore w:val="0"/>
              <w:kinsoku/>
              <w:wordWrap w:val="0"/>
              <w:overflowPunct/>
              <w:topLinePunct w:val="0"/>
              <w:bidi w:val="0"/>
              <w:spacing w:before="129" w:line="345" w:lineRule="auto"/>
              <w:ind w:left="115" w:right="84" w:rightChars="40" w:firstLine="1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（二）起重量 300kN 及以上，或搭设总高度 200m 及以上，或搭设基础标高在 200m 及以上的起重 机械安装和拆卸工程。</w:t>
            </w:r>
          </w:p>
        </w:tc>
        <w:tc>
          <w:tcPr>
            <w:tcW w:w="1294" w:type="dxa"/>
            <w:vAlign w:val="top"/>
          </w:tcPr>
          <w:p w14:paraId="5762D0E9">
            <w:pPr>
              <w:pStyle w:val="27"/>
              <w:keepNext w:val="0"/>
              <w:keepLines w:val="0"/>
              <w:pageBreakBefore w:val="0"/>
              <w:kinsoku/>
              <w:wordWrap w:val="0"/>
              <w:overflowPunct/>
              <w:topLinePunct w:val="0"/>
              <w:bidi w:val="0"/>
              <w:spacing w:line="270" w:lineRule="auto"/>
              <w:ind w:right="84" w:rightChars="40"/>
              <w:rPr>
                <w:rFonts w:hint="eastAsia" w:ascii="宋体" w:hAnsi="宋体" w:eastAsia="宋体" w:cs="宋体"/>
                <w:color w:val="auto"/>
                <w:spacing w:val="0"/>
                <w:sz w:val="24"/>
                <w:szCs w:val="24"/>
                <w:highlight w:val="none"/>
              </w:rPr>
            </w:pPr>
          </w:p>
          <w:p w14:paraId="640C634B">
            <w:pPr>
              <w:pStyle w:val="27"/>
              <w:keepNext w:val="0"/>
              <w:keepLines w:val="0"/>
              <w:pageBreakBefore w:val="0"/>
              <w:kinsoku/>
              <w:wordWrap w:val="0"/>
              <w:overflowPunct/>
              <w:topLinePunct w:val="0"/>
              <w:bidi w:val="0"/>
              <w:spacing w:line="270" w:lineRule="auto"/>
              <w:ind w:right="84" w:rightChars="40"/>
              <w:rPr>
                <w:rFonts w:hint="eastAsia" w:ascii="宋体" w:hAnsi="宋体" w:eastAsia="宋体" w:cs="宋体"/>
                <w:color w:val="auto"/>
                <w:spacing w:val="0"/>
                <w:sz w:val="24"/>
                <w:szCs w:val="24"/>
                <w:highlight w:val="none"/>
              </w:rPr>
            </w:pPr>
          </w:p>
          <w:p w14:paraId="685B83EE">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29E055E">
            <w:pPr>
              <w:pStyle w:val="27"/>
              <w:keepNext w:val="0"/>
              <w:keepLines w:val="0"/>
              <w:pageBreakBefore w:val="0"/>
              <w:kinsoku/>
              <w:wordWrap w:val="0"/>
              <w:overflowPunct/>
              <w:topLinePunct w:val="0"/>
              <w:bidi w:val="0"/>
              <w:spacing w:line="270" w:lineRule="auto"/>
              <w:ind w:right="84" w:rightChars="40"/>
              <w:rPr>
                <w:rFonts w:hint="eastAsia" w:ascii="宋体" w:hAnsi="宋体" w:eastAsia="宋体" w:cs="宋体"/>
                <w:color w:val="auto"/>
                <w:spacing w:val="0"/>
                <w:sz w:val="24"/>
                <w:szCs w:val="24"/>
                <w:highlight w:val="none"/>
              </w:rPr>
            </w:pPr>
          </w:p>
          <w:p w14:paraId="292B70A0">
            <w:pPr>
              <w:pStyle w:val="27"/>
              <w:keepNext w:val="0"/>
              <w:keepLines w:val="0"/>
              <w:pageBreakBefore w:val="0"/>
              <w:kinsoku/>
              <w:wordWrap w:val="0"/>
              <w:overflowPunct/>
              <w:topLinePunct w:val="0"/>
              <w:bidi w:val="0"/>
              <w:spacing w:line="270" w:lineRule="auto"/>
              <w:ind w:right="84" w:rightChars="40"/>
              <w:rPr>
                <w:rFonts w:hint="eastAsia" w:ascii="宋体" w:hAnsi="宋体" w:eastAsia="宋体" w:cs="宋体"/>
                <w:color w:val="auto"/>
                <w:spacing w:val="0"/>
                <w:sz w:val="24"/>
                <w:szCs w:val="24"/>
                <w:highlight w:val="none"/>
              </w:rPr>
            </w:pPr>
          </w:p>
          <w:p w14:paraId="06C60C1D">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7ACFA6F">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11C3B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F30D083">
            <w:pPr>
              <w:keepNext w:val="0"/>
              <w:keepLines w:val="0"/>
              <w:pageBreakBefore w:val="0"/>
              <w:kinsoku/>
              <w:wordWrap w:val="0"/>
              <w:overflowPunct/>
              <w:topLinePunct w:val="0"/>
              <w:bidi w:val="0"/>
              <w:spacing w:before="128" w:line="219" w:lineRule="auto"/>
              <w:ind w:left="138"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四、脚手架工程</w:t>
            </w:r>
          </w:p>
        </w:tc>
        <w:tc>
          <w:tcPr>
            <w:tcW w:w="1294" w:type="dxa"/>
            <w:vAlign w:val="top"/>
          </w:tcPr>
          <w:p w14:paraId="2881CCAF">
            <w:pPr>
              <w:keepNext w:val="0"/>
              <w:keepLines w:val="0"/>
              <w:pageBreakBefore w:val="0"/>
              <w:kinsoku/>
              <w:wordWrap w:val="0"/>
              <w:overflowPunct/>
              <w:topLinePunct w:val="0"/>
              <w:bidi w:val="0"/>
              <w:spacing w:before="127"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B9B1B91">
            <w:pPr>
              <w:keepNext w:val="0"/>
              <w:keepLines w:val="0"/>
              <w:pageBreakBefore w:val="0"/>
              <w:kinsoku/>
              <w:wordWrap w:val="0"/>
              <w:overflowPunct/>
              <w:topLinePunct w:val="0"/>
              <w:bidi w:val="0"/>
              <w:spacing w:before="127"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0DC304E">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B14B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8AA96E6">
            <w:pPr>
              <w:keepNext w:val="0"/>
              <w:keepLines w:val="0"/>
              <w:pageBreakBefore w:val="0"/>
              <w:kinsoku/>
              <w:wordWrap w:val="0"/>
              <w:overflowPunct/>
              <w:topLinePunct w:val="0"/>
              <w:bidi w:val="0"/>
              <w:spacing w:before="128" w:line="328" w:lineRule="auto"/>
              <w:ind w:left="117" w:right="84" w:rightChars="40"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（一）搭设高度 50m 及以上的落地式钢管脚手 架工程。</w:t>
            </w:r>
          </w:p>
        </w:tc>
        <w:tc>
          <w:tcPr>
            <w:tcW w:w="1294" w:type="dxa"/>
            <w:vAlign w:val="top"/>
          </w:tcPr>
          <w:p w14:paraId="38CA0E74">
            <w:pPr>
              <w:pStyle w:val="27"/>
              <w:keepNext w:val="0"/>
              <w:keepLines w:val="0"/>
              <w:pageBreakBefore w:val="0"/>
              <w:kinsoku/>
              <w:wordWrap w:val="0"/>
              <w:overflowPunct/>
              <w:topLinePunct w:val="0"/>
              <w:bidi w:val="0"/>
              <w:spacing w:line="296" w:lineRule="auto"/>
              <w:ind w:right="84" w:rightChars="40"/>
              <w:rPr>
                <w:rFonts w:hint="eastAsia" w:ascii="宋体" w:hAnsi="宋体" w:eastAsia="宋体" w:cs="宋体"/>
                <w:color w:val="auto"/>
                <w:spacing w:val="0"/>
                <w:sz w:val="24"/>
                <w:szCs w:val="24"/>
                <w:highlight w:val="none"/>
              </w:rPr>
            </w:pPr>
          </w:p>
          <w:p w14:paraId="14F42D08">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486B799">
            <w:pPr>
              <w:pStyle w:val="27"/>
              <w:keepNext w:val="0"/>
              <w:keepLines w:val="0"/>
              <w:pageBreakBefore w:val="0"/>
              <w:kinsoku/>
              <w:wordWrap w:val="0"/>
              <w:overflowPunct/>
              <w:topLinePunct w:val="0"/>
              <w:bidi w:val="0"/>
              <w:spacing w:line="296" w:lineRule="auto"/>
              <w:ind w:right="84" w:rightChars="40"/>
              <w:rPr>
                <w:rFonts w:hint="eastAsia" w:ascii="宋体" w:hAnsi="宋体" w:eastAsia="宋体" w:cs="宋体"/>
                <w:color w:val="auto"/>
                <w:spacing w:val="0"/>
                <w:sz w:val="24"/>
                <w:szCs w:val="24"/>
                <w:highlight w:val="none"/>
              </w:rPr>
            </w:pPr>
          </w:p>
          <w:p w14:paraId="69F43BD7">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DCFD441">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5FA03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DA8149A">
            <w:pPr>
              <w:keepNext w:val="0"/>
              <w:keepLines w:val="0"/>
              <w:pageBreakBefore w:val="0"/>
              <w:kinsoku/>
              <w:wordWrap w:val="0"/>
              <w:overflowPunct/>
              <w:topLinePunct w:val="0"/>
              <w:bidi w:val="0"/>
              <w:spacing w:before="131" w:line="327" w:lineRule="auto"/>
              <w:ind w:left="116" w:right="84" w:rightChars="40" w:firstLine="1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（二）提升高度在 </w:t>
            </w:r>
            <w:r>
              <w:rPr>
                <w:rFonts w:hint="eastAsia" w:ascii="宋体" w:hAnsi="宋体" w:eastAsia="宋体" w:cs="宋体"/>
                <w:color w:val="auto"/>
                <w:spacing w:val="0"/>
                <w:sz w:val="24"/>
                <w:szCs w:val="24"/>
                <w:highlight w:val="none"/>
                <w:lang w:eastAsia="zh-CN"/>
              </w:rPr>
              <w:t>450</w:t>
            </w:r>
            <w:r>
              <w:rPr>
                <w:rFonts w:hint="eastAsia" w:ascii="宋体" w:hAnsi="宋体" w:eastAsia="宋体" w:cs="宋体"/>
                <w:color w:val="auto"/>
                <w:spacing w:val="0"/>
                <w:sz w:val="24"/>
                <w:szCs w:val="24"/>
                <w:highlight w:val="none"/>
              </w:rPr>
              <w:t>m 及以上的附着式升降脚 手架工程或附着式升降操作平台工程。</w:t>
            </w:r>
          </w:p>
        </w:tc>
        <w:tc>
          <w:tcPr>
            <w:tcW w:w="1294" w:type="dxa"/>
            <w:vAlign w:val="top"/>
          </w:tcPr>
          <w:p w14:paraId="6C44A919">
            <w:pPr>
              <w:pStyle w:val="27"/>
              <w:keepNext w:val="0"/>
              <w:keepLines w:val="0"/>
              <w:pageBreakBefore w:val="0"/>
              <w:kinsoku/>
              <w:wordWrap w:val="0"/>
              <w:overflowPunct/>
              <w:topLinePunct w:val="0"/>
              <w:bidi w:val="0"/>
              <w:spacing w:line="296" w:lineRule="auto"/>
              <w:ind w:right="84" w:rightChars="40"/>
              <w:rPr>
                <w:rFonts w:hint="eastAsia" w:ascii="宋体" w:hAnsi="宋体" w:eastAsia="宋体" w:cs="宋体"/>
                <w:color w:val="auto"/>
                <w:spacing w:val="0"/>
                <w:sz w:val="24"/>
                <w:szCs w:val="24"/>
                <w:highlight w:val="none"/>
              </w:rPr>
            </w:pPr>
          </w:p>
          <w:p w14:paraId="65C3F305">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14626CA">
            <w:pPr>
              <w:pStyle w:val="27"/>
              <w:keepNext w:val="0"/>
              <w:keepLines w:val="0"/>
              <w:pageBreakBefore w:val="0"/>
              <w:kinsoku/>
              <w:wordWrap w:val="0"/>
              <w:overflowPunct/>
              <w:topLinePunct w:val="0"/>
              <w:bidi w:val="0"/>
              <w:spacing w:line="296" w:lineRule="auto"/>
              <w:ind w:right="84" w:rightChars="40"/>
              <w:rPr>
                <w:rFonts w:hint="eastAsia" w:ascii="宋体" w:hAnsi="宋体" w:eastAsia="宋体" w:cs="宋体"/>
                <w:color w:val="auto"/>
                <w:spacing w:val="0"/>
                <w:sz w:val="24"/>
                <w:szCs w:val="24"/>
                <w:highlight w:val="none"/>
              </w:rPr>
            </w:pPr>
          </w:p>
          <w:p w14:paraId="77E009AF">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D109652">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5BD5D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B1E5B3D">
            <w:pPr>
              <w:keepNext w:val="0"/>
              <w:keepLines w:val="0"/>
              <w:pageBreakBefore w:val="0"/>
              <w:kinsoku/>
              <w:wordWrap w:val="0"/>
              <w:overflowPunct/>
              <w:topLinePunct w:val="0"/>
              <w:bidi w:val="0"/>
              <w:spacing w:before="129" w:line="328" w:lineRule="auto"/>
              <w:ind w:left="115" w:right="84" w:rightChars="40"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（三）分段架体搭设高度 20m 及以上的悬挑式 脚手架工程。</w:t>
            </w:r>
          </w:p>
        </w:tc>
        <w:tc>
          <w:tcPr>
            <w:tcW w:w="1294" w:type="dxa"/>
            <w:vAlign w:val="top"/>
          </w:tcPr>
          <w:p w14:paraId="4AB79A12">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37005039">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ACFD169">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0F5EF920">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62CF69C">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4E8E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C785A81">
            <w:pPr>
              <w:keepNext w:val="0"/>
              <w:keepLines w:val="0"/>
              <w:pageBreakBefore w:val="0"/>
              <w:kinsoku/>
              <w:wordWrap w:val="0"/>
              <w:overflowPunct/>
              <w:topLinePunct w:val="0"/>
              <w:bidi w:val="0"/>
              <w:spacing w:before="131" w:line="220" w:lineRule="auto"/>
              <w:ind w:left="120"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五、拆除工程</w:t>
            </w:r>
          </w:p>
        </w:tc>
        <w:tc>
          <w:tcPr>
            <w:tcW w:w="1294" w:type="dxa"/>
            <w:vAlign w:val="top"/>
          </w:tcPr>
          <w:p w14:paraId="2B410AE1">
            <w:pPr>
              <w:keepNext w:val="0"/>
              <w:keepLines w:val="0"/>
              <w:pageBreakBefore w:val="0"/>
              <w:kinsoku/>
              <w:wordWrap w:val="0"/>
              <w:overflowPunct/>
              <w:topLinePunct w:val="0"/>
              <w:bidi w:val="0"/>
              <w:spacing w:before="158" w:line="223" w:lineRule="auto"/>
              <w:ind w:left="42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7B38F25">
            <w:pPr>
              <w:keepNext w:val="0"/>
              <w:keepLines w:val="0"/>
              <w:pageBreakBefore w:val="0"/>
              <w:kinsoku/>
              <w:wordWrap w:val="0"/>
              <w:overflowPunct/>
              <w:topLinePunct w:val="0"/>
              <w:bidi w:val="0"/>
              <w:spacing w:before="15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8E3645D">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33198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620B92">
            <w:pPr>
              <w:keepNext w:val="0"/>
              <w:keepLines w:val="0"/>
              <w:pageBreakBefore w:val="0"/>
              <w:kinsoku/>
              <w:wordWrap w:val="0"/>
              <w:overflowPunct/>
              <w:topLinePunct w:val="0"/>
              <w:bidi w:val="0"/>
              <w:spacing w:before="132" w:line="353" w:lineRule="auto"/>
              <w:ind w:left="115" w:right="84" w:rightChars="40"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（一）码头、桥梁、高架、烟囱、水塔或拆除 中容易引起有毒有害气（液）体或粉尘扩散、 易燃易爆事故发生的特殊建、构筑物的拆除工 程。</w:t>
            </w:r>
          </w:p>
        </w:tc>
        <w:tc>
          <w:tcPr>
            <w:tcW w:w="1294" w:type="dxa"/>
            <w:vAlign w:val="top"/>
          </w:tcPr>
          <w:p w14:paraId="62837129">
            <w:pPr>
              <w:pStyle w:val="27"/>
              <w:keepNext w:val="0"/>
              <w:keepLines w:val="0"/>
              <w:pageBreakBefore w:val="0"/>
              <w:kinsoku/>
              <w:wordWrap w:val="0"/>
              <w:overflowPunct/>
              <w:topLinePunct w:val="0"/>
              <w:bidi w:val="0"/>
              <w:spacing w:line="262" w:lineRule="auto"/>
              <w:ind w:right="84" w:rightChars="40"/>
              <w:rPr>
                <w:rFonts w:hint="eastAsia" w:ascii="宋体" w:hAnsi="宋体" w:eastAsia="宋体" w:cs="宋体"/>
                <w:color w:val="auto"/>
                <w:spacing w:val="0"/>
                <w:sz w:val="24"/>
                <w:szCs w:val="24"/>
                <w:highlight w:val="none"/>
              </w:rPr>
            </w:pPr>
          </w:p>
          <w:p w14:paraId="5E2C6B65">
            <w:pPr>
              <w:pStyle w:val="27"/>
              <w:keepNext w:val="0"/>
              <w:keepLines w:val="0"/>
              <w:pageBreakBefore w:val="0"/>
              <w:kinsoku/>
              <w:wordWrap w:val="0"/>
              <w:overflowPunct/>
              <w:topLinePunct w:val="0"/>
              <w:bidi w:val="0"/>
              <w:spacing w:line="262" w:lineRule="auto"/>
              <w:ind w:right="84" w:rightChars="40"/>
              <w:rPr>
                <w:rFonts w:hint="eastAsia" w:ascii="宋体" w:hAnsi="宋体" w:eastAsia="宋体" w:cs="宋体"/>
                <w:color w:val="auto"/>
                <w:spacing w:val="0"/>
                <w:sz w:val="24"/>
                <w:szCs w:val="24"/>
                <w:highlight w:val="none"/>
              </w:rPr>
            </w:pPr>
          </w:p>
          <w:p w14:paraId="4237685B">
            <w:pPr>
              <w:pStyle w:val="27"/>
              <w:keepNext w:val="0"/>
              <w:keepLines w:val="0"/>
              <w:pageBreakBefore w:val="0"/>
              <w:kinsoku/>
              <w:wordWrap w:val="0"/>
              <w:overflowPunct/>
              <w:topLinePunct w:val="0"/>
              <w:bidi w:val="0"/>
              <w:spacing w:line="262" w:lineRule="auto"/>
              <w:ind w:right="84" w:rightChars="40"/>
              <w:rPr>
                <w:rFonts w:hint="eastAsia" w:ascii="宋体" w:hAnsi="宋体" w:eastAsia="宋体" w:cs="宋体"/>
                <w:color w:val="auto"/>
                <w:spacing w:val="0"/>
                <w:sz w:val="24"/>
                <w:szCs w:val="24"/>
                <w:highlight w:val="none"/>
              </w:rPr>
            </w:pPr>
          </w:p>
          <w:p w14:paraId="5E1C9159">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2F70B0D">
            <w:pPr>
              <w:pStyle w:val="27"/>
              <w:keepNext w:val="0"/>
              <w:keepLines w:val="0"/>
              <w:pageBreakBefore w:val="0"/>
              <w:kinsoku/>
              <w:wordWrap w:val="0"/>
              <w:overflowPunct/>
              <w:topLinePunct w:val="0"/>
              <w:bidi w:val="0"/>
              <w:spacing w:line="262" w:lineRule="auto"/>
              <w:ind w:right="84" w:rightChars="40"/>
              <w:rPr>
                <w:rFonts w:hint="eastAsia" w:ascii="宋体" w:hAnsi="宋体" w:eastAsia="宋体" w:cs="宋体"/>
                <w:color w:val="auto"/>
                <w:spacing w:val="0"/>
                <w:sz w:val="24"/>
                <w:szCs w:val="24"/>
                <w:highlight w:val="none"/>
              </w:rPr>
            </w:pPr>
          </w:p>
          <w:p w14:paraId="1459CE9C">
            <w:pPr>
              <w:pStyle w:val="27"/>
              <w:keepNext w:val="0"/>
              <w:keepLines w:val="0"/>
              <w:pageBreakBefore w:val="0"/>
              <w:kinsoku/>
              <w:wordWrap w:val="0"/>
              <w:overflowPunct/>
              <w:topLinePunct w:val="0"/>
              <w:bidi w:val="0"/>
              <w:spacing w:line="262" w:lineRule="auto"/>
              <w:ind w:right="84" w:rightChars="40"/>
              <w:rPr>
                <w:rFonts w:hint="eastAsia" w:ascii="宋体" w:hAnsi="宋体" w:eastAsia="宋体" w:cs="宋体"/>
                <w:color w:val="auto"/>
                <w:spacing w:val="0"/>
                <w:sz w:val="24"/>
                <w:szCs w:val="24"/>
                <w:highlight w:val="none"/>
              </w:rPr>
            </w:pPr>
          </w:p>
          <w:p w14:paraId="7D26B224">
            <w:pPr>
              <w:pStyle w:val="27"/>
              <w:keepNext w:val="0"/>
              <w:keepLines w:val="0"/>
              <w:pageBreakBefore w:val="0"/>
              <w:kinsoku/>
              <w:wordWrap w:val="0"/>
              <w:overflowPunct/>
              <w:topLinePunct w:val="0"/>
              <w:bidi w:val="0"/>
              <w:spacing w:line="262" w:lineRule="auto"/>
              <w:ind w:right="84" w:rightChars="40"/>
              <w:rPr>
                <w:rFonts w:hint="eastAsia" w:ascii="宋体" w:hAnsi="宋体" w:eastAsia="宋体" w:cs="宋体"/>
                <w:color w:val="auto"/>
                <w:spacing w:val="0"/>
                <w:sz w:val="24"/>
                <w:szCs w:val="24"/>
                <w:highlight w:val="none"/>
              </w:rPr>
            </w:pPr>
          </w:p>
          <w:p w14:paraId="2ABE716F">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E13D582">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47EF3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50F9E3">
            <w:pPr>
              <w:keepNext w:val="0"/>
              <w:keepLines w:val="0"/>
              <w:pageBreakBefore w:val="0"/>
              <w:kinsoku/>
              <w:wordWrap w:val="0"/>
              <w:overflowPunct/>
              <w:topLinePunct w:val="0"/>
              <w:bidi w:val="0"/>
              <w:spacing w:before="131" w:line="327" w:lineRule="auto"/>
              <w:ind w:left="117" w:right="84" w:rightChars="40"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（二）文物保护建筑、优秀历史建筑或历史文 化风貌区影响范围内的拆除工程。</w:t>
            </w:r>
          </w:p>
        </w:tc>
        <w:tc>
          <w:tcPr>
            <w:tcW w:w="1294" w:type="dxa"/>
            <w:vAlign w:val="top"/>
          </w:tcPr>
          <w:p w14:paraId="1D4EC9B1">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63A03CFE">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2888C22">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1B856F29">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3226493">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4AB33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FB23701">
            <w:pPr>
              <w:keepNext w:val="0"/>
              <w:keepLines w:val="0"/>
              <w:pageBreakBefore w:val="0"/>
              <w:kinsoku/>
              <w:wordWrap w:val="0"/>
              <w:overflowPunct/>
              <w:topLinePunct w:val="0"/>
              <w:bidi w:val="0"/>
              <w:spacing w:before="131" w:line="221" w:lineRule="auto"/>
              <w:ind w:left="118"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六、暗挖工程</w:t>
            </w:r>
          </w:p>
        </w:tc>
        <w:tc>
          <w:tcPr>
            <w:tcW w:w="1294" w:type="dxa"/>
            <w:vAlign w:val="top"/>
          </w:tcPr>
          <w:p w14:paraId="3B13018B">
            <w:pPr>
              <w:keepNext w:val="0"/>
              <w:keepLines w:val="0"/>
              <w:pageBreakBefore w:val="0"/>
              <w:kinsoku/>
              <w:wordWrap w:val="0"/>
              <w:overflowPunct/>
              <w:topLinePunct w:val="0"/>
              <w:bidi w:val="0"/>
              <w:spacing w:before="140"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1E32A96">
            <w:pPr>
              <w:keepNext w:val="0"/>
              <w:keepLines w:val="0"/>
              <w:pageBreakBefore w:val="0"/>
              <w:kinsoku/>
              <w:wordWrap w:val="0"/>
              <w:overflowPunct/>
              <w:topLinePunct w:val="0"/>
              <w:bidi w:val="0"/>
              <w:spacing w:before="140"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BEFE76D">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25277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C421DB8">
            <w:pPr>
              <w:keepNext w:val="0"/>
              <w:keepLines w:val="0"/>
              <w:pageBreakBefore w:val="0"/>
              <w:kinsoku/>
              <w:wordWrap w:val="0"/>
              <w:overflowPunct/>
              <w:topLinePunct w:val="0"/>
              <w:bidi w:val="0"/>
              <w:spacing w:before="131" w:line="327" w:lineRule="auto"/>
              <w:ind w:left="119" w:right="84" w:rightChars="40" w:hanging="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采用矿山法、盾构法、顶管法施工的隧道、洞 室工程。</w:t>
            </w:r>
          </w:p>
        </w:tc>
        <w:tc>
          <w:tcPr>
            <w:tcW w:w="1294" w:type="dxa"/>
            <w:vAlign w:val="top"/>
          </w:tcPr>
          <w:p w14:paraId="2955C1FF">
            <w:pPr>
              <w:pStyle w:val="27"/>
              <w:keepNext w:val="0"/>
              <w:keepLines w:val="0"/>
              <w:pageBreakBefore w:val="0"/>
              <w:kinsoku/>
              <w:wordWrap w:val="0"/>
              <w:overflowPunct/>
              <w:topLinePunct w:val="0"/>
              <w:bidi w:val="0"/>
              <w:spacing w:line="298" w:lineRule="auto"/>
              <w:ind w:right="84" w:rightChars="40"/>
              <w:rPr>
                <w:rFonts w:hint="eastAsia" w:ascii="宋体" w:hAnsi="宋体" w:eastAsia="宋体" w:cs="宋体"/>
                <w:color w:val="auto"/>
                <w:spacing w:val="0"/>
                <w:sz w:val="24"/>
                <w:szCs w:val="24"/>
                <w:highlight w:val="none"/>
              </w:rPr>
            </w:pPr>
          </w:p>
          <w:p w14:paraId="4C4C9825">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37FC5FC">
            <w:pPr>
              <w:pStyle w:val="27"/>
              <w:keepNext w:val="0"/>
              <w:keepLines w:val="0"/>
              <w:pageBreakBefore w:val="0"/>
              <w:kinsoku/>
              <w:wordWrap w:val="0"/>
              <w:overflowPunct/>
              <w:topLinePunct w:val="0"/>
              <w:bidi w:val="0"/>
              <w:spacing w:line="298" w:lineRule="auto"/>
              <w:ind w:right="84" w:rightChars="40"/>
              <w:rPr>
                <w:rFonts w:hint="eastAsia" w:ascii="宋体" w:hAnsi="宋体" w:eastAsia="宋体" w:cs="宋体"/>
                <w:color w:val="auto"/>
                <w:spacing w:val="0"/>
                <w:sz w:val="24"/>
                <w:szCs w:val="24"/>
                <w:highlight w:val="none"/>
              </w:rPr>
            </w:pPr>
          </w:p>
          <w:p w14:paraId="7873351B">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739747C">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23CBE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F3B8926">
            <w:pPr>
              <w:keepNext w:val="0"/>
              <w:keepLines w:val="0"/>
              <w:pageBreakBefore w:val="0"/>
              <w:kinsoku/>
              <w:wordWrap w:val="0"/>
              <w:overflowPunct/>
              <w:topLinePunct w:val="0"/>
              <w:bidi w:val="0"/>
              <w:spacing w:before="130" w:line="222" w:lineRule="auto"/>
              <w:ind w:left="11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七、其它</w:t>
            </w:r>
          </w:p>
        </w:tc>
        <w:tc>
          <w:tcPr>
            <w:tcW w:w="1294" w:type="dxa"/>
            <w:vAlign w:val="top"/>
          </w:tcPr>
          <w:p w14:paraId="4D77A95B">
            <w:pPr>
              <w:keepNext w:val="0"/>
              <w:keepLines w:val="0"/>
              <w:pageBreakBefore w:val="0"/>
              <w:kinsoku/>
              <w:wordWrap w:val="0"/>
              <w:overflowPunct/>
              <w:topLinePunct w:val="0"/>
              <w:bidi w:val="0"/>
              <w:spacing w:before="130"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185F8E5">
            <w:pPr>
              <w:keepNext w:val="0"/>
              <w:keepLines w:val="0"/>
              <w:pageBreakBefore w:val="0"/>
              <w:kinsoku/>
              <w:wordWrap w:val="0"/>
              <w:overflowPunct/>
              <w:topLinePunct w:val="0"/>
              <w:bidi w:val="0"/>
              <w:spacing w:before="130"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8A326B1">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36214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FF8FAEC">
            <w:pPr>
              <w:keepNext w:val="0"/>
              <w:keepLines w:val="0"/>
              <w:pageBreakBefore w:val="0"/>
              <w:kinsoku/>
              <w:wordWrap w:val="0"/>
              <w:overflowPunct/>
              <w:topLinePunct w:val="0"/>
              <w:bidi w:val="0"/>
              <w:spacing w:before="130" w:line="327" w:lineRule="auto"/>
              <w:ind w:left="115" w:right="84" w:rightChars="40"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（一）施工高度 50m 及以上的建筑幕墙安装工 程。</w:t>
            </w:r>
          </w:p>
        </w:tc>
        <w:tc>
          <w:tcPr>
            <w:tcW w:w="1294" w:type="dxa"/>
            <w:vAlign w:val="top"/>
          </w:tcPr>
          <w:p w14:paraId="79731486">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06B1EF7E">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F023B34">
            <w:pPr>
              <w:pStyle w:val="27"/>
              <w:keepNext w:val="0"/>
              <w:keepLines w:val="0"/>
              <w:pageBreakBefore w:val="0"/>
              <w:kinsoku/>
              <w:wordWrap w:val="0"/>
              <w:overflowPunct/>
              <w:topLinePunct w:val="0"/>
              <w:bidi w:val="0"/>
              <w:spacing w:line="297" w:lineRule="auto"/>
              <w:ind w:right="84" w:rightChars="40"/>
              <w:rPr>
                <w:rFonts w:hint="eastAsia" w:ascii="宋体" w:hAnsi="宋体" w:eastAsia="宋体" w:cs="宋体"/>
                <w:color w:val="auto"/>
                <w:spacing w:val="0"/>
                <w:sz w:val="24"/>
                <w:szCs w:val="24"/>
                <w:highlight w:val="none"/>
              </w:rPr>
            </w:pPr>
          </w:p>
          <w:p w14:paraId="0642A23D">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9FC3417">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3255E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5A9370B">
            <w:pPr>
              <w:keepNext w:val="0"/>
              <w:keepLines w:val="0"/>
              <w:pageBreakBefore w:val="0"/>
              <w:kinsoku/>
              <w:wordWrap w:val="0"/>
              <w:overflowPunct/>
              <w:topLinePunct w:val="0"/>
              <w:bidi w:val="0"/>
              <w:spacing w:before="130" w:line="221"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（二）跨度 36m 及以上的钢结构安装工程，或</w:t>
            </w:r>
          </w:p>
        </w:tc>
        <w:tc>
          <w:tcPr>
            <w:tcW w:w="1294" w:type="dxa"/>
            <w:vAlign w:val="top"/>
          </w:tcPr>
          <w:p w14:paraId="0E28B8BF">
            <w:pPr>
              <w:keepNext w:val="0"/>
              <w:keepLines w:val="0"/>
              <w:pageBreakBefore w:val="0"/>
              <w:kinsoku/>
              <w:wordWrap w:val="0"/>
              <w:overflowPunct/>
              <w:topLinePunct w:val="0"/>
              <w:bidi w:val="0"/>
              <w:spacing w:before="130"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5DB057B">
            <w:pPr>
              <w:keepNext w:val="0"/>
              <w:keepLines w:val="0"/>
              <w:pageBreakBefore w:val="0"/>
              <w:kinsoku/>
              <w:wordWrap w:val="0"/>
              <w:overflowPunct/>
              <w:topLinePunct w:val="0"/>
              <w:bidi w:val="0"/>
              <w:spacing w:before="130"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3DB903A">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648D8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41E2AF4">
            <w:pPr>
              <w:keepNext w:val="0"/>
              <w:keepLines w:val="0"/>
              <w:pageBreakBefore w:val="0"/>
              <w:kinsoku/>
              <w:wordWrap w:val="0"/>
              <w:overflowPunct/>
              <w:topLinePunct w:val="0"/>
              <w:bidi w:val="0"/>
              <w:spacing w:before="131" w:line="221" w:lineRule="auto"/>
              <w:ind w:left="116"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跨度 60m 及以上的网架和索膜结构安装工程。</w:t>
            </w:r>
          </w:p>
        </w:tc>
        <w:tc>
          <w:tcPr>
            <w:tcW w:w="1294" w:type="dxa"/>
            <w:vAlign w:val="top"/>
          </w:tcPr>
          <w:p w14:paraId="64B97050">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294" w:type="dxa"/>
            <w:vAlign w:val="top"/>
          </w:tcPr>
          <w:p w14:paraId="002E0645">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2428" w:type="dxa"/>
            <w:vAlign w:val="top"/>
          </w:tcPr>
          <w:p w14:paraId="044C4BAC">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6EB4F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1B8FBFF">
            <w:pPr>
              <w:keepNext w:val="0"/>
              <w:keepLines w:val="0"/>
              <w:pageBreakBefore w:val="0"/>
              <w:kinsoku/>
              <w:wordWrap w:val="0"/>
              <w:overflowPunct/>
              <w:topLinePunct w:val="0"/>
              <w:bidi w:val="0"/>
              <w:spacing w:before="127" w:line="220" w:lineRule="auto"/>
              <w:ind w:right="84" w:rightChars="4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（三）开挖深度 16m 及以上的人工挖孔桩工程。</w:t>
            </w:r>
          </w:p>
        </w:tc>
        <w:tc>
          <w:tcPr>
            <w:tcW w:w="1294" w:type="dxa"/>
            <w:vAlign w:val="top"/>
          </w:tcPr>
          <w:p w14:paraId="62C02099">
            <w:pPr>
              <w:keepNext w:val="0"/>
              <w:keepLines w:val="0"/>
              <w:pageBreakBefore w:val="0"/>
              <w:kinsoku/>
              <w:wordWrap w:val="0"/>
              <w:overflowPunct/>
              <w:topLinePunct w:val="0"/>
              <w:bidi w:val="0"/>
              <w:spacing w:before="127"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41BE568">
            <w:pPr>
              <w:keepNext w:val="0"/>
              <w:keepLines w:val="0"/>
              <w:pageBreakBefore w:val="0"/>
              <w:kinsoku/>
              <w:wordWrap w:val="0"/>
              <w:overflowPunct/>
              <w:topLinePunct w:val="0"/>
              <w:bidi w:val="0"/>
              <w:spacing w:before="127"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B3ECDA4">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A9F4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C8AFDA4">
            <w:pPr>
              <w:keepNext w:val="0"/>
              <w:keepLines w:val="0"/>
              <w:pageBreakBefore w:val="0"/>
              <w:kinsoku/>
              <w:wordWrap w:val="0"/>
              <w:overflowPunct/>
              <w:topLinePunct w:val="0"/>
              <w:bidi w:val="0"/>
              <w:spacing w:before="129" w:line="220" w:lineRule="auto"/>
              <w:ind w:left="12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（四）水下作业工程。</w:t>
            </w:r>
          </w:p>
        </w:tc>
        <w:tc>
          <w:tcPr>
            <w:tcW w:w="1294" w:type="dxa"/>
            <w:vAlign w:val="top"/>
          </w:tcPr>
          <w:p w14:paraId="3067C02F">
            <w:pPr>
              <w:keepNext w:val="0"/>
              <w:keepLines w:val="0"/>
              <w:pageBreakBefore w:val="0"/>
              <w:kinsoku/>
              <w:wordWrap w:val="0"/>
              <w:overflowPunct/>
              <w:topLinePunct w:val="0"/>
              <w:bidi w:val="0"/>
              <w:spacing w:before="163"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2CEF54C">
            <w:pPr>
              <w:keepNext w:val="0"/>
              <w:keepLines w:val="0"/>
              <w:pageBreakBefore w:val="0"/>
              <w:kinsoku/>
              <w:wordWrap w:val="0"/>
              <w:overflowPunct/>
              <w:topLinePunct w:val="0"/>
              <w:bidi w:val="0"/>
              <w:spacing w:before="163"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B56A100">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7A1F8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BCC59C5">
            <w:pPr>
              <w:keepNext w:val="0"/>
              <w:keepLines w:val="0"/>
              <w:pageBreakBefore w:val="0"/>
              <w:kinsoku/>
              <w:wordWrap w:val="0"/>
              <w:overflowPunct/>
              <w:topLinePunct w:val="0"/>
              <w:bidi w:val="0"/>
              <w:spacing w:before="130" w:line="327" w:lineRule="auto"/>
              <w:ind w:left="115" w:right="84" w:rightChars="40"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（五）重量 1000kN及以上的大型结构整体顶升、 平移、转体等施工工艺。</w:t>
            </w:r>
          </w:p>
        </w:tc>
        <w:tc>
          <w:tcPr>
            <w:tcW w:w="1294" w:type="dxa"/>
            <w:vAlign w:val="top"/>
          </w:tcPr>
          <w:p w14:paraId="3F86B10F">
            <w:pPr>
              <w:pStyle w:val="27"/>
              <w:keepNext w:val="0"/>
              <w:keepLines w:val="0"/>
              <w:pageBreakBefore w:val="0"/>
              <w:kinsoku/>
              <w:wordWrap w:val="0"/>
              <w:overflowPunct/>
              <w:topLinePunct w:val="0"/>
              <w:bidi w:val="0"/>
              <w:spacing w:line="296" w:lineRule="auto"/>
              <w:ind w:right="84" w:rightChars="40"/>
              <w:rPr>
                <w:rFonts w:hint="eastAsia" w:ascii="宋体" w:hAnsi="宋体" w:eastAsia="宋体" w:cs="宋体"/>
                <w:color w:val="auto"/>
                <w:spacing w:val="0"/>
                <w:sz w:val="24"/>
                <w:szCs w:val="24"/>
                <w:highlight w:val="none"/>
              </w:rPr>
            </w:pPr>
          </w:p>
          <w:p w14:paraId="3DAFD05C">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7CFDEAB">
            <w:pPr>
              <w:pStyle w:val="27"/>
              <w:keepNext w:val="0"/>
              <w:keepLines w:val="0"/>
              <w:pageBreakBefore w:val="0"/>
              <w:kinsoku/>
              <w:wordWrap w:val="0"/>
              <w:overflowPunct/>
              <w:topLinePunct w:val="0"/>
              <w:bidi w:val="0"/>
              <w:spacing w:line="296" w:lineRule="auto"/>
              <w:ind w:right="84" w:rightChars="40"/>
              <w:rPr>
                <w:rFonts w:hint="eastAsia" w:ascii="宋体" w:hAnsi="宋体" w:eastAsia="宋体" w:cs="宋体"/>
                <w:color w:val="auto"/>
                <w:spacing w:val="0"/>
                <w:sz w:val="24"/>
                <w:szCs w:val="24"/>
                <w:highlight w:val="none"/>
              </w:rPr>
            </w:pPr>
          </w:p>
          <w:p w14:paraId="283652C7">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FC5E233">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6CCF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9C5CBEE">
            <w:pPr>
              <w:keepNext w:val="0"/>
              <w:keepLines w:val="0"/>
              <w:pageBreakBefore w:val="0"/>
              <w:kinsoku/>
              <w:wordWrap w:val="0"/>
              <w:overflowPunct/>
              <w:topLinePunct w:val="0"/>
              <w:bidi w:val="0"/>
              <w:spacing w:before="129" w:line="346" w:lineRule="auto"/>
              <w:ind w:left="117" w:right="84" w:rightChars="40" w:firstLine="1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（六）采用新技术、新工艺、新材料、新设备 可能影响工程施工安全，尚无国家、行业及地 方技术标准的分部分项工程。</w:t>
            </w:r>
          </w:p>
        </w:tc>
        <w:tc>
          <w:tcPr>
            <w:tcW w:w="1294" w:type="dxa"/>
            <w:vAlign w:val="top"/>
          </w:tcPr>
          <w:p w14:paraId="7BFE5A71">
            <w:pPr>
              <w:pStyle w:val="27"/>
              <w:keepNext w:val="0"/>
              <w:keepLines w:val="0"/>
              <w:pageBreakBefore w:val="0"/>
              <w:kinsoku/>
              <w:wordWrap w:val="0"/>
              <w:overflowPunct/>
              <w:topLinePunct w:val="0"/>
              <w:bidi w:val="0"/>
              <w:spacing w:line="272" w:lineRule="auto"/>
              <w:ind w:right="84" w:rightChars="40"/>
              <w:rPr>
                <w:rFonts w:hint="eastAsia" w:ascii="宋体" w:hAnsi="宋体" w:eastAsia="宋体" w:cs="宋体"/>
                <w:color w:val="auto"/>
                <w:spacing w:val="0"/>
                <w:sz w:val="24"/>
                <w:szCs w:val="24"/>
                <w:highlight w:val="none"/>
              </w:rPr>
            </w:pPr>
          </w:p>
          <w:p w14:paraId="56661FE2">
            <w:pPr>
              <w:pStyle w:val="27"/>
              <w:keepNext w:val="0"/>
              <w:keepLines w:val="0"/>
              <w:pageBreakBefore w:val="0"/>
              <w:kinsoku/>
              <w:wordWrap w:val="0"/>
              <w:overflowPunct/>
              <w:topLinePunct w:val="0"/>
              <w:bidi w:val="0"/>
              <w:spacing w:line="272" w:lineRule="auto"/>
              <w:ind w:right="84" w:rightChars="40"/>
              <w:rPr>
                <w:rFonts w:hint="eastAsia" w:ascii="宋体" w:hAnsi="宋体" w:eastAsia="宋体" w:cs="宋体"/>
                <w:color w:val="auto"/>
                <w:spacing w:val="0"/>
                <w:sz w:val="24"/>
                <w:szCs w:val="24"/>
                <w:highlight w:val="none"/>
              </w:rPr>
            </w:pPr>
          </w:p>
          <w:p w14:paraId="41A5B130">
            <w:pPr>
              <w:keepNext w:val="0"/>
              <w:keepLines w:val="0"/>
              <w:pageBreakBefore w:val="0"/>
              <w:kinsoku/>
              <w:wordWrap w:val="0"/>
              <w:overflowPunct/>
              <w:topLinePunct w:val="0"/>
              <w:bidi w:val="0"/>
              <w:spacing w:before="78" w:line="223" w:lineRule="auto"/>
              <w:ind w:left="3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094A60A">
            <w:pPr>
              <w:pStyle w:val="27"/>
              <w:keepNext w:val="0"/>
              <w:keepLines w:val="0"/>
              <w:pageBreakBefore w:val="0"/>
              <w:kinsoku/>
              <w:wordWrap w:val="0"/>
              <w:overflowPunct/>
              <w:topLinePunct w:val="0"/>
              <w:bidi w:val="0"/>
              <w:spacing w:line="272" w:lineRule="auto"/>
              <w:ind w:right="84" w:rightChars="40"/>
              <w:rPr>
                <w:rFonts w:hint="eastAsia" w:ascii="宋体" w:hAnsi="宋体" w:eastAsia="宋体" w:cs="宋体"/>
                <w:color w:val="auto"/>
                <w:spacing w:val="0"/>
                <w:sz w:val="24"/>
                <w:szCs w:val="24"/>
                <w:highlight w:val="none"/>
              </w:rPr>
            </w:pPr>
          </w:p>
          <w:p w14:paraId="38F5358C">
            <w:pPr>
              <w:pStyle w:val="27"/>
              <w:keepNext w:val="0"/>
              <w:keepLines w:val="0"/>
              <w:pageBreakBefore w:val="0"/>
              <w:kinsoku/>
              <w:wordWrap w:val="0"/>
              <w:overflowPunct/>
              <w:topLinePunct w:val="0"/>
              <w:bidi w:val="0"/>
              <w:spacing w:line="272" w:lineRule="auto"/>
              <w:ind w:right="84" w:rightChars="40"/>
              <w:rPr>
                <w:rFonts w:hint="eastAsia" w:ascii="宋体" w:hAnsi="宋体" w:eastAsia="宋体" w:cs="宋体"/>
                <w:color w:val="auto"/>
                <w:spacing w:val="0"/>
                <w:sz w:val="24"/>
                <w:szCs w:val="24"/>
                <w:highlight w:val="none"/>
              </w:rPr>
            </w:pPr>
          </w:p>
          <w:p w14:paraId="133F0501">
            <w:pPr>
              <w:keepNext w:val="0"/>
              <w:keepLines w:val="0"/>
              <w:pageBreakBefore w:val="0"/>
              <w:kinsoku/>
              <w:wordWrap w:val="0"/>
              <w:overflowPunct/>
              <w:topLinePunct w:val="0"/>
              <w:bidi w:val="0"/>
              <w:spacing w:before="78" w:line="223" w:lineRule="auto"/>
              <w:ind w:left="36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B0949F0">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bl>
    <w:p w14:paraId="6E7F6BBB">
      <w:pPr>
        <w:pStyle w:val="5"/>
        <w:keepNext w:val="0"/>
        <w:keepLines w:val="0"/>
        <w:pageBreakBefore w:val="0"/>
        <w:kinsoku/>
        <w:wordWrap w:val="0"/>
        <w:overflowPunct/>
        <w:topLinePunct w:val="0"/>
        <w:bidi w:val="0"/>
        <w:spacing w:line="288" w:lineRule="auto"/>
        <w:ind w:right="84" w:rightChars="40"/>
        <w:rPr>
          <w:rFonts w:hint="eastAsia" w:ascii="宋体" w:hAnsi="宋体" w:eastAsia="宋体" w:cs="宋体"/>
          <w:color w:val="auto"/>
          <w:spacing w:val="0"/>
          <w:highlight w:val="none"/>
        </w:rPr>
      </w:pPr>
    </w:p>
    <w:p w14:paraId="548C332F">
      <w:pPr>
        <w:pStyle w:val="5"/>
        <w:keepNext w:val="0"/>
        <w:keepLines w:val="0"/>
        <w:pageBreakBefore w:val="0"/>
        <w:kinsoku/>
        <w:wordWrap w:val="0"/>
        <w:overflowPunct/>
        <w:topLinePunct w:val="0"/>
        <w:bidi w:val="0"/>
        <w:spacing w:line="288" w:lineRule="auto"/>
        <w:ind w:right="84" w:rightChars="40"/>
        <w:rPr>
          <w:rFonts w:hint="eastAsia" w:ascii="宋体" w:hAnsi="宋体" w:eastAsia="宋体" w:cs="宋体"/>
          <w:color w:val="auto"/>
          <w:spacing w:val="0"/>
          <w:highlight w:val="none"/>
        </w:rPr>
      </w:pPr>
    </w:p>
    <w:p w14:paraId="4D9ADF52">
      <w:pPr>
        <w:keepNext w:val="0"/>
        <w:keepLines w:val="0"/>
        <w:pageBreakBefore w:val="0"/>
        <w:kinsoku/>
        <w:wordWrap w:val="0"/>
        <w:overflowPunct/>
        <w:topLinePunct w:val="0"/>
        <w:bidi w:val="0"/>
        <w:spacing w:before="21" w:line="360" w:lineRule="auto"/>
        <w:ind w:right="84" w:rightChars="40" w:firstLine="420" w:firstLineChars="200"/>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备注：1.根据《危险性较大的分部分项工程安全管理规定》，该《危险性较大的分部分项工程清单及超过一定规模的危险性较大的分部分项工程清单》</w:t>
      </w:r>
      <w:r>
        <w:rPr>
          <w:rFonts w:hint="eastAsia" w:ascii="宋体" w:hAnsi="宋体" w:eastAsia="宋体" w:cs="宋体"/>
          <w:color w:val="auto"/>
          <w:spacing w:val="0"/>
          <w:sz w:val="21"/>
          <w:szCs w:val="21"/>
          <w:highlight w:val="none"/>
          <w:lang w:eastAsia="zh-CN"/>
        </w:rPr>
        <w:t>应由建设单位组织勘察、设计等单位在招标文件中“勾选（对应项打“√”标识”危险性较大的分部分项工程）。</w:t>
      </w:r>
    </w:p>
    <w:p w14:paraId="0C4D1AF6">
      <w:pPr>
        <w:keepNext w:val="0"/>
        <w:keepLines w:val="0"/>
        <w:pageBreakBefore w:val="0"/>
        <w:kinsoku/>
        <w:wordWrap w:val="0"/>
        <w:overflowPunct/>
        <w:topLinePunct w:val="0"/>
        <w:bidi w:val="0"/>
        <w:spacing w:before="21" w:line="360" w:lineRule="auto"/>
        <w:ind w:right="84" w:rightChars="40"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2.该《危险性较大的分部分项工程清单及超过一定规模的危险性较大的分部分项工程清单》在办理建设项目施工许可时必须提供，且各地建设行政主管部门可按照《广东省建设工程项目招标中标后监督 检查办法》相关规定开展检查。</w:t>
      </w:r>
    </w:p>
    <w:p w14:paraId="631FDCC1">
      <w:pPr>
        <w:keepNext w:val="0"/>
        <w:keepLines w:val="0"/>
        <w:pageBreakBefore w:val="0"/>
        <w:kinsoku/>
        <w:wordWrap w:val="0"/>
        <w:overflowPunct/>
        <w:topLinePunct w:val="0"/>
        <w:bidi w:val="0"/>
        <w:spacing w:before="28" w:line="360" w:lineRule="auto"/>
        <w:ind w:left="545" w:leftChars="244" w:right="84" w:rightChars="40" w:hanging="33" w:hangingChars="16"/>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3.如果需要（如需要通过计算编制专项方案，或者需要专家论证），可中标后提供</w:t>
      </w:r>
      <w:r>
        <w:rPr>
          <w:rFonts w:hint="eastAsia" w:ascii="宋体" w:hAnsi="宋体" w:eastAsia="宋体" w:cs="宋体"/>
          <w:color w:val="auto"/>
          <w:spacing w:val="0"/>
          <w:sz w:val="21"/>
          <w:szCs w:val="21"/>
          <w:highlight w:val="none"/>
          <w:lang w:eastAsia="zh-CN"/>
        </w:rPr>
        <w:t>详细版。</w:t>
      </w:r>
    </w:p>
    <w:p w14:paraId="4F0F2A5C">
      <w:pPr>
        <w:keepNext w:val="0"/>
        <w:keepLines w:val="0"/>
        <w:pageBreakBefore w:val="0"/>
        <w:kinsoku/>
        <w:wordWrap w:val="0"/>
        <w:overflowPunct/>
        <w:topLinePunct w:val="0"/>
        <w:bidi w:val="0"/>
        <w:ind w:right="84" w:rightChars="4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5367075C">
      <w:pPr>
        <w:keepNext w:val="0"/>
        <w:keepLines w:val="0"/>
        <w:pageBreakBefore w:val="0"/>
        <w:kinsoku/>
        <w:wordWrap w:val="0"/>
        <w:overflowPunct/>
        <w:topLinePunct w:val="0"/>
        <w:bidi w:val="0"/>
        <w:spacing w:before="78" w:line="220" w:lineRule="auto"/>
        <w:ind w:right="84" w:rightChars="40"/>
        <w:outlineLvl w:val="2"/>
        <w:rPr>
          <w:rFonts w:hint="eastAsia" w:ascii="宋体" w:hAnsi="宋体" w:eastAsia="宋体" w:cs="宋体"/>
          <w:b/>
          <w:bCs/>
          <w:color w:val="auto"/>
          <w:spacing w:val="0"/>
          <w:sz w:val="24"/>
          <w:szCs w:val="24"/>
          <w:highlight w:val="none"/>
        </w:rPr>
      </w:pPr>
      <w:bookmarkStart w:id="273" w:name="_Toc25570"/>
      <w:r>
        <w:rPr>
          <w:rFonts w:hint="eastAsia" w:ascii="宋体" w:hAnsi="宋体" w:eastAsia="宋体" w:cs="宋体"/>
          <w:b/>
          <w:bCs/>
          <w:color w:val="auto"/>
          <w:spacing w:val="0"/>
          <w:sz w:val="24"/>
          <w:szCs w:val="24"/>
          <w:highlight w:val="none"/>
        </w:rPr>
        <w:t>格式十</w:t>
      </w:r>
      <w:r>
        <w:rPr>
          <w:rFonts w:hint="eastAsia" w:ascii="宋体" w:hAnsi="宋体" w:eastAsia="宋体" w:cs="宋体"/>
          <w:b/>
          <w:bCs/>
          <w:color w:val="auto"/>
          <w:spacing w:val="0"/>
          <w:sz w:val="24"/>
          <w:szCs w:val="24"/>
          <w:highlight w:val="none"/>
          <w:lang w:val="en-US" w:eastAsia="zh-CN"/>
        </w:rPr>
        <w:t>四</w:t>
      </w:r>
      <w:r>
        <w:rPr>
          <w:rFonts w:hint="eastAsia" w:ascii="宋体" w:hAnsi="宋体" w:eastAsia="宋体" w:cs="宋体"/>
          <w:b/>
          <w:bCs/>
          <w:color w:val="auto"/>
          <w:spacing w:val="0"/>
          <w:sz w:val="24"/>
          <w:szCs w:val="24"/>
          <w:highlight w:val="none"/>
        </w:rPr>
        <w:t xml:space="preserve">  原件一览表</w:t>
      </w:r>
      <w:bookmarkEnd w:id="273"/>
    </w:p>
    <w:tbl>
      <w:tblPr>
        <w:tblStyle w:val="14"/>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5F244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B40EF1C">
            <w:pPr>
              <w:keepNext w:val="0"/>
              <w:keepLines w:val="0"/>
              <w:pageBreakBefore w:val="0"/>
              <w:kinsoku/>
              <w:wordWrap w:val="0"/>
              <w:overflowPunct/>
              <w:topLinePunct w:val="0"/>
              <w:bidi w:val="0"/>
              <w:spacing w:before="132" w:line="220" w:lineRule="auto"/>
              <w:ind w:left="3965" w:right="84" w:rightChars="4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原件一览表</w:t>
            </w:r>
          </w:p>
        </w:tc>
      </w:tr>
      <w:tr w14:paraId="6C17C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center"/>
          </w:tcPr>
          <w:p w14:paraId="03FBA86E">
            <w:pPr>
              <w:keepNext w:val="0"/>
              <w:keepLines w:val="0"/>
              <w:pageBreakBefore w:val="0"/>
              <w:kinsoku/>
              <w:wordWrap w:val="0"/>
              <w:overflowPunct/>
              <w:topLinePunct w:val="0"/>
              <w:bidi w:val="0"/>
              <w:spacing w:before="62" w:line="230" w:lineRule="auto"/>
              <w:ind w:right="84" w:rightChars="40"/>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工程名称</w:t>
            </w:r>
          </w:p>
        </w:tc>
        <w:tc>
          <w:tcPr>
            <w:tcW w:w="6816" w:type="dxa"/>
            <w:gridSpan w:val="6"/>
            <w:vAlign w:val="top"/>
          </w:tcPr>
          <w:p w14:paraId="5F792F2C">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487BE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254D3CCA">
            <w:pPr>
              <w:keepNext w:val="0"/>
              <w:keepLines w:val="0"/>
              <w:pageBreakBefore w:val="0"/>
              <w:kinsoku/>
              <w:wordWrap w:val="0"/>
              <w:overflowPunct/>
              <w:topLinePunct w:val="0"/>
              <w:bidi w:val="0"/>
              <w:spacing w:before="150" w:line="230" w:lineRule="auto"/>
              <w:ind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投标人名称(请务必填写单位全称)</w:t>
            </w:r>
          </w:p>
        </w:tc>
        <w:tc>
          <w:tcPr>
            <w:tcW w:w="6816" w:type="dxa"/>
            <w:gridSpan w:val="6"/>
            <w:vAlign w:val="top"/>
          </w:tcPr>
          <w:p w14:paraId="0F353D01">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22EC7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6683BB0E">
            <w:pPr>
              <w:keepNext w:val="0"/>
              <w:keepLines w:val="0"/>
              <w:pageBreakBefore w:val="0"/>
              <w:kinsoku/>
              <w:wordWrap w:val="0"/>
              <w:overflowPunct/>
              <w:topLinePunct w:val="0"/>
              <w:bidi w:val="0"/>
              <w:spacing w:before="151"/>
              <w:ind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投标人法定代表人或其委托代理人签名</w:t>
            </w:r>
          </w:p>
        </w:tc>
        <w:tc>
          <w:tcPr>
            <w:tcW w:w="2689" w:type="dxa"/>
            <w:gridSpan w:val="2"/>
            <w:vAlign w:val="top"/>
          </w:tcPr>
          <w:p w14:paraId="79697200">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499" w:type="dxa"/>
            <w:gridSpan w:val="2"/>
            <w:vAlign w:val="top"/>
          </w:tcPr>
          <w:p w14:paraId="58C1E63A">
            <w:pPr>
              <w:keepNext w:val="0"/>
              <w:keepLines w:val="0"/>
              <w:pageBreakBefore w:val="0"/>
              <w:kinsoku/>
              <w:wordWrap w:val="0"/>
              <w:overflowPunct/>
              <w:topLinePunct w:val="0"/>
              <w:bidi w:val="0"/>
              <w:spacing w:before="151" w:line="312" w:lineRule="auto"/>
              <w:ind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手机号码</w:t>
            </w:r>
          </w:p>
        </w:tc>
        <w:tc>
          <w:tcPr>
            <w:tcW w:w="2628" w:type="dxa"/>
            <w:gridSpan w:val="2"/>
            <w:vAlign w:val="top"/>
          </w:tcPr>
          <w:p w14:paraId="460A230E">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1064F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5B16BEA7">
            <w:pPr>
              <w:keepNext w:val="0"/>
              <w:keepLines w:val="0"/>
              <w:pageBreakBefore w:val="0"/>
              <w:kinsoku/>
              <w:wordWrap w:val="0"/>
              <w:overflowPunct/>
              <w:topLinePunct w:val="0"/>
              <w:bidi w:val="0"/>
              <w:spacing w:before="62" w:line="228" w:lineRule="auto"/>
              <w:ind w:left="3361"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递交的证明材料原件如下：</w:t>
            </w:r>
          </w:p>
        </w:tc>
      </w:tr>
      <w:tr w14:paraId="6562F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47F8E8A8">
            <w:pPr>
              <w:pStyle w:val="27"/>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sz w:val="24"/>
                <w:szCs w:val="24"/>
                <w:highlight w:val="none"/>
              </w:rPr>
            </w:pPr>
          </w:p>
          <w:p w14:paraId="6022230E">
            <w:pPr>
              <w:keepNext w:val="0"/>
              <w:keepLines w:val="0"/>
              <w:pageBreakBefore w:val="0"/>
              <w:kinsoku/>
              <w:wordWrap w:val="0"/>
              <w:overflowPunct/>
              <w:topLinePunct w:val="0"/>
              <w:bidi w:val="0"/>
              <w:spacing w:before="62" w:line="230" w:lineRule="auto"/>
              <w:ind w:left="15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5304" w:type="dxa"/>
            <w:gridSpan w:val="4"/>
            <w:vAlign w:val="top"/>
          </w:tcPr>
          <w:p w14:paraId="35D769FC">
            <w:pPr>
              <w:pStyle w:val="27"/>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sz w:val="24"/>
                <w:szCs w:val="24"/>
                <w:highlight w:val="none"/>
              </w:rPr>
            </w:pPr>
          </w:p>
          <w:p w14:paraId="3EEA02B2">
            <w:pPr>
              <w:keepNext w:val="0"/>
              <w:keepLines w:val="0"/>
              <w:pageBreakBefore w:val="0"/>
              <w:kinsoku/>
              <w:wordWrap w:val="0"/>
              <w:overflowPunct/>
              <w:topLinePunct w:val="0"/>
              <w:bidi w:val="0"/>
              <w:spacing w:before="61" w:line="228" w:lineRule="auto"/>
              <w:ind w:left="176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证明材料原件名称</w:t>
            </w:r>
          </w:p>
        </w:tc>
        <w:tc>
          <w:tcPr>
            <w:tcW w:w="1771" w:type="dxa"/>
            <w:gridSpan w:val="2"/>
            <w:vAlign w:val="top"/>
          </w:tcPr>
          <w:p w14:paraId="66A03B25">
            <w:pPr>
              <w:pStyle w:val="27"/>
              <w:keepNext w:val="0"/>
              <w:keepLines w:val="0"/>
              <w:pageBreakBefore w:val="0"/>
              <w:kinsoku/>
              <w:wordWrap w:val="0"/>
              <w:overflowPunct/>
              <w:topLinePunct w:val="0"/>
              <w:bidi w:val="0"/>
              <w:spacing w:line="256" w:lineRule="auto"/>
              <w:ind w:right="84" w:rightChars="40"/>
              <w:rPr>
                <w:rFonts w:hint="eastAsia" w:ascii="宋体" w:hAnsi="宋体" w:eastAsia="宋体" w:cs="宋体"/>
                <w:color w:val="auto"/>
                <w:spacing w:val="0"/>
                <w:sz w:val="24"/>
                <w:szCs w:val="24"/>
                <w:highlight w:val="none"/>
              </w:rPr>
            </w:pPr>
          </w:p>
          <w:p w14:paraId="692559B5">
            <w:pPr>
              <w:keepNext w:val="0"/>
              <w:keepLines w:val="0"/>
              <w:pageBreakBefore w:val="0"/>
              <w:kinsoku/>
              <w:wordWrap w:val="0"/>
              <w:overflowPunct/>
              <w:topLinePunct w:val="0"/>
              <w:bidi w:val="0"/>
              <w:spacing w:before="62" w:line="230" w:lineRule="auto"/>
              <w:ind w:left="664"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单位</w:t>
            </w:r>
          </w:p>
        </w:tc>
        <w:tc>
          <w:tcPr>
            <w:tcW w:w="1637" w:type="dxa"/>
            <w:vAlign w:val="top"/>
          </w:tcPr>
          <w:p w14:paraId="3BEEA542">
            <w:pPr>
              <w:pStyle w:val="27"/>
              <w:keepNext w:val="0"/>
              <w:keepLines w:val="0"/>
              <w:pageBreakBefore w:val="0"/>
              <w:kinsoku/>
              <w:wordWrap w:val="0"/>
              <w:overflowPunct/>
              <w:topLinePunct w:val="0"/>
              <w:bidi w:val="0"/>
              <w:spacing w:line="256" w:lineRule="auto"/>
              <w:ind w:right="84" w:rightChars="40"/>
              <w:rPr>
                <w:rFonts w:hint="eastAsia" w:ascii="宋体" w:hAnsi="宋体" w:eastAsia="宋体" w:cs="宋体"/>
                <w:color w:val="auto"/>
                <w:spacing w:val="0"/>
                <w:sz w:val="24"/>
                <w:szCs w:val="24"/>
                <w:highlight w:val="none"/>
              </w:rPr>
            </w:pPr>
          </w:p>
          <w:p w14:paraId="6CE3B1D0">
            <w:pPr>
              <w:keepNext w:val="0"/>
              <w:keepLines w:val="0"/>
              <w:pageBreakBefore w:val="0"/>
              <w:kinsoku/>
              <w:wordWrap w:val="0"/>
              <w:overflowPunct/>
              <w:topLinePunct w:val="0"/>
              <w:bidi w:val="0"/>
              <w:spacing w:before="62" w:line="229" w:lineRule="auto"/>
              <w:ind w:left="592"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数量</w:t>
            </w:r>
          </w:p>
        </w:tc>
      </w:tr>
      <w:tr w14:paraId="4F82D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BE58E00">
            <w:pPr>
              <w:keepNext w:val="0"/>
              <w:keepLines w:val="0"/>
              <w:pageBreakBefore w:val="0"/>
              <w:kinsoku/>
              <w:wordWrap w:val="0"/>
              <w:overflowPunct/>
              <w:topLinePunct w:val="0"/>
              <w:bidi w:val="0"/>
              <w:spacing w:before="287" w:line="184" w:lineRule="auto"/>
              <w:ind w:left="31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5304" w:type="dxa"/>
            <w:gridSpan w:val="4"/>
            <w:vAlign w:val="top"/>
          </w:tcPr>
          <w:p w14:paraId="48BEE8B0">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771" w:type="dxa"/>
            <w:gridSpan w:val="2"/>
            <w:vAlign w:val="top"/>
          </w:tcPr>
          <w:p w14:paraId="69FF32C9">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637" w:type="dxa"/>
            <w:vAlign w:val="top"/>
          </w:tcPr>
          <w:p w14:paraId="23FE9655">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2DB2F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439F9AE2">
            <w:pPr>
              <w:keepNext w:val="0"/>
              <w:keepLines w:val="0"/>
              <w:pageBreakBefore w:val="0"/>
              <w:kinsoku/>
              <w:wordWrap w:val="0"/>
              <w:overflowPunct/>
              <w:topLinePunct w:val="0"/>
              <w:bidi w:val="0"/>
              <w:spacing w:before="288" w:line="183" w:lineRule="auto"/>
              <w:ind w:left="302"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5304" w:type="dxa"/>
            <w:gridSpan w:val="4"/>
            <w:vAlign w:val="top"/>
          </w:tcPr>
          <w:p w14:paraId="4F70EA65">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771" w:type="dxa"/>
            <w:gridSpan w:val="2"/>
            <w:vAlign w:val="top"/>
          </w:tcPr>
          <w:p w14:paraId="72C3C76C">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637" w:type="dxa"/>
            <w:vAlign w:val="top"/>
          </w:tcPr>
          <w:p w14:paraId="1969C218">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73152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4F34003A">
            <w:pPr>
              <w:keepNext w:val="0"/>
              <w:keepLines w:val="0"/>
              <w:pageBreakBefore w:val="0"/>
              <w:kinsoku/>
              <w:wordWrap w:val="0"/>
              <w:overflowPunct/>
              <w:topLinePunct w:val="0"/>
              <w:bidi w:val="0"/>
              <w:spacing w:before="287" w:line="183" w:lineRule="auto"/>
              <w:ind w:left="304"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w:t>
            </w:r>
          </w:p>
        </w:tc>
        <w:tc>
          <w:tcPr>
            <w:tcW w:w="5304" w:type="dxa"/>
            <w:gridSpan w:val="4"/>
            <w:vAlign w:val="top"/>
          </w:tcPr>
          <w:p w14:paraId="32F8469F">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771" w:type="dxa"/>
            <w:gridSpan w:val="2"/>
            <w:vAlign w:val="top"/>
          </w:tcPr>
          <w:p w14:paraId="7AD8029B">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637" w:type="dxa"/>
            <w:vAlign w:val="top"/>
          </w:tcPr>
          <w:p w14:paraId="6E7CE753">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00948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36DFC70">
            <w:pPr>
              <w:pStyle w:val="27"/>
              <w:keepNext w:val="0"/>
              <w:keepLines w:val="0"/>
              <w:pageBreakBefore w:val="0"/>
              <w:kinsoku/>
              <w:wordWrap w:val="0"/>
              <w:overflowPunct/>
              <w:topLinePunct w:val="0"/>
              <w:bidi w:val="0"/>
              <w:spacing w:line="348" w:lineRule="auto"/>
              <w:ind w:right="84" w:rightChars="40"/>
              <w:rPr>
                <w:rFonts w:hint="eastAsia" w:ascii="宋体" w:hAnsi="宋体" w:eastAsia="宋体" w:cs="宋体"/>
                <w:color w:val="auto"/>
                <w:spacing w:val="0"/>
                <w:sz w:val="24"/>
                <w:szCs w:val="24"/>
                <w:highlight w:val="none"/>
              </w:rPr>
            </w:pPr>
          </w:p>
          <w:p w14:paraId="6EBABEED">
            <w:pPr>
              <w:keepNext w:val="0"/>
              <w:keepLines w:val="0"/>
              <w:pageBreakBefore w:val="0"/>
              <w:kinsoku/>
              <w:wordWrap w:val="0"/>
              <w:overflowPunct/>
              <w:topLinePunct w:val="0"/>
              <w:bidi w:val="0"/>
              <w:spacing w:before="78" w:line="99" w:lineRule="exact"/>
              <w:ind w:left="186"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1"/>
                <w:sz w:val="24"/>
                <w:szCs w:val="24"/>
                <w:highlight w:val="none"/>
              </w:rPr>
              <w:t>...</w:t>
            </w:r>
          </w:p>
        </w:tc>
        <w:tc>
          <w:tcPr>
            <w:tcW w:w="5304" w:type="dxa"/>
            <w:gridSpan w:val="4"/>
            <w:vAlign w:val="top"/>
          </w:tcPr>
          <w:p w14:paraId="78AEE5FA">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771" w:type="dxa"/>
            <w:gridSpan w:val="2"/>
            <w:vAlign w:val="top"/>
          </w:tcPr>
          <w:p w14:paraId="56A6BE9F">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637" w:type="dxa"/>
            <w:vAlign w:val="top"/>
          </w:tcPr>
          <w:p w14:paraId="15AD4B06">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r>
      <w:tr w14:paraId="44067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5E70F2C3">
            <w:pPr>
              <w:pStyle w:val="27"/>
              <w:keepNext w:val="0"/>
              <w:keepLines w:val="0"/>
              <w:pageBreakBefore w:val="0"/>
              <w:kinsoku/>
              <w:wordWrap w:val="0"/>
              <w:overflowPunct/>
              <w:topLinePunct w:val="0"/>
              <w:bidi w:val="0"/>
              <w:spacing w:line="274" w:lineRule="auto"/>
              <w:ind w:right="84" w:rightChars="40"/>
              <w:rPr>
                <w:rFonts w:hint="eastAsia" w:ascii="宋体" w:hAnsi="宋体" w:eastAsia="宋体" w:cs="宋体"/>
                <w:color w:val="auto"/>
                <w:spacing w:val="0"/>
                <w:sz w:val="24"/>
                <w:szCs w:val="24"/>
                <w:highlight w:val="none"/>
              </w:rPr>
            </w:pPr>
          </w:p>
          <w:p w14:paraId="12A84F17">
            <w:pPr>
              <w:pStyle w:val="27"/>
              <w:keepNext w:val="0"/>
              <w:keepLines w:val="0"/>
              <w:pageBreakBefore w:val="0"/>
              <w:kinsoku/>
              <w:wordWrap w:val="0"/>
              <w:overflowPunct/>
              <w:topLinePunct w:val="0"/>
              <w:bidi w:val="0"/>
              <w:spacing w:line="275" w:lineRule="auto"/>
              <w:ind w:right="84" w:rightChars="40"/>
              <w:rPr>
                <w:rFonts w:hint="eastAsia" w:ascii="宋体" w:hAnsi="宋体" w:eastAsia="宋体" w:cs="宋体"/>
                <w:color w:val="auto"/>
                <w:spacing w:val="0"/>
                <w:sz w:val="24"/>
                <w:szCs w:val="24"/>
                <w:highlight w:val="none"/>
              </w:rPr>
            </w:pPr>
          </w:p>
          <w:p w14:paraId="4DCB2179">
            <w:pPr>
              <w:pStyle w:val="27"/>
              <w:keepNext w:val="0"/>
              <w:keepLines w:val="0"/>
              <w:pageBreakBefore w:val="0"/>
              <w:kinsoku/>
              <w:wordWrap w:val="0"/>
              <w:overflowPunct/>
              <w:topLinePunct w:val="0"/>
              <w:bidi w:val="0"/>
              <w:spacing w:line="275" w:lineRule="auto"/>
              <w:ind w:right="84" w:rightChars="40"/>
              <w:rPr>
                <w:rFonts w:hint="eastAsia" w:ascii="宋体" w:hAnsi="宋体" w:eastAsia="宋体" w:cs="宋体"/>
                <w:color w:val="auto"/>
                <w:spacing w:val="0"/>
                <w:sz w:val="24"/>
                <w:szCs w:val="24"/>
                <w:highlight w:val="none"/>
              </w:rPr>
            </w:pPr>
          </w:p>
          <w:p w14:paraId="0A613965">
            <w:pPr>
              <w:keepNext w:val="0"/>
              <w:keepLines w:val="0"/>
              <w:pageBreakBefore w:val="0"/>
              <w:kinsoku/>
              <w:wordWrap w:val="0"/>
              <w:overflowPunct/>
              <w:topLinePunct w:val="0"/>
              <w:bidi w:val="0"/>
              <w:spacing w:before="62" w:line="233" w:lineRule="auto"/>
              <w:ind w:left="29"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注意：</w:t>
            </w:r>
          </w:p>
        </w:tc>
        <w:tc>
          <w:tcPr>
            <w:tcW w:w="8712" w:type="dxa"/>
            <w:gridSpan w:val="7"/>
            <w:vAlign w:val="top"/>
          </w:tcPr>
          <w:p w14:paraId="04434907">
            <w:pPr>
              <w:keepNext w:val="0"/>
              <w:keepLines w:val="0"/>
              <w:pageBreakBefore w:val="0"/>
              <w:kinsoku/>
              <w:wordWrap w:val="0"/>
              <w:overflowPunct/>
              <w:topLinePunct w:val="0"/>
              <w:bidi w:val="0"/>
              <w:spacing w:before="148"/>
              <w:ind w:left="111" w:right="84" w:rightChars="40" w:firstLine="48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 内容及真实性负责。</w:t>
            </w:r>
          </w:p>
        </w:tc>
      </w:tr>
      <w:tr w14:paraId="1CF26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761E9651">
            <w:pPr>
              <w:pStyle w:val="27"/>
              <w:keepNext w:val="0"/>
              <w:keepLines w:val="0"/>
              <w:pageBreakBefore w:val="0"/>
              <w:kinsoku/>
              <w:wordWrap w:val="0"/>
              <w:overflowPunct/>
              <w:topLinePunct w:val="0"/>
              <w:bidi w:val="0"/>
              <w:spacing w:line="240" w:lineRule="auto"/>
              <w:ind w:right="84" w:rightChars="40"/>
              <w:rPr>
                <w:rFonts w:hint="eastAsia" w:ascii="宋体" w:hAnsi="宋体" w:eastAsia="宋体" w:cs="宋体"/>
                <w:color w:val="auto"/>
                <w:spacing w:val="0"/>
                <w:sz w:val="24"/>
                <w:szCs w:val="24"/>
                <w:highlight w:val="none"/>
              </w:rPr>
            </w:pPr>
          </w:p>
          <w:p w14:paraId="2A419AAE">
            <w:pPr>
              <w:keepNext w:val="0"/>
              <w:keepLines w:val="0"/>
              <w:pageBreakBefore w:val="0"/>
              <w:kinsoku/>
              <w:wordWrap w:val="0"/>
              <w:overflowPunct/>
              <w:topLinePunct w:val="0"/>
              <w:bidi w:val="0"/>
              <w:spacing w:before="61" w:line="240" w:lineRule="auto"/>
              <w:ind w:left="760" w:right="84" w:rightChars="40" w:hanging="6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接收原件经办人</w:t>
            </w:r>
          </w:p>
          <w:p w14:paraId="1690E6DB">
            <w:pPr>
              <w:keepNext w:val="0"/>
              <w:keepLines w:val="0"/>
              <w:pageBreakBefore w:val="0"/>
              <w:kinsoku/>
              <w:wordWrap w:val="0"/>
              <w:overflowPunct/>
              <w:topLinePunct w:val="0"/>
              <w:bidi w:val="0"/>
              <w:spacing w:before="61" w:line="240" w:lineRule="auto"/>
              <w:ind w:left="760" w:right="84" w:rightChars="40" w:hanging="6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(招标代理)：</w:t>
            </w:r>
          </w:p>
        </w:tc>
        <w:tc>
          <w:tcPr>
            <w:tcW w:w="1725" w:type="dxa"/>
            <w:vAlign w:val="top"/>
          </w:tcPr>
          <w:p w14:paraId="275A8985">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683" w:type="dxa"/>
            <w:gridSpan w:val="2"/>
            <w:vAlign w:val="top"/>
          </w:tcPr>
          <w:p w14:paraId="1474D634">
            <w:pPr>
              <w:pStyle w:val="27"/>
              <w:keepNext w:val="0"/>
              <w:keepLines w:val="0"/>
              <w:pageBreakBefore w:val="0"/>
              <w:kinsoku/>
              <w:wordWrap w:val="0"/>
              <w:overflowPunct/>
              <w:topLinePunct w:val="0"/>
              <w:bidi w:val="0"/>
              <w:spacing w:line="288" w:lineRule="auto"/>
              <w:ind w:right="84" w:rightChars="40"/>
              <w:rPr>
                <w:rFonts w:hint="eastAsia" w:ascii="宋体" w:hAnsi="宋体" w:eastAsia="宋体" w:cs="宋体"/>
                <w:color w:val="auto"/>
                <w:spacing w:val="0"/>
                <w:sz w:val="24"/>
                <w:szCs w:val="24"/>
                <w:highlight w:val="none"/>
              </w:rPr>
            </w:pPr>
          </w:p>
          <w:p w14:paraId="6DC3DCF2">
            <w:pPr>
              <w:pStyle w:val="27"/>
              <w:keepNext w:val="0"/>
              <w:keepLines w:val="0"/>
              <w:pageBreakBefore w:val="0"/>
              <w:kinsoku/>
              <w:wordWrap w:val="0"/>
              <w:overflowPunct/>
              <w:topLinePunct w:val="0"/>
              <w:bidi w:val="0"/>
              <w:spacing w:line="289" w:lineRule="auto"/>
              <w:ind w:right="84" w:rightChars="40"/>
              <w:rPr>
                <w:rFonts w:hint="eastAsia" w:ascii="宋体" w:hAnsi="宋体" w:eastAsia="宋体" w:cs="宋体"/>
                <w:color w:val="auto"/>
                <w:spacing w:val="0"/>
                <w:sz w:val="24"/>
                <w:szCs w:val="24"/>
                <w:highlight w:val="none"/>
              </w:rPr>
            </w:pPr>
          </w:p>
          <w:p w14:paraId="6674EC6F">
            <w:pPr>
              <w:keepNext w:val="0"/>
              <w:keepLines w:val="0"/>
              <w:pageBreakBefore w:val="0"/>
              <w:kinsoku/>
              <w:wordWrap w:val="0"/>
              <w:overflowPunct/>
              <w:topLinePunct w:val="0"/>
              <w:bidi w:val="0"/>
              <w:spacing w:before="62" w:line="229" w:lineRule="auto"/>
              <w:ind w:left="315"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接收时间：</w:t>
            </w:r>
          </w:p>
        </w:tc>
        <w:tc>
          <w:tcPr>
            <w:tcW w:w="3408" w:type="dxa"/>
            <w:gridSpan w:val="3"/>
            <w:vAlign w:val="top"/>
          </w:tcPr>
          <w:p w14:paraId="14CF6FE5">
            <w:pPr>
              <w:pStyle w:val="27"/>
              <w:keepNext w:val="0"/>
              <w:keepLines w:val="0"/>
              <w:pageBreakBefore w:val="0"/>
              <w:kinsoku/>
              <w:wordWrap w:val="0"/>
              <w:overflowPunct/>
              <w:topLinePunct w:val="0"/>
              <w:bidi w:val="0"/>
              <w:spacing w:line="288" w:lineRule="auto"/>
              <w:ind w:right="84" w:rightChars="40"/>
              <w:rPr>
                <w:rFonts w:hint="eastAsia" w:ascii="宋体" w:hAnsi="宋体" w:eastAsia="宋体" w:cs="宋体"/>
                <w:color w:val="auto"/>
                <w:spacing w:val="0"/>
                <w:sz w:val="24"/>
                <w:szCs w:val="24"/>
                <w:highlight w:val="none"/>
              </w:rPr>
            </w:pPr>
          </w:p>
          <w:p w14:paraId="4D2D58A7">
            <w:pPr>
              <w:pStyle w:val="27"/>
              <w:keepNext w:val="0"/>
              <w:keepLines w:val="0"/>
              <w:pageBreakBefore w:val="0"/>
              <w:kinsoku/>
              <w:wordWrap w:val="0"/>
              <w:overflowPunct/>
              <w:topLinePunct w:val="0"/>
              <w:bidi w:val="0"/>
              <w:spacing w:line="289" w:lineRule="auto"/>
              <w:ind w:right="84" w:rightChars="40"/>
              <w:rPr>
                <w:rFonts w:hint="eastAsia" w:ascii="宋体" w:hAnsi="宋体" w:eastAsia="宋体" w:cs="宋体"/>
                <w:color w:val="auto"/>
                <w:spacing w:val="0"/>
                <w:sz w:val="24"/>
                <w:szCs w:val="24"/>
                <w:highlight w:val="none"/>
              </w:rPr>
            </w:pPr>
          </w:p>
          <w:p w14:paraId="705600D0">
            <w:pPr>
              <w:keepNext w:val="0"/>
              <w:keepLines w:val="0"/>
              <w:pageBreakBefore w:val="0"/>
              <w:kinsoku/>
              <w:wordWrap w:val="0"/>
              <w:overflowPunct/>
              <w:topLinePunct w:val="0"/>
              <w:bidi w:val="0"/>
              <w:spacing w:before="62" w:line="229" w:lineRule="auto"/>
              <w:ind w:right="84" w:rightChars="4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月   日   时  分</w:t>
            </w:r>
          </w:p>
        </w:tc>
      </w:tr>
      <w:tr w14:paraId="25E6C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2EB55666">
            <w:pPr>
              <w:keepNext w:val="0"/>
              <w:keepLines w:val="0"/>
              <w:pageBreakBefore w:val="0"/>
              <w:kinsoku/>
              <w:wordWrap w:val="0"/>
              <w:overflowPunct/>
              <w:topLinePunct w:val="0"/>
              <w:bidi w:val="0"/>
              <w:spacing w:before="155" w:line="240" w:lineRule="auto"/>
              <w:ind w:left="861" w:right="84" w:rightChars="40" w:hanging="69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退还原件接收人</w:t>
            </w:r>
          </w:p>
          <w:p w14:paraId="1CDD5251">
            <w:pPr>
              <w:keepNext w:val="0"/>
              <w:keepLines w:val="0"/>
              <w:pageBreakBefore w:val="0"/>
              <w:kinsoku/>
              <w:wordWrap w:val="0"/>
              <w:overflowPunct/>
              <w:topLinePunct w:val="0"/>
              <w:bidi w:val="0"/>
              <w:spacing w:before="155" w:line="240" w:lineRule="auto"/>
              <w:ind w:left="861" w:right="84" w:rightChars="40" w:hanging="69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p>
        </w:tc>
        <w:tc>
          <w:tcPr>
            <w:tcW w:w="1725" w:type="dxa"/>
            <w:vAlign w:val="top"/>
          </w:tcPr>
          <w:p w14:paraId="66FA3EB1">
            <w:pPr>
              <w:pStyle w:val="27"/>
              <w:keepNext w:val="0"/>
              <w:keepLines w:val="0"/>
              <w:pageBreakBefore w:val="0"/>
              <w:kinsoku/>
              <w:wordWrap w:val="0"/>
              <w:overflowPunct/>
              <w:topLinePunct w:val="0"/>
              <w:bidi w:val="0"/>
              <w:ind w:right="84" w:rightChars="40"/>
              <w:rPr>
                <w:rFonts w:hint="eastAsia" w:ascii="宋体" w:hAnsi="宋体" w:eastAsia="宋体" w:cs="宋体"/>
                <w:color w:val="auto"/>
                <w:spacing w:val="0"/>
                <w:sz w:val="24"/>
                <w:szCs w:val="24"/>
                <w:highlight w:val="none"/>
              </w:rPr>
            </w:pPr>
          </w:p>
        </w:tc>
        <w:tc>
          <w:tcPr>
            <w:tcW w:w="1683" w:type="dxa"/>
            <w:gridSpan w:val="2"/>
            <w:vAlign w:val="top"/>
          </w:tcPr>
          <w:p w14:paraId="37AC43BC">
            <w:pPr>
              <w:pStyle w:val="27"/>
              <w:keepNext w:val="0"/>
              <w:keepLines w:val="0"/>
              <w:pageBreakBefore w:val="0"/>
              <w:kinsoku/>
              <w:wordWrap w:val="0"/>
              <w:overflowPunct/>
              <w:topLinePunct w:val="0"/>
              <w:bidi w:val="0"/>
              <w:spacing w:line="336" w:lineRule="auto"/>
              <w:ind w:right="84" w:rightChars="40"/>
              <w:rPr>
                <w:rFonts w:hint="eastAsia" w:ascii="宋体" w:hAnsi="宋体" w:eastAsia="宋体" w:cs="宋体"/>
                <w:color w:val="auto"/>
                <w:spacing w:val="0"/>
                <w:sz w:val="24"/>
                <w:szCs w:val="24"/>
                <w:highlight w:val="none"/>
              </w:rPr>
            </w:pPr>
          </w:p>
          <w:p w14:paraId="3C24FA50">
            <w:pPr>
              <w:keepNext w:val="0"/>
              <w:keepLines w:val="0"/>
              <w:pageBreakBefore w:val="0"/>
              <w:kinsoku/>
              <w:wordWrap w:val="0"/>
              <w:overflowPunct/>
              <w:topLinePunct w:val="0"/>
              <w:bidi w:val="0"/>
              <w:spacing w:before="61" w:line="231" w:lineRule="auto"/>
              <w:ind w:left="317" w:right="84" w:rightChars="4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退还时间：</w:t>
            </w:r>
          </w:p>
        </w:tc>
        <w:tc>
          <w:tcPr>
            <w:tcW w:w="3408" w:type="dxa"/>
            <w:gridSpan w:val="3"/>
            <w:vAlign w:val="top"/>
          </w:tcPr>
          <w:p w14:paraId="7DD435CD">
            <w:pPr>
              <w:pStyle w:val="27"/>
              <w:keepNext w:val="0"/>
              <w:keepLines w:val="0"/>
              <w:pageBreakBefore w:val="0"/>
              <w:kinsoku/>
              <w:wordWrap w:val="0"/>
              <w:overflowPunct/>
              <w:topLinePunct w:val="0"/>
              <w:bidi w:val="0"/>
              <w:spacing w:line="335" w:lineRule="auto"/>
              <w:ind w:right="84" w:rightChars="40"/>
              <w:rPr>
                <w:rFonts w:hint="eastAsia" w:ascii="宋体" w:hAnsi="宋体" w:eastAsia="宋体" w:cs="宋体"/>
                <w:color w:val="auto"/>
                <w:spacing w:val="0"/>
                <w:sz w:val="24"/>
                <w:szCs w:val="24"/>
                <w:highlight w:val="none"/>
              </w:rPr>
            </w:pPr>
          </w:p>
          <w:p w14:paraId="683946A7">
            <w:pPr>
              <w:keepNext w:val="0"/>
              <w:keepLines w:val="0"/>
              <w:pageBreakBefore w:val="0"/>
              <w:kinsoku/>
              <w:wordWrap w:val="0"/>
              <w:overflowPunct/>
              <w:topLinePunct w:val="0"/>
              <w:bidi w:val="0"/>
              <w:spacing w:before="62" w:line="229" w:lineRule="auto"/>
              <w:ind w:right="84" w:rightChars="4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月   日  时   分</w:t>
            </w:r>
          </w:p>
        </w:tc>
      </w:tr>
    </w:tbl>
    <w:p w14:paraId="7FF2268B">
      <w:pPr>
        <w:keepNext w:val="0"/>
        <w:keepLines w:val="0"/>
        <w:pageBreakBefore w:val="0"/>
        <w:kinsoku/>
        <w:wordWrap w:val="0"/>
        <w:overflowPunct/>
        <w:topLinePunct w:val="0"/>
        <w:bidi w:val="0"/>
        <w:ind w:right="84" w:rightChars="40"/>
        <w:rPr>
          <w:rFonts w:hint="eastAsia" w:ascii="宋体" w:hAnsi="宋体" w:eastAsia="宋体" w:cs="宋体"/>
          <w:b/>
          <w:bCs/>
          <w:color w:val="auto"/>
          <w:spacing w:val="0"/>
          <w:sz w:val="24"/>
          <w:szCs w:val="24"/>
          <w:highlight w:val="none"/>
        </w:rPr>
      </w:pPr>
      <w:bookmarkStart w:id="274" w:name="bookmark107"/>
      <w:bookmarkEnd w:id="274"/>
      <w:r>
        <w:rPr>
          <w:rFonts w:hint="eastAsia" w:ascii="宋体" w:hAnsi="宋体" w:eastAsia="宋体" w:cs="宋体"/>
          <w:b/>
          <w:bCs/>
          <w:color w:val="auto"/>
          <w:spacing w:val="0"/>
          <w:sz w:val="24"/>
          <w:szCs w:val="24"/>
          <w:highlight w:val="none"/>
        </w:rPr>
        <w:br w:type="page"/>
      </w:r>
    </w:p>
    <w:p w14:paraId="4B0574CF">
      <w:pPr>
        <w:pStyle w:val="53"/>
        <w:keepNext w:val="0"/>
        <w:keepLines w:val="0"/>
        <w:pageBreakBefore w:val="0"/>
        <w:kinsoku/>
        <w:bidi w:val="0"/>
        <w:snapToGrid w:val="0"/>
        <w:spacing w:line="440" w:lineRule="exact"/>
        <w:ind w:right="84" w:rightChars="40" w:firstLine="0"/>
        <w:outlineLvl w:val="2"/>
        <w:rPr>
          <w:rStyle w:val="26"/>
          <w:rFonts w:hint="eastAsia" w:ascii="宋体" w:hAnsi="宋体" w:eastAsia="宋体" w:cs="宋体"/>
          <w:b/>
          <w:bCs/>
          <w:color w:val="auto"/>
          <w:sz w:val="21"/>
          <w:szCs w:val="21"/>
          <w:highlight w:val="none"/>
        </w:rPr>
      </w:pPr>
      <w:bookmarkStart w:id="275" w:name="_Toc26911"/>
      <w:bookmarkStart w:id="276" w:name="_Toc19235"/>
      <w:bookmarkStart w:id="277" w:name="_Toc26133"/>
      <w:bookmarkStart w:id="278" w:name="_Toc22112"/>
      <w:r>
        <w:rPr>
          <w:rStyle w:val="26"/>
          <w:rFonts w:hint="eastAsia" w:ascii="宋体" w:hAnsi="宋体" w:eastAsia="宋体" w:cs="宋体"/>
          <w:b/>
          <w:bCs/>
          <w:snapToGrid w:val="0"/>
          <w:color w:val="auto"/>
          <w:kern w:val="2"/>
          <w:sz w:val="21"/>
          <w:szCs w:val="21"/>
          <w:highlight w:val="none"/>
          <w:lang w:eastAsia="en-US"/>
        </w:rPr>
        <w:t>格式十</w:t>
      </w:r>
      <w:r>
        <w:rPr>
          <w:rStyle w:val="26"/>
          <w:rFonts w:hint="eastAsia" w:ascii="宋体" w:hAnsi="宋体" w:eastAsia="宋体" w:cs="宋体"/>
          <w:b/>
          <w:bCs/>
          <w:snapToGrid w:val="0"/>
          <w:color w:val="auto"/>
          <w:kern w:val="2"/>
          <w:sz w:val="21"/>
          <w:szCs w:val="21"/>
          <w:highlight w:val="none"/>
          <w:lang w:val="en-US" w:eastAsia="zh-CN"/>
        </w:rPr>
        <w:t>五</w:t>
      </w:r>
      <w:r>
        <w:rPr>
          <w:rStyle w:val="26"/>
          <w:rFonts w:hint="eastAsia" w:ascii="宋体" w:hAnsi="宋体" w:eastAsia="宋体" w:cs="宋体"/>
          <w:b/>
          <w:bCs/>
          <w:snapToGrid w:val="0"/>
          <w:color w:val="auto"/>
          <w:kern w:val="2"/>
          <w:sz w:val="21"/>
          <w:szCs w:val="21"/>
          <w:highlight w:val="none"/>
          <w:lang w:eastAsia="en-US"/>
        </w:rPr>
        <w:t xml:space="preserve"> 定标因素评审资料</w:t>
      </w:r>
      <w:bookmarkEnd w:id="275"/>
      <w:bookmarkEnd w:id="276"/>
      <w:bookmarkEnd w:id="277"/>
      <w:bookmarkEnd w:id="278"/>
    </w:p>
    <w:p w14:paraId="3FDDD85F">
      <w:pPr>
        <w:keepNext w:val="0"/>
        <w:keepLines w:val="0"/>
        <w:pageBreakBefore w:val="0"/>
        <w:kinsoku/>
        <w:autoSpaceDE/>
        <w:autoSpaceDN/>
        <w:bidi w:val="0"/>
        <w:adjustRightInd/>
        <w:snapToGrid/>
        <w:spacing w:line="500" w:lineRule="exact"/>
        <w:ind w:right="84" w:rightChars="40"/>
        <w:jc w:val="center"/>
        <w:rPr>
          <w:rFonts w:hint="eastAsia" w:ascii="宋体" w:hAnsi="宋体" w:eastAsia="宋体" w:cs="宋体"/>
          <w:b/>
          <w:bCs/>
          <w:snapToGrid/>
          <w:color w:val="auto"/>
          <w:kern w:val="2"/>
          <w:sz w:val="30"/>
          <w:szCs w:val="30"/>
          <w:highlight w:val="none"/>
          <w:lang w:eastAsia="zh-CN"/>
        </w:rPr>
      </w:pPr>
      <w:r>
        <w:rPr>
          <w:rFonts w:hint="eastAsia" w:ascii="宋体" w:hAnsi="宋体" w:eastAsia="宋体" w:cs="宋体"/>
          <w:b/>
          <w:bCs/>
          <w:snapToGrid/>
          <w:color w:val="auto"/>
          <w:kern w:val="2"/>
          <w:sz w:val="24"/>
          <w:szCs w:val="24"/>
          <w:highlight w:val="none"/>
          <w:lang w:eastAsia="zh-CN"/>
        </w:rPr>
        <w:t>定标因素评审资料</w:t>
      </w:r>
    </w:p>
    <w:p w14:paraId="6DCF793B">
      <w:pPr>
        <w:keepNext w:val="0"/>
        <w:keepLines w:val="0"/>
        <w:pageBreakBefore w:val="0"/>
        <w:kinsoku/>
        <w:autoSpaceDE/>
        <w:autoSpaceDN/>
        <w:bidi w:val="0"/>
        <w:adjustRightInd/>
        <w:snapToGrid/>
        <w:spacing w:line="360" w:lineRule="auto"/>
        <w:ind w:right="84" w:rightChars="40"/>
        <w:rPr>
          <w:rFonts w:hint="eastAsia" w:ascii="宋体" w:hAnsi="宋体" w:eastAsia="宋体" w:cs="宋体"/>
          <w:snapToGrid/>
          <w:color w:val="auto"/>
          <w:kern w:val="2"/>
          <w:sz w:val="24"/>
          <w:szCs w:val="24"/>
          <w:highlight w:val="none"/>
          <w:lang w:eastAsia="zh-CN"/>
        </w:rPr>
      </w:pPr>
    </w:p>
    <w:p w14:paraId="7AB4D12E">
      <w:pPr>
        <w:keepNext w:val="0"/>
        <w:keepLines w:val="0"/>
        <w:pageBreakBefore w:val="0"/>
        <w:kinsoku/>
        <w:bidi w:val="0"/>
        <w:ind w:right="84" w:rightChars="40"/>
        <w:rPr>
          <w:rFonts w:hint="eastAsia" w:ascii="宋体" w:hAnsi="宋体" w:eastAsia="宋体" w:cs="宋体"/>
          <w:b/>
          <w:bCs/>
          <w:color w:val="auto"/>
          <w:spacing w:val="0"/>
          <w:sz w:val="24"/>
          <w:szCs w:val="24"/>
          <w:highlight w:val="none"/>
        </w:rPr>
      </w:pPr>
      <w:r>
        <w:rPr>
          <w:rFonts w:hint="eastAsia" w:ascii="宋体" w:hAnsi="宋体" w:eastAsia="宋体" w:cs="宋体"/>
          <w:color w:val="auto"/>
          <w:sz w:val="24"/>
          <w:szCs w:val="24"/>
          <w:highlight w:val="none"/>
          <w:lang w:eastAsia="zh-CN"/>
        </w:rPr>
        <w:t>投标人根据“第一章 第五节 定标规定及细则”载明的定标因素，提交评审资料。</w:t>
      </w:r>
    </w:p>
    <w:p w14:paraId="1A80573E">
      <w:pPr>
        <w:keepNext w:val="0"/>
        <w:keepLines w:val="0"/>
        <w:pageBreakBefore w:val="0"/>
        <w:kinsoku/>
        <w:bidi w:val="0"/>
        <w:ind w:right="84" w:rightChars="4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3E438A30">
      <w:pPr>
        <w:keepNext w:val="0"/>
        <w:keepLines w:val="0"/>
        <w:pageBreakBefore w:val="0"/>
        <w:kinsoku/>
        <w:wordWrap w:val="0"/>
        <w:overflowPunct/>
        <w:topLinePunct w:val="0"/>
        <w:bidi w:val="0"/>
        <w:spacing w:before="78" w:line="219" w:lineRule="auto"/>
        <w:ind w:right="84" w:rightChars="40"/>
        <w:jc w:val="center"/>
        <w:outlineLvl w:val="1"/>
        <w:rPr>
          <w:rFonts w:hint="eastAsia" w:ascii="宋体" w:hAnsi="宋体" w:eastAsia="宋体" w:cs="宋体"/>
          <w:color w:val="auto"/>
          <w:spacing w:val="0"/>
          <w:highlight w:val="none"/>
        </w:rPr>
      </w:pPr>
      <w:bookmarkStart w:id="279" w:name="_Toc22945"/>
      <w:r>
        <w:rPr>
          <w:rFonts w:hint="eastAsia" w:ascii="宋体" w:hAnsi="宋体" w:eastAsia="宋体" w:cs="宋体"/>
          <w:b/>
          <w:bCs/>
          <w:color w:val="auto"/>
          <w:spacing w:val="0"/>
          <w:sz w:val="24"/>
          <w:szCs w:val="24"/>
          <w:highlight w:val="none"/>
        </w:rPr>
        <w:t>第七章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建设工程施工合同</w:t>
      </w:r>
      <w:bookmarkEnd w:id="279"/>
    </w:p>
    <w:p w14:paraId="0F14ACDF">
      <w:pPr>
        <w:pStyle w:val="5"/>
        <w:keepNext w:val="0"/>
        <w:keepLines w:val="0"/>
        <w:pageBreakBefore w:val="0"/>
        <w:kinsoku/>
        <w:wordWrap w:val="0"/>
        <w:overflowPunct/>
        <w:topLinePunct w:val="0"/>
        <w:bidi w:val="0"/>
        <w:spacing w:line="257" w:lineRule="auto"/>
        <w:ind w:right="84" w:rightChars="40"/>
        <w:rPr>
          <w:rFonts w:hint="eastAsia" w:ascii="宋体" w:hAnsi="宋体" w:eastAsia="宋体" w:cs="宋体"/>
          <w:color w:val="auto"/>
          <w:spacing w:val="0"/>
          <w:highlight w:val="none"/>
        </w:rPr>
      </w:pPr>
    </w:p>
    <w:p w14:paraId="151CC36E">
      <w:pPr>
        <w:keepNext w:val="0"/>
        <w:keepLines w:val="0"/>
        <w:pageBreakBefore w:val="0"/>
        <w:kinsoku/>
        <w:wordWrap w:val="0"/>
        <w:overflowPunct/>
        <w:topLinePunct w:val="0"/>
        <w:bidi w:val="0"/>
        <w:spacing w:before="78" w:line="324" w:lineRule="auto"/>
        <w:ind w:right="84" w:rightChars="40"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（略），按《广东省建设工程标准施工合同》（2009 年版）或《建设工程施工合同（示范文本）》（GF—2017—0201）执行。</w:t>
      </w:r>
    </w:p>
    <w:p w14:paraId="01801F5B">
      <w:pPr>
        <w:keepNext w:val="0"/>
        <w:keepLines w:val="0"/>
        <w:pageBreakBefore w:val="0"/>
        <w:kinsoku/>
        <w:wordWrap w:val="0"/>
        <w:overflowPunct/>
        <w:topLinePunct w:val="0"/>
        <w:bidi w:val="0"/>
        <w:ind w:right="84" w:rightChars="40"/>
        <w:rPr>
          <w:rFonts w:hint="eastAsia" w:ascii="宋体" w:hAnsi="宋体" w:eastAsia="宋体" w:cs="宋体"/>
          <w:color w:val="auto"/>
          <w:spacing w:val="0"/>
          <w:highlight w:val="none"/>
        </w:rPr>
      </w:pPr>
    </w:p>
    <w:sectPr>
      <w:footerReference r:id="rId2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0A28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6E4A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A77C8">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0A77C8">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A2642">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53644F">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53644F">
                    <w:pPr>
                      <w:pStyle w:val="8"/>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6D71C">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4F71FC">
                          <w:pPr>
                            <w:pStyle w:val="8"/>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D4F71FC">
                    <w:pPr>
                      <w:pStyle w:val="8"/>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6F2EB">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F448F7">
                          <w:pPr>
                            <w:pStyle w:val="8"/>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HiCcoBAACb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dvKH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kHiCcoBAACbAwAADgAAAAAAAAABACAAAAAeAQAAZHJzL2Uyb0Rv&#10;Yy54bWxQSwUGAAAAAAYABgBZAQAAWgUAAAAA&#10;">
              <v:fill on="f" focussize="0,0"/>
              <v:stroke on="f"/>
              <v:imagedata o:title=""/>
              <o:lock v:ext="edit" aspectratio="f"/>
              <v:textbox inset="0mm,0mm,0mm,0mm" style="mso-fit-shape-to-text:t;">
                <w:txbxContent>
                  <w:p w14:paraId="6DF448F7">
                    <w:pPr>
                      <w:pStyle w:val="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1E147">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DBAC9">
                          <w:pPr>
                            <w:pStyle w:val="8"/>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40DBAC9">
                    <w:pPr>
                      <w:pStyle w:val="8"/>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BFC2D">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91286">
                          <w:pPr>
                            <w:pStyle w:val="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F091286">
                    <w:pPr>
                      <w:pStyle w:val="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DF844">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DB81C9">
                          <w:pPr>
                            <w:pStyle w:val="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8DB81C9">
                    <w:pPr>
                      <w:pStyle w:val="8"/>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67EE6">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B08799">
                          <w:pPr>
                            <w:pStyle w:val="8"/>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3B08799">
                    <w:pPr>
                      <w:pStyle w:val="8"/>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111AF">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EB88D6">
                          <w:pPr>
                            <w:pStyle w:val="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AEB88D6">
                    <w:pPr>
                      <w:pStyle w:val="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3D4B">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9540B">
                          <w:pPr>
                            <w:pStyle w:val="8"/>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C9540B">
                    <w:pPr>
                      <w:pStyle w:val="8"/>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CA7E8">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A68BB">
                          <w:pPr>
                            <w:pStyle w:val="8"/>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BFA68BB">
                    <w:pPr>
                      <w:pStyle w:val="8"/>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B6E0A">
    <w:pPr>
      <w:pStyle w:val="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5CEF52">
                          <w:pPr>
                            <w:pStyle w:val="8"/>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55CEF52">
                    <w:pPr>
                      <w:pStyle w:val="8"/>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D6CBA">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93DF6">
                          <w:pPr>
                            <w:pStyle w:val="8"/>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C393DF6">
                    <w:pPr>
                      <w:pStyle w:val="8"/>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4F25A">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58473">
                          <w:pPr>
                            <w:pStyle w:val="8"/>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5158473">
                    <w:pPr>
                      <w:pStyle w:val="8"/>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3A765">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8E82C">
                          <w:pPr>
                            <w:pStyle w:val="8"/>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4A68E82C">
                    <w:pPr>
                      <w:pStyle w:val="8"/>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0510">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35F8D">
                          <w:pPr>
                            <w:pStyle w:val="8"/>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6235F8D">
                    <w:pPr>
                      <w:pStyle w:val="8"/>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0073A">
    <w:pPr>
      <w:pStyle w:val="8"/>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6AC4E">
                          <w:pPr>
                            <w:pStyle w:val="8"/>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B16AC4E">
                    <w:pPr>
                      <w:pStyle w:val="8"/>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4F5C4">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0A844">
                          <w:pPr>
                            <w:pStyle w:val="8"/>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7F40A844">
                    <w:pPr>
                      <w:pStyle w:val="8"/>
                    </w:pPr>
                    <w:r>
                      <w:fldChar w:fldCharType="begin"/>
                    </w:r>
                    <w:r>
                      <w:instrText xml:space="preserve"> PAGE  \* MERGEFORMAT </w:instrText>
                    </w:r>
                    <w:r>
                      <w:fldChar w:fldCharType="separate"/>
                    </w:r>
                    <w:r>
                      <w:t>80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A3C7A">
    <w:pPr>
      <w:pStyle w:val="5"/>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2D440">
    <w:pPr>
      <w:pStyle w:val="5"/>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978D7">
    <w:pPr>
      <w:pStyle w:val="5"/>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AFDFD">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CF133E"/>
    <w:multiLevelType w:val="singleLevel"/>
    <w:tmpl w:val="ADCF133E"/>
    <w:lvl w:ilvl="0" w:tentative="0">
      <w:start w:val="1"/>
      <w:numFmt w:val="decimal"/>
      <w:lvlText w:val="%1."/>
      <w:lvlJc w:val="left"/>
      <w:pPr>
        <w:tabs>
          <w:tab w:val="left" w:pos="312"/>
        </w:tabs>
      </w:pPr>
    </w:lvl>
  </w:abstractNum>
  <w:abstractNum w:abstractNumId="1">
    <w:nsid w:val="E20AC373"/>
    <w:multiLevelType w:val="singleLevel"/>
    <w:tmpl w:val="E20AC373"/>
    <w:lvl w:ilvl="0" w:tentative="0">
      <w:start w:val="1"/>
      <w:numFmt w:val="decimal"/>
      <w:lvlText w:val="%1."/>
      <w:lvlJc w:val="left"/>
      <w:pPr>
        <w:tabs>
          <w:tab w:val="left" w:pos="312"/>
        </w:tabs>
      </w:pPr>
    </w:lvl>
  </w:abstractNum>
  <w:abstractNum w:abstractNumId="2">
    <w:nsid w:val="E6C9BDCA"/>
    <w:multiLevelType w:val="singleLevel"/>
    <w:tmpl w:val="E6C9BDCA"/>
    <w:lvl w:ilvl="0" w:tentative="0">
      <w:start w:val="1"/>
      <w:numFmt w:val="decimal"/>
      <w:suff w:val="nothing"/>
      <w:lvlText w:val="（%1）"/>
      <w:lvlJc w:val="left"/>
    </w:lvl>
  </w:abstractNum>
  <w:abstractNum w:abstractNumId="3">
    <w:nsid w:val="0E4354D0"/>
    <w:multiLevelType w:val="singleLevel"/>
    <w:tmpl w:val="0E4354D0"/>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ZmUxYzUwZTk0YWQ4OWIxZDY5YjRhZmIwMjUzNzMifQ=="/>
  </w:docVars>
  <w:rsids>
    <w:rsidRoot w:val="4F582EF7"/>
    <w:rsid w:val="000D6A89"/>
    <w:rsid w:val="0012211A"/>
    <w:rsid w:val="00215AA4"/>
    <w:rsid w:val="003F512F"/>
    <w:rsid w:val="00473031"/>
    <w:rsid w:val="004F4B45"/>
    <w:rsid w:val="00D61DC8"/>
    <w:rsid w:val="00E63144"/>
    <w:rsid w:val="00ED3513"/>
    <w:rsid w:val="00F661CB"/>
    <w:rsid w:val="01073D6F"/>
    <w:rsid w:val="010D6029"/>
    <w:rsid w:val="01110546"/>
    <w:rsid w:val="01203FAE"/>
    <w:rsid w:val="012A2737"/>
    <w:rsid w:val="013F153F"/>
    <w:rsid w:val="013F232E"/>
    <w:rsid w:val="014B09BB"/>
    <w:rsid w:val="014C6B51"/>
    <w:rsid w:val="016471F9"/>
    <w:rsid w:val="01916C5A"/>
    <w:rsid w:val="019A0A09"/>
    <w:rsid w:val="019E647B"/>
    <w:rsid w:val="01B841E6"/>
    <w:rsid w:val="01D95F0B"/>
    <w:rsid w:val="01DB7ED5"/>
    <w:rsid w:val="02337D11"/>
    <w:rsid w:val="026E699E"/>
    <w:rsid w:val="0273635F"/>
    <w:rsid w:val="02AA30B8"/>
    <w:rsid w:val="02B7625C"/>
    <w:rsid w:val="02BF0C55"/>
    <w:rsid w:val="03091250"/>
    <w:rsid w:val="03195159"/>
    <w:rsid w:val="032C4E8C"/>
    <w:rsid w:val="0358304C"/>
    <w:rsid w:val="03696A9E"/>
    <w:rsid w:val="037C563F"/>
    <w:rsid w:val="038667F3"/>
    <w:rsid w:val="039E06FB"/>
    <w:rsid w:val="03B524C9"/>
    <w:rsid w:val="03C5042E"/>
    <w:rsid w:val="03E26ED3"/>
    <w:rsid w:val="04021749"/>
    <w:rsid w:val="041A2998"/>
    <w:rsid w:val="041A2F36"/>
    <w:rsid w:val="04200D92"/>
    <w:rsid w:val="043C0BB8"/>
    <w:rsid w:val="04540333"/>
    <w:rsid w:val="048719B2"/>
    <w:rsid w:val="048B3E34"/>
    <w:rsid w:val="04AD2CA3"/>
    <w:rsid w:val="04B51863"/>
    <w:rsid w:val="04B67F25"/>
    <w:rsid w:val="04B86DCC"/>
    <w:rsid w:val="04BF763A"/>
    <w:rsid w:val="04C07235"/>
    <w:rsid w:val="04C52712"/>
    <w:rsid w:val="04C93D12"/>
    <w:rsid w:val="04C95B8C"/>
    <w:rsid w:val="04CE00F8"/>
    <w:rsid w:val="05654685"/>
    <w:rsid w:val="05DD1BF7"/>
    <w:rsid w:val="05E30CAA"/>
    <w:rsid w:val="05E732EC"/>
    <w:rsid w:val="05EC614B"/>
    <w:rsid w:val="05FE0636"/>
    <w:rsid w:val="062E2CC9"/>
    <w:rsid w:val="0633208D"/>
    <w:rsid w:val="06342423"/>
    <w:rsid w:val="063C112F"/>
    <w:rsid w:val="066642EF"/>
    <w:rsid w:val="066C1D20"/>
    <w:rsid w:val="066E18CA"/>
    <w:rsid w:val="069B537E"/>
    <w:rsid w:val="06B156A8"/>
    <w:rsid w:val="06B9200C"/>
    <w:rsid w:val="06C70A28"/>
    <w:rsid w:val="06C929F2"/>
    <w:rsid w:val="06E57385"/>
    <w:rsid w:val="06E67100"/>
    <w:rsid w:val="06EE2458"/>
    <w:rsid w:val="07133987"/>
    <w:rsid w:val="073360BD"/>
    <w:rsid w:val="073D7585"/>
    <w:rsid w:val="07477021"/>
    <w:rsid w:val="074B3407"/>
    <w:rsid w:val="07A1396F"/>
    <w:rsid w:val="07A71DAB"/>
    <w:rsid w:val="07B90CB8"/>
    <w:rsid w:val="07CA36B7"/>
    <w:rsid w:val="07EC510E"/>
    <w:rsid w:val="08000695"/>
    <w:rsid w:val="082A5712"/>
    <w:rsid w:val="083D3697"/>
    <w:rsid w:val="08412974"/>
    <w:rsid w:val="089D2EAF"/>
    <w:rsid w:val="08B35707"/>
    <w:rsid w:val="08C55606"/>
    <w:rsid w:val="08CD7283"/>
    <w:rsid w:val="08DB07BA"/>
    <w:rsid w:val="08EB6C4F"/>
    <w:rsid w:val="09023F99"/>
    <w:rsid w:val="0908136C"/>
    <w:rsid w:val="09120B77"/>
    <w:rsid w:val="09151F1E"/>
    <w:rsid w:val="092D5890"/>
    <w:rsid w:val="09310546"/>
    <w:rsid w:val="094817DD"/>
    <w:rsid w:val="09AD381B"/>
    <w:rsid w:val="09C339A8"/>
    <w:rsid w:val="09F06AB0"/>
    <w:rsid w:val="09FA34EB"/>
    <w:rsid w:val="0A182626"/>
    <w:rsid w:val="0A2763AD"/>
    <w:rsid w:val="0A3F51F1"/>
    <w:rsid w:val="0A581BBF"/>
    <w:rsid w:val="0A620AA0"/>
    <w:rsid w:val="0A62467A"/>
    <w:rsid w:val="0A7D4664"/>
    <w:rsid w:val="0AA7676D"/>
    <w:rsid w:val="0AC57974"/>
    <w:rsid w:val="0ACA6F28"/>
    <w:rsid w:val="0AD33307"/>
    <w:rsid w:val="0ADA523C"/>
    <w:rsid w:val="0AEE3BCC"/>
    <w:rsid w:val="0AF8049C"/>
    <w:rsid w:val="0AFB0342"/>
    <w:rsid w:val="0B3866B7"/>
    <w:rsid w:val="0B3B5F5C"/>
    <w:rsid w:val="0B631C3B"/>
    <w:rsid w:val="0B644CDF"/>
    <w:rsid w:val="0B901D30"/>
    <w:rsid w:val="0BD240F7"/>
    <w:rsid w:val="0C120997"/>
    <w:rsid w:val="0C350433"/>
    <w:rsid w:val="0C3D67FB"/>
    <w:rsid w:val="0C4153D2"/>
    <w:rsid w:val="0C4E3A2A"/>
    <w:rsid w:val="0CA07D76"/>
    <w:rsid w:val="0CA247B5"/>
    <w:rsid w:val="0CC032D1"/>
    <w:rsid w:val="0CC51EAD"/>
    <w:rsid w:val="0CE74EA1"/>
    <w:rsid w:val="0CEB3524"/>
    <w:rsid w:val="0CED0068"/>
    <w:rsid w:val="0CFE2CC9"/>
    <w:rsid w:val="0D0364DD"/>
    <w:rsid w:val="0D03679A"/>
    <w:rsid w:val="0D291EEA"/>
    <w:rsid w:val="0D410E67"/>
    <w:rsid w:val="0D786450"/>
    <w:rsid w:val="0DB97443"/>
    <w:rsid w:val="0DCB0DFD"/>
    <w:rsid w:val="0DD203DE"/>
    <w:rsid w:val="0DDC125D"/>
    <w:rsid w:val="0DE55690"/>
    <w:rsid w:val="0DF525DE"/>
    <w:rsid w:val="0DF61CE0"/>
    <w:rsid w:val="0E122ED0"/>
    <w:rsid w:val="0E1E1875"/>
    <w:rsid w:val="0E54719F"/>
    <w:rsid w:val="0E8230FE"/>
    <w:rsid w:val="0E8E37ED"/>
    <w:rsid w:val="0EAF2E14"/>
    <w:rsid w:val="0EBC0E48"/>
    <w:rsid w:val="0EDB59B8"/>
    <w:rsid w:val="0EEC3721"/>
    <w:rsid w:val="0EF30E7F"/>
    <w:rsid w:val="0F1B4006"/>
    <w:rsid w:val="0F256C33"/>
    <w:rsid w:val="0F312AB7"/>
    <w:rsid w:val="0F4920A4"/>
    <w:rsid w:val="0F5E1B66"/>
    <w:rsid w:val="0F693ECA"/>
    <w:rsid w:val="0FB35FED"/>
    <w:rsid w:val="0FB775B8"/>
    <w:rsid w:val="0FF44D8A"/>
    <w:rsid w:val="103425BC"/>
    <w:rsid w:val="10433815"/>
    <w:rsid w:val="10484987"/>
    <w:rsid w:val="105858FC"/>
    <w:rsid w:val="1069143D"/>
    <w:rsid w:val="108156F9"/>
    <w:rsid w:val="108403E2"/>
    <w:rsid w:val="109275A9"/>
    <w:rsid w:val="10945E1E"/>
    <w:rsid w:val="10C15734"/>
    <w:rsid w:val="10E36DA6"/>
    <w:rsid w:val="10F76084"/>
    <w:rsid w:val="110D36CE"/>
    <w:rsid w:val="11183B29"/>
    <w:rsid w:val="11533574"/>
    <w:rsid w:val="11785740"/>
    <w:rsid w:val="117874EE"/>
    <w:rsid w:val="11862732"/>
    <w:rsid w:val="118F278E"/>
    <w:rsid w:val="119105B0"/>
    <w:rsid w:val="11994D85"/>
    <w:rsid w:val="11A47985"/>
    <w:rsid w:val="11D80D88"/>
    <w:rsid w:val="11F50B3F"/>
    <w:rsid w:val="120B3EBE"/>
    <w:rsid w:val="12297E7D"/>
    <w:rsid w:val="12906AB9"/>
    <w:rsid w:val="12B46AE6"/>
    <w:rsid w:val="12C7072D"/>
    <w:rsid w:val="12E7492B"/>
    <w:rsid w:val="12E74FC1"/>
    <w:rsid w:val="12F27F6E"/>
    <w:rsid w:val="12F53397"/>
    <w:rsid w:val="131A26A8"/>
    <w:rsid w:val="132A4818"/>
    <w:rsid w:val="13313DF9"/>
    <w:rsid w:val="133A43BF"/>
    <w:rsid w:val="133D279D"/>
    <w:rsid w:val="13842E04"/>
    <w:rsid w:val="1385172F"/>
    <w:rsid w:val="13A22600"/>
    <w:rsid w:val="13AC5F03"/>
    <w:rsid w:val="13AD4B58"/>
    <w:rsid w:val="13B36C86"/>
    <w:rsid w:val="13C438FA"/>
    <w:rsid w:val="13E34C75"/>
    <w:rsid w:val="140D46BB"/>
    <w:rsid w:val="14141B79"/>
    <w:rsid w:val="148650F4"/>
    <w:rsid w:val="1505553D"/>
    <w:rsid w:val="150D2643"/>
    <w:rsid w:val="15192D96"/>
    <w:rsid w:val="151C1FBA"/>
    <w:rsid w:val="155663AB"/>
    <w:rsid w:val="156706B8"/>
    <w:rsid w:val="15674B8D"/>
    <w:rsid w:val="15811995"/>
    <w:rsid w:val="15BC5601"/>
    <w:rsid w:val="15DC13FE"/>
    <w:rsid w:val="15F3699E"/>
    <w:rsid w:val="16005D04"/>
    <w:rsid w:val="16157A01"/>
    <w:rsid w:val="161F618A"/>
    <w:rsid w:val="16223ECC"/>
    <w:rsid w:val="16351E52"/>
    <w:rsid w:val="16737FC1"/>
    <w:rsid w:val="16C60CFC"/>
    <w:rsid w:val="16DF591A"/>
    <w:rsid w:val="1722468F"/>
    <w:rsid w:val="172C4685"/>
    <w:rsid w:val="173157BB"/>
    <w:rsid w:val="17487240"/>
    <w:rsid w:val="175C172B"/>
    <w:rsid w:val="1767428D"/>
    <w:rsid w:val="1776627E"/>
    <w:rsid w:val="17C50FB3"/>
    <w:rsid w:val="17EA767E"/>
    <w:rsid w:val="17F760DF"/>
    <w:rsid w:val="18023FB5"/>
    <w:rsid w:val="181E51C8"/>
    <w:rsid w:val="18226406"/>
    <w:rsid w:val="182A472E"/>
    <w:rsid w:val="184079AD"/>
    <w:rsid w:val="1862610F"/>
    <w:rsid w:val="18710487"/>
    <w:rsid w:val="18866995"/>
    <w:rsid w:val="188B4D90"/>
    <w:rsid w:val="1897252C"/>
    <w:rsid w:val="18AE7C99"/>
    <w:rsid w:val="18C06D07"/>
    <w:rsid w:val="190B3062"/>
    <w:rsid w:val="192D6E10"/>
    <w:rsid w:val="192E77AB"/>
    <w:rsid w:val="19355CC5"/>
    <w:rsid w:val="19597C05"/>
    <w:rsid w:val="1963464B"/>
    <w:rsid w:val="197764F6"/>
    <w:rsid w:val="19E27BFB"/>
    <w:rsid w:val="19FC44C3"/>
    <w:rsid w:val="1A200723"/>
    <w:rsid w:val="1A277D03"/>
    <w:rsid w:val="1A2C70C8"/>
    <w:rsid w:val="1A3A6836"/>
    <w:rsid w:val="1A4A3FE0"/>
    <w:rsid w:val="1A5B5BFF"/>
    <w:rsid w:val="1A6040D2"/>
    <w:rsid w:val="1AB75BA5"/>
    <w:rsid w:val="1AE57555"/>
    <w:rsid w:val="1B2B0B2B"/>
    <w:rsid w:val="1B2B6BCB"/>
    <w:rsid w:val="1B2F6BA7"/>
    <w:rsid w:val="1BAA0049"/>
    <w:rsid w:val="1BB32838"/>
    <w:rsid w:val="1BC25F36"/>
    <w:rsid w:val="1BC82E20"/>
    <w:rsid w:val="1BCD48DA"/>
    <w:rsid w:val="1BE85270"/>
    <w:rsid w:val="1C116575"/>
    <w:rsid w:val="1C2A3ADB"/>
    <w:rsid w:val="1C324211"/>
    <w:rsid w:val="1C4F2547"/>
    <w:rsid w:val="1C623275"/>
    <w:rsid w:val="1C7E3A00"/>
    <w:rsid w:val="1C7F3E27"/>
    <w:rsid w:val="1C977356"/>
    <w:rsid w:val="1CEE68B6"/>
    <w:rsid w:val="1CFE11EF"/>
    <w:rsid w:val="1D126A49"/>
    <w:rsid w:val="1D1C4C74"/>
    <w:rsid w:val="1D4666F2"/>
    <w:rsid w:val="1D526E45"/>
    <w:rsid w:val="1D893503"/>
    <w:rsid w:val="1D8A6E37"/>
    <w:rsid w:val="1DAB6BCE"/>
    <w:rsid w:val="1DED3012"/>
    <w:rsid w:val="1DFB74DD"/>
    <w:rsid w:val="1E02178A"/>
    <w:rsid w:val="1E3B5065"/>
    <w:rsid w:val="1E3B5B2B"/>
    <w:rsid w:val="1E491296"/>
    <w:rsid w:val="1E504393"/>
    <w:rsid w:val="1E5D49E3"/>
    <w:rsid w:val="1E6432D4"/>
    <w:rsid w:val="1E69281B"/>
    <w:rsid w:val="1E7D3C36"/>
    <w:rsid w:val="1E854FF8"/>
    <w:rsid w:val="1E9F430C"/>
    <w:rsid w:val="1EB53B18"/>
    <w:rsid w:val="1EBD4792"/>
    <w:rsid w:val="1EE461C3"/>
    <w:rsid w:val="1F2962CC"/>
    <w:rsid w:val="1F297E9B"/>
    <w:rsid w:val="1F3C3740"/>
    <w:rsid w:val="1F483CA8"/>
    <w:rsid w:val="1F487665"/>
    <w:rsid w:val="1F4E5D32"/>
    <w:rsid w:val="1F683A66"/>
    <w:rsid w:val="1F793D64"/>
    <w:rsid w:val="1F82221D"/>
    <w:rsid w:val="1FA6791C"/>
    <w:rsid w:val="1FB65DB1"/>
    <w:rsid w:val="1FD50B49"/>
    <w:rsid w:val="1FDA1374"/>
    <w:rsid w:val="20210F16"/>
    <w:rsid w:val="206770AC"/>
    <w:rsid w:val="208714FC"/>
    <w:rsid w:val="209B130E"/>
    <w:rsid w:val="20AD68C4"/>
    <w:rsid w:val="20B41F4E"/>
    <w:rsid w:val="20B73CE8"/>
    <w:rsid w:val="20CB1F07"/>
    <w:rsid w:val="20E76E0C"/>
    <w:rsid w:val="2120725A"/>
    <w:rsid w:val="21244F9D"/>
    <w:rsid w:val="216E1E9C"/>
    <w:rsid w:val="220C2760"/>
    <w:rsid w:val="222C2B90"/>
    <w:rsid w:val="22457E73"/>
    <w:rsid w:val="224726A9"/>
    <w:rsid w:val="2248233E"/>
    <w:rsid w:val="22592440"/>
    <w:rsid w:val="22614D52"/>
    <w:rsid w:val="227D2BB6"/>
    <w:rsid w:val="22910410"/>
    <w:rsid w:val="229E3272"/>
    <w:rsid w:val="22E70030"/>
    <w:rsid w:val="22EC3898"/>
    <w:rsid w:val="22F866E1"/>
    <w:rsid w:val="23260E04"/>
    <w:rsid w:val="233953DA"/>
    <w:rsid w:val="2345488C"/>
    <w:rsid w:val="234F2844"/>
    <w:rsid w:val="235102BE"/>
    <w:rsid w:val="23515DF1"/>
    <w:rsid w:val="237613B4"/>
    <w:rsid w:val="23790749"/>
    <w:rsid w:val="237B2B1D"/>
    <w:rsid w:val="237B4B25"/>
    <w:rsid w:val="23931F66"/>
    <w:rsid w:val="23933B60"/>
    <w:rsid w:val="23C363E4"/>
    <w:rsid w:val="23D332D0"/>
    <w:rsid w:val="24782AD4"/>
    <w:rsid w:val="249C3951"/>
    <w:rsid w:val="249F17D3"/>
    <w:rsid w:val="24A10C0D"/>
    <w:rsid w:val="24C70119"/>
    <w:rsid w:val="251E59E0"/>
    <w:rsid w:val="254479BB"/>
    <w:rsid w:val="254C2D14"/>
    <w:rsid w:val="256D06AE"/>
    <w:rsid w:val="2582242A"/>
    <w:rsid w:val="259077D0"/>
    <w:rsid w:val="25AF7A72"/>
    <w:rsid w:val="25B20381"/>
    <w:rsid w:val="25CB3C39"/>
    <w:rsid w:val="25DB33C1"/>
    <w:rsid w:val="25F25669"/>
    <w:rsid w:val="26031625"/>
    <w:rsid w:val="260357AC"/>
    <w:rsid w:val="26081331"/>
    <w:rsid w:val="260B6FC2"/>
    <w:rsid w:val="264763B7"/>
    <w:rsid w:val="26727723"/>
    <w:rsid w:val="268B2A3A"/>
    <w:rsid w:val="268B3DAD"/>
    <w:rsid w:val="26A61FB0"/>
    <w:rsid w:val="26B13700"/>
    <w:rsid w:val="26E1530D"/>
    <w:rsid w:val="275131CB"/>
    <w:rsid w:val="277025E4"/>
    <w:rsid w:val="27734537"/>
    <w:rsid w:val="279B1E5B"/>
    <w:rsid w:val="27BF3F2A"/>
    <w:rsid w:val="27C8346E"/>
    <w:rsid w:val="28035CB8"/>
    <w:rsid w:val="280F14ED"/>
    <w:rsid w:val="282B4E63"/>
    <w:rsid w:val="282B6C11"/>
    <w:rsid w:val="28541BD2"/>
    <w:rsid w:val="28884FF7"/>
    <w:rsid w:val="28B30264"/>
    <w:rsid w:val="28B60B0F"/>
    <w:rsid w:val="28E16404"/>
    <w:rsid w:val="28F60FCD"/>
    <w:rsid w:val="290F389D"/>
    <w:rsid w:val="291572CF"/>
    <w:rsid w:val="293033DF"/>
    <w:rsid w:val="293D2CA4"/>
    <w:rsid w:val="293E21D3"/>
    <w:rsid w:val="29567CBD"/>
    <w:rsid w:val="2962542C"/>
    <w:rsid w:val="296F1102"/>
    <w:rsid w:val="297C2ABA"/>
    <w:rsid w:val="298E56BA"/>
    <w:rsid w:val="29982084"/>
    <w:rsid w:val="299D769A"/>
    <w:rsid w:val="29A9794B"/>
    <w:rsid w:val="2A58372E"/>
    <w:rsid w:val="2A7228D5"/>
    <w:rsid w:val="2A97233B"/>
    <w:rsid w:val="2ACA03C4"/>
    <w:rsid w:val="2AD73080"/>
    <w:rsid w:val="2B160E6F"/>
    <w:rsid w:val="2B351DFD"/>
    <w:rsid w:val="2B367172"/>
    <w:rsid w:val="2B784A6E"/>
    <w:rsid w:val="2B9A7B07"/>
    <w:rsid w:val="2BAE2033"/>
    <w:rsid w:val="2BB37649"/>
    <w:rsid w:val="2BB82A63"/>
    <w:rsid w:val="2BC730F4"/>
    <w:rsid w:val="2BE42462"/>
    <w:rsid w:val="2BFA2F81"/>
    <w:rsid w:val="2BFD3113"/>
    <w:rsid w:val="2BFD6B16"/>
    <w:rsid w:val="2C0003B4"/>
    <w:rsid w:val="2C15160E"/>
    <w:rsid w:val="2C191F46"/>
    <w:rsid w:val="2C2422F5"/>
    <w:rsid w:val="2C3A068B"/>
    <w:rsid w:val="2CA156F3"/>
    <w:rsid w:val="2CBA1C4C"/>
    <w:rsid w:val="2D087FC0"/>
    <w:rsid w:val="2D236108"/>
    <w:rsid w:val="2D906B09"/>
    <w:rsid w:val="2D945258"/>
    <w:rsid w:val="2D9577C3"/>
    <w:rsid w:val="2D9C5EBB"/>
    <w:rsid w:val="2DAC0A59"/>
    <w:rsid w:val="2DCE076A"/>
    <w:rsid w:val="2DF314FE"/>
    <w:rsid w:val="2E620EB2"/>
    <w:rsid w:val="2E8A241A"/>
    <w:rsid w:val="2E8E7DCA"/>
    <w:rsid w:val="2E9A689E"/>
    <w:rsid w:val="2ED7388A"/>
    <w:rsid w:val="2EDD4BB1"/>
    <w:rsid w:val="2EE212D0"/>
    <w:rsid w:val="2EF134B4"/>
    <w:rsid w:val="2F1C3757"/>
    <w:rsid w:val="2F2729AC"/>
    <w:rsid w:val="2F3C0F4C"/>
    <w:rsid w:val="2F5A6566"/>
    <w:rsid w:val="2F7259B8"/>
    <w:rsid w:val="2F840E78"/>
    <w:rsid w:val="2FB82F9F"/>
    <w:rsid w:val="2FCC6F2B"/>
    <w:rsid w:val="2FE5383E"/>
    <w:rsid w:val="30083A5D"/>
    <w:rsid w:val="303E71A3"/>
    <w:rsid w:val="304E08DD"/>
    <w:rsid w:val="305F0957"/>
    <w:rsid w:val="30E67B79"/>
    <w:rsid w:val="30F027A5"/>
    <w:rsid w:val="313C778B"/>
    <w:rsid w:val="319C13AD"/>
    <w:rsid w:val="31B835E0"/>
    <w:rsid w:val="31BB1005"/>
    <w:rsid w:val="31BF2D37"/>
    <w:rsid w:val="31D9592F"/>
    <w:rsid w:val="32105FF7"/>
    <w:rsid w:val="321A2D0F"/>
    <w:rsid w:val="322E1126"/>
    <w:rsid w:val="32333514"/>
    <w:rsid w:val="324D664C"/>
    <w:rsid w:val="32504AC8"/>
    <w:rsid w:val="32814191"/>
    <w:rsid w:val="32943604"/>
    <w:rsid w:val="32BE6EB2"/>
    <w:rsid w:val="32C616FD"/>
    <w:rsid w:val="32C7154E"/>
    <w:rsid w:val="32D46E8A"/>
    <w:rsid w:val="3317207A"/>
    <w:rsid w:val="331A6B7B"/>
    <w:rsid w:val="33204F95"/>
    <w:rsid w:val="33294383"/>
    <w:rsid w:val="33396D39"/>
    <w:rsid w:val="33643EF5"/>
    <w:rsid w:val="33B107B1"/>
    <w:rsid w:val="33BC3AED"/>
    <w:rsid w:val="33D80BF4"/>
    <w:rsid w:val="33E57C5B"/>
    <w:rsid w:val="34124B0B"/>
    <w:rsid w:val="345705E4"/>
    <w:rsid w:val="346F60D7"/>
    <w:rsid w:val="348F605A"/>
    <w:rsid w:val="34930CEC"/>
    <w:rsid w:val="349E40E0"/>
    <w:rsid w:val="34A357B5"/>
    <w:rsid w:val="34AA1521"/>
    <w:rsid w:val="34B1049E"/>
    <w:rsid w:val="34C22379"/>
    <w:rsid w:val="34CC177B"/>
    <w:rsid w:val="34D80120"/>
    <w:rsid w:val="34D83C7C"/>
    <w:rsid w:val="34EF2E71"/>
    <w:rsid w:val="34F206CA"/>
    <w:rsid w:val="34F51A33"/>
    <w:rsid w:val="351F18AB"/>
    <w:rsid w:val="35231A18"/>
    <w:rsid w:val="35233259"/>
    <w:rsid w:val="352769B2"/>
    <w:rsid w:val="353C0959"/>
    <w:rsid w:val="356E1712"/>
    <w:rsid w:val="357E4769"/>
    <w:rsid w:val="358636D8"/>
    <w:rsid w:val="35A3428A"/>
    <w:rsid w:val="35B20971"/>
    <w:rsid w:val="35E1465A"/>
    <w:rsid w:val="35F03248"/>
    <w:rsid w:val="361E1B63"/>
    <w:rsid w:val="36546AFC"/>
    <w:rsid w:val="365D08DD"/>
    <w:rsid w:val="36791FB9"/>
    <w:rsid w:val="369F27CF"/>
    <w:rsid w:val="36B60605"/>
    <w:rsid w:val="36C73FA8"/>
    <w:rsid w:val="36CF7301"/>
    <w:rsid w:val="36DB3EF8"/>
    <w:rsid w:val="36F70DBC"/>
    <w:rsid w:val="3701395E"/>
    <w:rsid w:val="3727713D"/>
    <w:rsid w:val="37704A11"/>
    <w:rsid w:val="379538CC"/>
    <w:rsid w:val="379D2F5B"/>
    <w:rsid w:val="37A75B88"/>
    <w:rsid w:val="37C45ACE"/>
    <w:rsid w:val="37DE7F69"/>
    <w:rsid w:val="37E335F2"/>
    <w:rsid w:val="37E76AA3"/>
    <w:rsid w:val="38125B90"/>
    <w:rsid w:val="38131388"/>
    <w:rsid w:val="3835053A"/>
    <w:rsid w:val="384C63F6"/>
    <w:rsid w:val="387463B2"/>
    <w:rsid w:val="38BE1535"/>
    <w:rsid w:val="38D3500A"/>
    <w:rsid w:val="395A2DA3"/>
    <w:rsid w:val="397A7B42"/>
    <w:rsid w:val="39A15914"/>
    <w:rsid w:val="39B4157B"/>
    <w:rsid w:val="39DF785B"/>
    <w:rsid w:val="3A1A0893"/>
    <w:rsid w:val="3A5C534F"/>
    <w:rsid w:val="3A5E69D2"/>
    <w:rsid w:val="3A60099C"/>
    <w:rsid w:val="3A751F07"/>
    <w:rsid w:val="3A8B1791"/>
    <w:rsid w:val="3AA16B06"/>
    <w:rsid w:val="3AC72565"/>
    <w:rsid w:val="3AD969A0"/>
    <w:rsid w:val="3ADB44C6"/>
    <w:rsid w:val="3B111C96"/>
    <w:rsid w:val="3B25718E"/>
    <w:rsid w:val="3B2C2F74"/>
    <w:rsid w:val="3B351E28"/>
    <w:rsid w:val="3B78218B"/>
    <w:rsid w:val="3B8B205B"/>
    <w:rsid w:val="3BA174BE"/>
    <w:rsid w:val="3BAE1FDB"/>
    <w:rsid w:val="3BAE3989"/>
    <w:rsid w:val="3BC05FBD"/>
    <w:rsid w:val="3BC74A4B"/>
    <w:rsid w:val="3BCC3E0F"/>
    <w:rsid w:val="3BD258C9"/>
    <w:rsid w:val="3C123FA5"/>
    <w:rsid w:val="3C242530"/>
    <w:rsid w:val="3C607CD7"/>
    <w:rsid w:val="3C8748FF"/>
    <w:rsid w:val="3C8B7826"/>
    <w:rsid w:val="3C8D17F0"/>
    <w:rsid w:val="3C965E23"/>
    <w:rsid w:val="3CA078D1"/>
    <w:rsid w:val="3CCA02B2"/>
    <w:rsid w:val="3CD243F0"/>
    <w:rsid w:val="3CE62383"/>
    <w:rsid w:val="3CEC7A2A"/>
    <w:rsid w:val="3D0433A8"/>
    <w:rsid w:val="3D15699B"/>
    <w:rsid w:val="3D6600F0"/>
    <w:rsid w:val="3D6A66B2"/>
    <w:rsid w:val="3D867B10"/>
    <w:rsid w:val="3DA07301"/>
    <w:rsid w:val="3DBF44D4"/>
    <w:rsid w:val="3DC207FD"/>
    <w:rsid w:val="3DCE35B6"/>
    <w:rsid w:val="3DD136B5"/>
    <w:rsid w:val="3DD75419"/>
    <w:rsid w:val="3DF14E3C"/>
    <w:rsid w:val="3DFC6C2D"/>
    <w:rsid w:val="3E043D34"/>
    <w:rsid w:val="3E0A3EC6"/>
    <w:rsid w:val="3E0D6740"/>
    <w:rsid w:val="3E2609B2"/>
    <w:rsid w:val="3E502AD5"/>
    <w:rsid w:val="3E6B6B36"/>
    <w:rsid w:val="3E772758"/>
    <w:rsid w:val="3E7F6463"/>
    <w:rsid w:val="3E88735B"/>
    <w:rsid w:val="3EA572C5"/>
    <w:rsid w:val="3EAF459C"/>
    <w:rsid w:val="3ECB4852"/>
    <w:rsid w:val="3EDB4A95"/>
    <w:rsid w:val="3EEB0292"/>
    <w:rsid w:val="3EF142B8"/>
    <w:rsid w:val="3EF313C9"/>
    <w:rsid w:val="3EFA2B3E"/>
    <w:rsid w:val="3F0D3980"/>
    <w:rsid w:val="3F281B00"/>
    <w:rsid w:val="3F4D76DD"/>
    <w:rsid w:val="3F6227AE"/>
    <w:rsid w:val="3F930BE9"/>
    <w:rsid w:val="3F952DC8"/>
    <w:rsid w:val="3FC63CF0"/>
    <w:rsid w:val="3FCD30FD"/>
    <w:rsid w:val="3FE15005"/>
    <w:rsid w:val="3FE77469"/>
    <w:rsid w:val="400E2C48"/>
    <w:rsid w:val="401B4FB0"/>
    <w:rsid w:val="401C11D4"/>
    <w:rsid w:val="402B37FA"/>
    <w:rsid w:val="40324B88"/>
    <w:rsid w:val="403D2804"/>
    <w:rsid w:val="40515615"/>
    <w:rsid w:val="40A56767"/>
    <w:rsid w:val="40B21825"/>
    <w:rsid w:val="40BE641C"/>
    <w:rsid w:val="40C14BE6"/>
    <w:rsid w:val="40E85E9C"/>
    <w:rsid w:val="41173D7E"/>
    <w:rsid w:val="4133434D"/>
    <w:rsid w:val="41711C4E"/>
    <w:rsid w:val="417778B2"/>
    <w:rsid w:val="41B50A70"/>
    <w:rsid w:val="41CB2246"/>
    <w:rsid w:val="41DA6A63"/>
    <w:rsid w:val="42056C09"/>
    <w:rsid w:val="42056EE1"/>
    <w:rsid w:val="423242FA"/>
    <w:rsid w:val="428D039F"/>
    <w:rsid w:val="42D77BC6"/>
    <w:rsid w:val="42FC0E58"/>
    <w:rsid w:val="431379ED"/>
    <w:rsid w:val="4315253F"/>
    <w:rsid w:val="43672D9B"/>
    <w:rsid w:val="436C6603"/>
    <w:rsid w:val="437454B8"/>
    <w:rsid w:val="4376670D"/>
    <w:rsid w:val="43947908"/>
    <w:rsid w:val="43A5333D"/>
    <w:rsid w:val="43AA0EDA"/>
    <w:rsid w:val="43BB6C43"/>
    <w:rsid w:val="43CC2BFE"/>
    <w:rsid w:val="43D25E53"/>
    <w:rsid w:val="43FE0419"/>
    <w:rsid w:val="440138A0"/>
    <w:rsid w:val="44246EDE"/>
    <w:rsid w:val="44384737"/>
    <w:rsid w:val="44692B43"/>
    <w:rsid w:val="44740E09"/>
    <w:rsid w:val="44983428"/>
    <w:rsid w:val="44C32FE7"/>
    <w:rsid w:val="44C47D79"/>
    <w:rsid w:val="44D34460"/>
    <w:rsid w:val="450F07D9"/>
    <w:rsid w:val="451A208F"/>
    <w:rsid w:val="453170D2"/>
    <w:rsid w:val="453E5D7D"/>
    <w:rsid w:val="45464C32"/>
    <w:rsid w:val="45713A93"/>
    <w:rsid w:val="45AD2F03"/>
    <w:rsid w:val="45BE2A1A"/>
    <w:rsid w:val="45BE47A3"/>
    <w:rsid w:val="45D60635"/>
    <w:rsid w:val="46053F44"/>
    <w:rsid w:val="460B7B64"/>
    <w:rsid w:val="4612476D"/>
    <w:rsid w:val="46276812"/>
    <w:rsid w:val="462F50FB"/>
    <w:rsid w:val="46617E0B"/>
    <w:rsid w:val="468F5CB4"/>
    <w:rsid w:val="46953618"/>
    <w:rsid w:val="46B73C34"/>
    <w:rsid w:val="46C027C2"/>
    <w:rsid w:val="46E75FA1"/>
    <w:rsid w:val="474820C5"/>
    <w:rsid w:val="47513C75"/>
    <w:rsid w:val="475B13E7"/>
    <w:rsid w:val="475D7F74"/>
    <w:rsid w:val="476B2262"/>
    <w:rsid w:val="477A7EE5"/>
    <w:rsid w:val="477C5396"/>
    <w:rsid w:val="47A0687C"/>
    <w:rsid w:val="47DD7AD0"/>
    <w:rsid w:val="47DF6F81"/>
    <w:rsid w:val="47F0715F"/>
    <w:rsid w:val="47F51E94"/>
    <w:rsid w:val="481D611E"/>
    <w:rsid w:val="4851130F"/>
    <w:rsid w:val="485D476D"/>
    <w:rsid w:val="48665BDE"/>
    <w:rsid w:val="48867F4E"/>
    <w:rsid w:val="48AB008C"/>
    <w:rsid w:val="48B545A9"/>
    <w:rsid w:val="48B979EC"/>
    <w:rsid w:val="48BD5E62"/>
    <w:rsid w:val="48D34790"/>
    <w:rsid w:val="48FF40E2"/>
    <w:rsid w:val="494D6EBA"/>
    <w:rsid w:val="49557B3A"/>
    <w:rsid w:val="498C348F"/>
    <w:rsid w:val="49A34401"/>
    <w:rsid w:val="49BA4655"/>
    <w:rsid w:val="49BC151F"/>
    <w:rsid w:val="49CD757C"/>
    <w:rsid w:val="49CF37BE"/>
    <w:rsid w:val="49DA3B9B"/>
    <w:rsid w:val="49EF5898"/>
    <w:rsid w:val="49FA5FEB"/>
    <w:rsid w:val="4A286278"/>
    <w:rsid w:val="4A30081A"/>
    <w:rsid w:val="4A3C6BE3"/>
    <w:rsid w:val="4A62606A"/>
    <w:rsid w:val="4A6F0787"/>
    <w:rsid w:val="4A7638C4"/>
    <w:rsid w:val="4AA76173"/>
    <w:rsid w:val="4AAE1013"/>
    <w:rsid w:val="4AC9149F"/>
    <w:rsid w:val="4ADE1878"/>
    <w:rsid w:val="4ADE2E23"/>
    <w:rsid w:val="4AE64EED"/>
    <w:rsid w:val="4B380D6F"/>
    <w:rsid w:val="4B5400FE"/>
    <w:rsid w:val="4B675822"/>
    <w:rsid w:val="4B812670"/>
    <w:rsid w:val="4BA47B1F"/>
    <w:rsid w:val="4BBC29D4"/>
    <w:rsid w:val="4C560DCF"/>
    <w:rsid w:val="4C6F4A6E"/>
    <w:rsid w:val="4CA73452"/>
    <w:rsid w:val="4CBE77A4"/>
    <w:rsid w:val="4CC32763"/>
    <w:rsid w:val="4CE17CAE"/>
    <w:rsid w:val="4D0F1621"/>
    <w:rsid w:val="4D24354A"/>
    <w:rsid w:val="4D4E6D7A"/>
    <w:rsid w:val="4D785BA5"/>
    <w:rsid w:val="4DB07781"/>
    <w:rsid w:val="4DEF09C3"/>
    <w:rsid w:val="4DF97234"/>
    <w:rsid w:val="4E157897"/>
    <w:rsid w:val="4E437F61"/>
    <w:rsid w:val="4E4C36AA"/>
    <w:rsid w:val="4E4F6531"/>
    <w:rsid w:val="4EA36C51"/>
    <w:rsid w:val="4EB7021F"/>
    <w:rsid w:val="4EEE25C2"/>
    <w:rsid w:val="4F377967"/>
    <w:rsid w:val="4F411EB6"/>
    <w:rsid w:val="4F42646A"/>
    <w:rsid w:val="4F447BCB"/>
    <w:rsid w:val="4F582EF7"/>
    <w:rsid w:val="4F5D5E43"/>
    <w:rsid w:val="4F5F63A7"/>
    <w:rsid w:val="4FB65BEA"/>
    <w:rsid w:val="4FBA24A4"/>
    <w:rsid w:val="4FC77A71"/>
    <w:rsid w:val="4FDA6E22"/>
    <w:rsid w:val="4FFD0EF1"/>
    <w:rsid w:val="50091D29"/>
    <w:rsid w:val="501E0C85"/>
    <w:rsid w:val="501E2A33"/>
    <w:rsid w:val="502F4C40"/>
    <w:rsid w:val="50353716"/>
    <w:rsid w:val="506D7517"/>
    <w:rsid w:val="50A0118B"/>
    <w:rsid w:val="50AA2519"/>
    <w:rsid w:val="50AC44E3"/>
    <w:rsid w:val="50FD6AED"/>
    <w:rsid w:val="51022209"/>
    <w:rsid w:val="510E3C07"/>
    <w:rsid w:val="512E061B"/>
    <w:rsid w:val="5135755A"/>
    <w:rsid w:val="514F12D7"/>
    <w:rsid w:val="51754B1B"/>
    <w:rsid w:val="517B73AD"/>
    <w:rsid w:val="518A5306"/>
    <w:rsid w:val="518A79B5"/>
    <w:rsid w:val="51A37E3C"/>
    <w:rsid w:val="51B66656"/>
    <w:rsid w:val="51D16F4E"/>
    <w:rsid w:val="51D610EC"/>
    <w:rsid w:val="521045FE"/>
    <w:rsid w:val="52534816"/>
    <w:rsid w:val="52634928"/>
    <w:rsid w:val="52E2243E"/>
    <w:rsid w:val="53277999"/>
    <w:rsid w:val="53353269"/>
    <w:rsid w:val="533B7DA0"/>
    <w:rsid w:val="536746F1"/>
    <w:rsid w:val="53751DF0"/>
    <w:rsid w:val="53764934"/>
    <w:rsid w:val="53A35FB7"/>
    <w:rsid w:val="53B536AF"/>
    <w:rsid w:val="53C80FD0"/>
    <w:rsid w:val="53CE4770"/>
    <w:rsid w:val="53E30294"/>
    <w:rsid w:val="53FD5056"/>
    <w:rsid w:val="540B1521"/>
    <w:rsid w:val="544B3A05"/>
    <w:rsid w:val="5472334E"/>
    <w:rsid w:val="54917718"/>
    <w:rsid w:val="549269FE"/>
    <w:rsid w:val="54A86D6F"/>
    <w:rsid w:val="54F74640"/>
    <w:rsid w:val="550F1330"/>
    <w:rsid w:val="556829A3"/>
    <w:rsid w:val="55721E2D"/>
    <w:rsid w:val="55782BE6"/>
    <w:rsid w:val="558566E7"/>
    <w:rsid w:val="55B415BA"/>
    <w:rsid w:val="55D46448"/>
    <w:rsid w:val="55FA1006"/>
    <w:rsid w:val="560E3442"/>
    <w:rsid w:val="56111251"/>
    <w:rsid w:val="56193729"/>
    <w:rsid w:val="56252ADC"/>
    <w:rsid w:val="562B0D21"/>
    <w:rsid w:val="56327239"/>
    <w:rsid w:val="56426E9F"/>
    <w:rsid w:val="564725B8"/>
    <w:rsid w:val="56652099"/>
    <w:rsid w:val="56680EAC"/>
    <w:rsid w:val="566D353C"/>
    <w:rsid w:val="569B3338"/>
    <w:rsid w:val="56F269C8"/>
    <w:rsid w:val="57580F21"/>
    <w:rsid w:val="576176AA"/>
    <w:rsid w:val="5765355C"/>
    <w:rsid w:val="57690BD0"/>
    <w:rsid w:val="5779071D"/>
    <w:rsid w:val="57CA1153"/>
    <w:rsid w:val="57EE53E1"/>
    <w:rsid w:val="58460B49"/>
    <w:rsid w:val="584A495B"/>
    <w:rsid w:val="586675E4"/>
    <w:rsid w:val="587162C9"/>
    <w:rsid w:val="58765D26"/>
    <w:rsid w:val="58947716"/>
    <w:rsid w:val="58B66C06"/>
    <w:rsid w:val="58D345D7"/>
    <w:rsid w:val="59152645"/>
    <w:rsid w:val="591E25B4"/>
    <w:rsid w:val="591F4A55"/>
    <w:rsid w:val="59407EBE"/>
    <w:rsid w:val="59495785"/>
    <w:rsid w:val="59816B33"/>
    <w:rsid w:val="599C2C1B"/>
    <w:rsid w:val="59B605EE"/>
    <w:rsid w:val="59BE5287"/>
    <w:rsid w:val="59BF67D8"/>
    <w:rsid w:val="59BF6E54"/>
    <w:rsid w:val="59C96098"/>
    <w:rsid w:val="59CD22DC"/>
    <w:rsid w:val="59F86D18"/>
    <w:rsid w:val="5A2F2D66"/>
    <w:rsid w:val="5A3B2A23"/>
    <w:rsid w:val="5A9467BF"/>
    <w:rsid w:val="5AAE69DB"/>
    <w:rsid w:val="5AB26B9A"/>
    <w:rsid w:val="5AC261B4"/>
    <w:rsid w:val="5AC474BB"/>
    <w:rsid w:val="5AC643F3"/>
    <w:rsid w:val="5ACA056B"/>
    <w:rsid w:val="5AD24795"/>
    <w:rsid w:val="5AEC0684"/>
    <w:rsid w:val="5AF0582F"/>
    <w:rsid w:val="5B1B6AA6"/>
    <w:rsid w:val="5B224E28"/>
    <w:rsid w:val="5B9C02BE"/>
    <w:rsid w:val="5BAF7B56"/>
    <w:rsid w:val="5BC30933"/>
    <w:rsid w:val="5BF611E3"/>
    <w:rsid w:val="5C0E6052"/>
    <w:rsid w:val="5C2B6840"/>
    <w:rsid w:val="5C313AEE"/>
    <w:rsid w:val="5C7D4F86"/>
    <w:rsid w:val="5C86208C"/>
    <w:rsid w:val="5CAC7619"/>
    <w:rsid w:val="5CAF35B1"/>
    <w:rsid w:val="5CC02210"/>
    <w:rsid w:val="5D072AA1"/>
    <w:rsid w:val="5D211242"/>
    <w:rsid w:val="5D2B49E2"/>
    <w:rsid w:val="5D2E5B27"/>
    <w:rsid w:val="5D3B4FAE"/>
    <w:rsid w:val="5D730EDB"/>
    <w:rsid w:val="5D7C18C6"/>
    <w:rsid w:val="5D902A97"/>
    <w:rsid w:val="5D916BB6"/>
    <w:rsid w:val="5DC32E6C"/>
    <w:rsid w:val="5DC62D2E"/>
    <w:rsid w:val="5DCD2F01"/>
    <w:rsid w:val="5DE3467B"/>
    <w:rsid w:val="5E000678"/>
    <w:rsid w:val="5E367A57"/>
    <w:rsid w:val="5E371164"/>
    <w:rsid w:val="5E634018"/>
    <w:rsid w:val="5E7B54F5"/>
    <w:rsid w:val="5EB639EA"/>
    <w:rsid w:val="5F0537AA"/>
    <w:rsid w:val="5F0B5B73"/>
    <w:rsid w:val="5F1267B5"/>
    <w:rsid w:val="5F13572D"/>
    <w:rsid w:val="5F2B3E04"/>
    <w:rsid w:val="5F4A1A8C"/>
    <w:rsid w:val="5F760F40"/>
    <w:rsid w:val="5F813FC0"/>
    <w:rsid w:val="5FC52ECB"/>
    <w:rsid w:val="5FC80DD2"/>
    <w:rsid w:val="5FD21144"/>
    <w:rsid w:val="5FD9212E"/>
    <w:rsid w:val="5FE1785D"/>
    <w:rsid w:val="5FF401AB"/>
    <w:rsid w:val="5FF52077"/>
    <w:rsid w:val="5FFF5CB2"/>
    <w:rsid w:val="600532C8"/>
    <w:rsid w:val="60101E15"/>
    <w:rsid w:val="6049733D"/>
    <w:rsid w:val="60673F83"/>
    <w:rsid w:val="606E1F64"/>
    <w:rsid w:val="60CE0B25"/>
    <w:rsid w:val="61113EEE"/>
    <w:rsid w:val="61241E74"/>
    <w:rsid w:val="612B54E0"/>
    <w:rsid w:val="61555832"/>
    <w:rsid w:val="6194560C"/>
    <w:rsid w:val="619C4100"/>
    <w:rsid w:val="61A30FEA"/>
    <w:rsid w:val="61BE5E24"/>
    <w:rsid w:val="61D5316E"/>
    <w:rsid w:val="61DB6D9C"/>
    <w:rsid w:val="61EF3D39"/>
    <w:rsid w:val="623C3CCB"/>
    <w:rsid w:val="6277131B"/>
    <w:rsid w:val="62894736"/>
    <w:rsid w:val="62A274F4"/>
    <w:rsid w:val="62A72D5C"/>
    <w:rsid w:val="62DC02C2"/>
    <w:rsid w:val="62EC4C13"/>
    <w:rsid w:val="62EE46C0"/>
    <w:rsid w:val="632E6FDA"/>
    <w:rsid w:val="63381C06"/>
    <w:rsid w:val="6345292E"/>
    <w:rsid w:val="634B6CEC"/>
    <w:rsid w:val="635D5082"/>
    <w:rsid w:val="63964B41"/>
    <w:rsid w:val="63CD05A1"/>
    <w:rsid w:val="63F26259"/>
    <w:rsid w:val="6410048D"/>
    <w:rsid w:val="64234664"/>
    <w:rsid w:val="64421F3D"/>
    <w:rsid w:val="64487C27"/>
    <w:rsid w:val="647838E3"/>
    <w:rsid w:val="647C3D75"/>
    <w:rsid w:val="648570CD"/>
    <w:rsid w:val="64AD03D2"/>
    <w:rsid w:val="64B66E59"/>
    <w:rsid w:val="64CC5E52"/>
    <w:rsid w:val="650F4B9B"/>
    <w:rsid w:val="654E657D"/>
    <w:rsid w:val="65864EAB"/>
    <w:rsid w:val="65AC2438"/>
    <w:rsid w:val="65AE5BBD"/>
    <w:rsid w:val="65B768E4"/>
    <w:rsid w:val="65BF216B"/>
    <w:rsid w:val="65C57872"/>
    <w:rsid w:val="65D8147F"/>
    <w:rsid w:val="65DA0D53"/>
    <w:rsid w:val="65EF0F14"/>
    <w:rsid w:val="65FB4B21"/>
    <w:rsid w:val="6601664A"/>
    <w:rsid w:val="66042274"/>
    <w:rsid w:val="66043DF1"/>
    <w:rsid w:val="6614083B"/>
    <w:rsid w:val="661D46CA"/>
    <w:rsid w:val="667B0788"/>
    <w:rsid w:val="66887A48"/>
    <w:rsid w:val="669F48C5"/>
    <w:rsid w:val="66A10636"/>
    <w:rsid w:val="66B94E0C"/>
    <w:rsid w:val="66BB1AFB"/>
    <w:rsid w:val="66C8643E"/>
    <w:rsid w:val="66CA0DC7"/>
    <w:rsid w:val="66F0707E"/>
    <w:rsid w:val="66F20D2E"/>
    <w:rsid w:val="66F95B50"/>
    <w:rsid w:val="6720747F"/>
    <w:rsid w:val="673D6A15"/>
    <w:rsid w:val="67492634"/>
    <w:rsid w:val="67960780"/>
    <w:rsid w:val="67B86C37"/>
    <w:rsid w:val="67BB2DBB"/>
    <w:rsid w:val="682E5386"/>
    <w:rsid w:val="683F57E5"/>
    <w:rsid w:val="68415A7C"/>
    <w:rsid w:val="688D47A2"/>
    <w:rsid w:val="68B27D65"/>
    <w:rsid w:val="68BF3CEC"/>
    <w:rsid w:val="68CD623B"/>
    <w:rsid w:val="68FD36D6"/>
    <w:rsid w:val="694D7A8E"/>
    <w:rsid w:val="69562DE6"/>
    <w:rsid w:val="696012B6"/>
    <w:rsid w:val="69642093"/>
    <w:rsid w:val="6985191D"/>
    <w:rsid w:val="69BD2E65"/>
    <w:rsid w:val="69CA6B08"/>
    <w:rsid w:val="69E95A08"/>
    <w:rsid w:val="6A042666"/>
    <w:rsid w:val="6A8F00D2"/>
    <w:rsid w:val="6A9736F0"/>
    <w:rsid w:val="6AB214EC"/>
    <w:rsid w:val="6AB26742"/>
    <w:rsid w:val="6ACD2BF5"/>
    <w:rsid w:val="6ADE08A2"/>
    <w:rsid w:val="6AF44665"/>
    <w:rsid w:val="6AF97ECD"/>
    <w:rsid w:val="6B680BAF"/>
    <w:rsid w:val="6B6C68F1"/>
    <w:rsid w:val="6B8D0FD1"/>
    <w:rsid w:val="6BA17D14"/>
    <w:rsid w:val="6BCC55E2"/>
    <w:rsid w:val="6BD25936"/>
    <w:rsid w:val="6BE41292"/>
    <w:rsid w:val="6BF43D6E"/>
    <w:rsid w:val="6BF43F27"/>
    <w:rsid w:val="6C0B0124"/>
    <w:rsid w:val="6C3A781B"/>
    <w:rsid w:val="6C884442"/>
    <w:rsid w:val="6C8D4D71"/>
    <w:rsid w:val="6CD15DD8"/>
    <w:rsid w:val="6CDC3602"/>
    <w:rsid w:val="6CF25FA0"/>
    <w:rsid w:val="6CF3094C"/>
    <w:rsid w:val="6CF3436B"/>
    <w:rsid w:val="6D257FA0"/>
    <w:rsid w:val="6D5B6316"/>
    <w:rsid w:val="6D77157D"/>
    <w:rsid w:val="6D9143ED"/>
    <w:rsid w:val="6DC40A12"/>
    <w:rsid w:val="6DC74A88"/>
    <w:rsid w:val="6DDD7C5D"/>
    <w:rsid w:val="6DDE1B2C"/>
    <w:rsid w:val="6DEA2117"/>
    <w:rsid w:val="6E050A29"/>
    <w:rsid w:val="6E113780"/>
    <w:rsid w:val="6E2178BF"/>
    <w:rsid w:val="6E62222D"/>
    <w:rsid w:val="6E6C4C84"/>
    <w:rsid w:val="6E8C1058"/>
    <w:rsid w:val="6EA5598C"/>
    <w:rsid w:val="6EBF142E"/>
    <w:rsid w:val="6F0F5F11"/>
    <w:rsid w:val="6F120DB6"/>
    <w:rsid w:val="6F2946DA"/>
    <w:rsid w:val="6F550DE0"/>
    <w:rsid w:val="6F8929B2"/>
    <w:rsid w:val="6F9836F2"/>
    <w:rsid w:val="6FD1766A"/>
    <w:rsid w:val="6FEA2615"/>
    <w:rsid w:val="70294E19"/>
    <w:rsid w:val="703A6FBE"/>
    <w:rsid w:val="70531E2E"/>
    <w:rsid w:val="70637DEC"/>
    <w:rsid w:val="707138C4"/>
    <w:rsid w:val="707443AD"/>
    <w:rsid w:val="707D7922"/>
    <w:rsid w:val="70990122"/>
    <w:rsid w:val="70A50A55"/>
    <w:rsid w:val="70AC7790"/>
    <w:rsid w:val="70AE36D8"/>
    <w:rsid w:val="70C60851"/>
    <w:rsid w:val="70CE7706"/>
    <w:rsid w:val="70D00980"/>
    <w:rsid w:val="70DD3DED"/>
    <w:rsid w:val="70E51DA8"/>
    <w:rsid w:val="70F96E79"/>
    <w:rsid w:val="71213150"/>
    <w:rsid w:val="712D267F"/>
    <w:rsid w:val="712F47EA"/>
    <w:rsid w:val="713C6679"/>
    <w:rsid w:val="713E70F6"/>
    <w:rsid w:val="714802B0"/>
    <w:rsid w:val="71812600"/>
    <w:rsid w:val="71946BA2"/>
    <w:rsid w:val="719C15B2"/>
    <w:rsid w:val="71A843FB"/>
    <w:rsid w:val="71A9542C"/>
    <w:rsid w:val="71D82792"/>
    <w:rsid w:val="71E35433"/>
    <w:rsid w:val="71F94EA8"/>
    <w:rsid w:val="71FE401B"/>
    <w:rsid w:val="721B6770"/>
    <w:rsid w:val="721E450C"/>
    <w:rsid w:val="72514A93"/>
    <w:rsid w:val="7262278F"/>
    <w:rsid w:val="7285457E"/>
    <w:rsid w:val="72BC63B0"/>
    <w:rsid w:val="730C2768"/>
    <w:rsid w:val="7329331A"/>
    <w:rsid w:val="732A300A"/>
    <w:rsid w:val="733A0A1E"/>
    <w:rsid w:val="73A429A0"/>
    <w:rsid w:val="73B93EE5"/>
    <w:rsid w:val="73BE1CB4"/>
    <w:rsid w:val="73CC7691"/>
    <w:rsid w:val="73D85A6B"/>
    <w:rsid w:val="740A6CA7"/>
    <w:rsid w:val="74AE006A"/>
    <w:rsid w:val="74AE1D28"/>
    <w:rsid w:val="74B84D2D"/>
    <w:rsid w:val="74C2331D"/>
    <w:rsid w:val="74CF1255"/>
    <w:rsid w:val="74E7523A"/>
    <w:rsid w:val="74F24A8E"/>
    <w:rsid w:val="74FB54A4"/>
    <w:rsid w:val="751610E2"/>
    <w:rsid w:val="751A7B05"/>
    <w:rsid w:val="751C63E4"/>
    <w:rsid w:val="7521643E"/>
    <w:rsid w:val="753A180E"/>
    <w:rsid w:val="75611CC1"/>
    <w:rsid w:val="756215FB"/>
    <w:rsid w:val="756248C1"/>
    <w:rsid w:val="75822D61"/>
    <w:rsid w:val="759233F8"/>
    <w:rsid w:val="75C71154"/>
    <w:rsid w:val="75D25EEA"/>
    <w:rsid w:val="75DD731F"/>
    <w:rsid w:val="764B039C"/>
    <w:rsid w:val="766641C7"/>
    <w:rsid w:val="766656C3"/>
    <w:rsid w:val="76740D50"/>
    <w:rsid w:val="768014A2"/>
    <w:rsid w:val="768D4B1F"/>
    <w:rsid w:val="76B352F7"/>
    <w:rsid w:val="76BD4AAB"/>
    <w:rsid w:val="76C22210"/>
    <w:rsid w:val="76CA7E5A"/>
    <w:rsid w:val="770A59BD"/>
    <w:rsid w:val="77120FDD"/>
    <w:rsid w:val="7741479F"/>
    <w:rsid w:val="775C2950"/>
    <w:rsid w:val="77610F13"/>
    <w:rsid w:val="776B3787"/>
    <w:rsid w:val="778C37F8"/>
    <w:rsid w:val="77903967"/>
    <w:rsid w:val="779D7E32"/>
    <w:rsid w:val="77B12E34"/>
    <w:rsid w:val="77B32EDF"/>
    <w:rsid w:val="77BF5FFA"/>
    <w:rsid w:val="77CA451A"/>
    <w:rsid w:val="77D46CD2"/>
    <w:rsid w:val="77D83D50"/>
    <w:rsid w:val="77EF6F6D"/>
    <w:rsid w:val="77F50340"/>
    <w:rsid w:val="78056103"/>
    <w:rsid w:val="780F6F82"/>
    <w:rsid w:val="781D0CC1"/>
    <w:rsid w:val="7823193A"/>
    <w:rsid w:val="782E61C7"/>
    <w:rsid w:val="7836235A"/>
    <w:rsid w:val="783B33E4"/>
    <w:rsid w:val="78534B66"/>
    <w:rsid w:val="787B0197"/>
    <w:rsid w:val="787E1A12"/>
    <w:rsid w:val="78A00DCC"/>
    <w:rsid w:val="78BE10F6"/>
    <w:rsid w:val="78BF6934"/>
    <w:rsid w:val="78C25DA2"/>
    <w:rsid w:val="78D43D28"/>
    <w:rsid w:val="78FD502C"/>
    <w:rsid w:val="790E2D96"/>
    <w:rsid w:val="792275BE"/>
    <w:rsid w:val="793F4A83"/>
    <w:rsid w:val="794672BF"/>
    <w:rsid w:val="794F79D4"/>
    <w:rsid w:val="79532E9E"/>
    <w:rsid w:val="79797086"/>
    <w:rsid w:val="797A5F8B"/>
    <w:rsid w:val="798D4602"/>
    <w:rsid w:val="7A0C5557"/>
    <w:rsid w:val="7A170370"/>
    <w:rsid w:val="7A3C1D44"/>
    <w:rsid w:val="7A401675"/>
    <w:rsid w:val="7A666C01"/>
    <w:rsid w:val="7A8B158A"/>
    <w:rsid w:val="7ABB0CFB"/>
    <w:rsid w:val="7AD647F1"/>
    <w:rsid w:val="7ADD5362"/>
    <w:rsid w:val="7AE069B4"/>
    <w:rsid w:val="7B1A0118"/>
    <w:rsid w:val="7B302174"/>
    <w:rsid w:val="7B62386D"/>
    <w:rsid w:val="7B6E2211"/>
    <w:rsid w:val="7BD217F3"/>
    <w:rsid w:val="7BF93B51"/>
    <w:rsid w:val="7C277454"/>
    <w:rsid w:val="7C37432E"/>
    <w:rsid w:val="7C52743D"/>
    <w:rsid w:val="7C594C70"/>
    <w:rsid w:val="7C7C270C"/>
    <w:rsid w:val="7C85264B"/>
    <w:rsid w:val="7CB63E70"/>
    <w:rsid w:val="7CC266CE"/>
    <w:rsid w:val="7CC76395"/>
    <w:rsid w:val="7D00333D"/>
    <w:rsid w:val="7D677B9D"/>
    <w:rsid w:val="7D7A30EF"/>
    <w:rsid w:val="7D906276"/>
    <w:rsid w:val="7D9D293A"/>
    <w:rsid w:val="7DB41364"/>
    <w:rsid w:val="7DE44A0D"/>
    <w:rsid w:val="7DEC55B6"/>
    <w:rsid w:val="7E17093E"/>
    <w:rsid w:val="7E1E7F1F"/>
    <w:rsid w:val="7E2F667A"/>
    <w:rsid w:val="7E321E60"/>
    <w:rsid w:val="7E493D4F"/>
    <w:rsid w:val="7E51149B"/>
    <w:rsid w:val="7E5356EF"/>
    <w:rsid w:val="7E6A7424"/>
    <w:rsid w:val="7E7358B0"/>
    <w:rsid w:val="7E916B3D"/>
    <w:rsid w:val="7E9B65C0"/>
    <w:rsid w:val="7EA95725"/>
    <w:rsid w:val="7EDC55C4"/>
    <w:rsid w:val="7F1205F3"/>
    <w:rsid w:val="7F43729D"/>
    <w:rsid w:val="7F52551F"/>
    <w:rsid w:val="7F69341C"/>
    <w:rsid w:val="7F6B3277"/>
    <w:rsid w:val="7F7C3A97"/>
    <w:rsid w:val="7F8F2756"/>
    <w:rsid w:val="7FFA6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2">
    <w:name w:val="heading 4"/>
    <w:basedOn w:val="1"/>
    <w:next w:val="1"/>
    <w:qFormat/>
    <w:uiPriority w:val="0"/>
    <w:pPr>
      <w:keepNext/>
      <w:keepLines/>
      <w:spacing w:line="374" w:lineRule="auto"/>
      <w:outlineLvl w:val="3"/>
    </w:pPr>
    <w:rPr>
      <w:rFonts w:ascii="Arial" w:hAnsi="Arial"/>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next w:val="1"/>
    <w:qFormat/>
    <w:uiPriority w:val="0"/>
    <w:pPr>
      <w:adjustRightInd w:val="0"/>
      <w:spacing w:line="360" w:lineRule="atLeast"/>
      <w:jc w:val="left"/>
      <w:textAlignment w:val="baseline"/>
    </w:pPr>
    <w:rPr>
      <w:kern w:val="0"/>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Body Text 2"/>
    <w:basedOn w:val="1"/>
    <w:next w:val="5"/>
    <w:qFormat/>
    <w:uiPriority w:val="0"/>
    <w:pPr>
      <w:spacing w:line="500" w:lineRule="exact"/>
    </w:pPr>
    <w:rPr>
      <w:rFonts w:ascii="宋体"/>
      <w:sz w:val="24"/>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qFormat/>
    <w:uiPriority w:val="99"/>
    <w:pPr>
      <w:spacing w:line="240" w:lineRule="auto"/>
      <w:ind w:firstLine="420" w:firstLineChars="100"/>
    </w:pPr>
    <w:rPr>
      <w:rFonts w:ascii="Times New Roman" w:cs="Times New Roman"/>
      <w:sz w:val="20"/>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FollowedHyperlink"/>
    <w:basedOn w:val="16"/>
    <w:qFormat/>
    <w:uiPriority w:val="0"/>
    <w:rPr>
      <w:color w:val="333333"/>
      <w:u w:val="none"/>
    </w:rPr>
  </w:style>
  <w:style w:type="character" w:styleId="19">
    <w:name w:val="Emphasis"/>
    <w:basedOn w:val="16"/>
    <w:qFormat/>
    <w:uiPriority w:val="0"/>
    <w:rPr>
      <w:i/>
    </w:rPr>
  </w:style>
  <w:style w:type="character" w:styleId="20">
    <w:name w:val="HTML Variable"/>
    <w:basedOn w:val="16"/>
    <w:qFormat/>
    <w:uiPriority w:val="0"/>
    <w:rPr>
      <w:i/>
    </w:rPr>
  </w:style>
  <w:style w:type="character" w:styleId="21">
    <w:name w:val="Hyperlink"/>
    <w:basedOn w:val="16"/>
    <w:qFormat/>
    <w:uiPriority w:val="0"/>
    <w:rPr>
      <w:color w:val="333333"/>
      <w:u w:val="none"/>
    </w:rPr>
  </w:style>
  <w:style w:type="character" w:styleId="22">
    <w:name w:val="HTML Code"/>
    <w:basedOn w:val="16"/>
    <w:qFormat/>
    <w:uiPriority w:val="0"/>
    <w:rPr>
      <w:rFonts w:ascii="Courier New" w:hAnsi="Courier New"/>
      <w:sz w:val="20"/>
    </w:rPr>
  </w:style>
  <w:style w:type="character" w:styleId="23">
    <w:name w:val="HTML Cite"/>
    <w:basedOn w:val="16"/>
    <w:qFormat/>
    <w:uiPriority w:val="0"/>
    <w:rPr>
      <w:i/>
    </w:rPr>
  </w:style>
  <w:style w:type="paragraph" w:customStyle="1" w:styleId="24">
    <w:name w:val="样式 宋体 行距: 1.5 倍行距"/>
    <w:next w:val="1"/>
    <w:qFormat/>
    <w:uiPriority w:val="99"/>
    <w:pPr>
      <w:widowControl w:val="0"/>
      <w:jc w:val="center"/>
    </w:pPr>
    <w:rPr>
      <w:rFonts w:ascii="Times New Roman" w:hAnsi="Calibri" w:eastAsia="宋体" w:cs="Times New Roman"/>
      <w:b/>
      <w:bCs/>
      <w:kern w:val="2"/>
      <w:sz w:val="21"/>
      <w:szCs w:val="24"/>
      <w:lang w:val="en-US" w:eastAsia="zh-CN" w:bidi="ar-SA"/>
    </w:rPr>
  </w:style>
  <w:style w:type="paragraph" w:customStyle="1" w:styleId="25">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6">
    <w:name w:val="NormalCharacter"/>
    <w:qFormat/>
    <w:uiPriority w:val="99"/>
  </w:style>
  <w:style w:type="paragraph" w:customStyle="1" w:styleId="27">
    <w:name w:val="Table Text"/>
    <w:basedOn w:val="1"/>
    <w:semiHidden/>
    <w:qFormat/>
    <w:uiPriority w:val="0"/>
    <w:rPr>
      <w:rFonts w:ascii="Arial" w:hAnsi="Arial" w:eastAsia="Arial" w:cs="Arial"/>
      <w:sz w:val="21"/>
      <w:szCs w:val="21"/>
      <w:lang w:val="en-US" w:eastAsia="en-US" w:bidi="ar-SA"/>
    </w:rPr>
  </w:style>
  <w:style w:type="paragraph" w:customStyle="1" w:styleId="2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正文缩进1"/>
    <w:basedOn w:val="1"/>
    <w:qFormat/>
    <w:uiPriority w:val="0"/>
    <w:pPr>
      <w:widowControl/>
      <w:ind w:firstLine="420"/>
      <w:jc w:val="left"/>
    </w:pPr>
    <w:rPr>
      <w:kern w:val="0"/>
    </w:rPr>
  </w:style>
  <w:style w:type="paragraph" w:customStyle="1" w:styleId="30">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1">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2">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3">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4">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5">
    <w:name w:val="Heading2"/>
    <w:basedOn w:val="1"/>
    <w:next w:val="1"/>
    <w:qFormat/>
    <w:uiPriority w:val="99"/>
    <w:pPr>
      <w:jc w:val="left"/>
    </w:pPr>
    <w:rPr>
      <w:kern w:val="0"/>
    </w:rPr>
  </w:style>
  <w:style w:type="paragraph" w:customStyle="1" w:styleId="36">
    <w:name w:val="AnnotationText"/>
    <w:basedOn w:val="1"/>
    <w:qFormat/>
    <w:uiPriority w:val="99"/>
    <w:pPr>
      <w:spacing w:line="360" w:lineRule="atLeast"/>
      <w:jc w:val="left"/>
    </w:pPr>
    <w:rPr>
      <w:kern w:val="0"/>
    </w:rPr>
  </w:style>
  <w:style w:type="paragraph" w:customStyle="1" w:styleId="37">
    <w:name w:val="UserStyle_44"/>
    <w:basedOn w:val="38"/>
    <w:qFormat/>
    <w:uiPriority w:val="99"/>
    <w:rPr>
      <w:sz w:val="24"/>
      <w:szCs w:val="24"/>
    </w:rPr>
  </w:style>
  <w:style w:type="paragraph" w:customStyle="1" w:styleId="38">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9">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0">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1">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42">
    <w:name w:val="BodyText"/>
    <w:basedOn w:val="1"/>
    <w:next w:val="43"/>
    <w:qFormat/>
    <w:uiPriority w:val="99"/>
    <w:pPr>
      <w:spacing w:after="120"/>
    </w:pPr>
  </w:style>
  <w:style w:type="paragraph" w:customStyle="1" w:styleId="43">
    <w:name w:val="BodyText2"/>
    <w:basedOn w:val="1"/>
    <w:qFormat/>
    <w:uiPriority w:val="99"/>
    <w:pPr>
      <w:spacing w:line="500" w:lineRule="exact"/>
    </w:pPr>
  </w:style>
  <w:style w:type="paragraph" w:customStyle="1" w:styleId="44">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5">
    <w:name w:val="正文缩进 New"/>
    <w:basedOn w:val="46"/>
    <w:qFormat/>
    <w:uiPriority w:val="0"/>
    <w:pPr>
      <w:widowControl/>
      <w:ind w:firstLine="420"/>
      <w:jc w:val="left"/>
    </w:pPr>
    <w:rPr>
      <w:kern w:val="0"/>
      <w:sz w:val="20"/>
    </w:rPr>
  </w:style>
  <w:style w:type="paragraph" w:customStyle="1" w:styleId="46">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47">
    <w:name w:val="正文文本 (2) + 间距 0 pt3"/>
    <w:basedOn w:val="16"/>
    <w:qFormat/>
    <w:uiPriority w:val="0"/>
    <w:rPr>
      <w:rFonts w:ascii="MingLiU" w:hAnsi="Times New Roman" w:eastAsia="MingLiU" w:cs="MingLiU"/>
      <w:spacing w:val="0"/>
      <w:sz w:val="22"/>
      <w:szCs w:val="22"/>
      <w:u w:val="none"/>
    </w:rPr>
  </w:style>
  <w:style w:type="character" w:customStyle="1" w:styleId="48">
    <w:name w:val="hover21"/>
    <w:basedOn w:val="16"/>
    <w:qFormat/>
    <w:uiPriority w:val="0"/>
    <w:rPr>
      <w:color w:val="5FB878"/>
    </w:rPr>
  </w:style>
  <w:style w:type="character" w:customStyle="1" w:styleId="49">
    <w:name w:val="hover22"/>
    <w:basedOn w:val="16"/>
    <w:qFormat/>
    <w:uiPriority w:val="0"/>
    <w:rPr>
      <w:color w:val="FFFFFF"/>
    </w:rPr>
  </w:style>
  <w:style w:type="character" w:customStyle="1" w:styleId="50">
    <w:name w:val="hover23"/>
    <w:basedOn w:val="16"/>
    <w:qFormat/>
    <w:uiPriority w:val="0"/>
    <w:rPr>
      <w:color w:val="5FB878"/>
    </w:rPr>
  </w:style>
  <w:style w:type="paragraph" w:customStyle="1" w:styleId="5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4"/>
    <w:qFormat/>
    <w:uiPriority w:val="0"/>
    <w:pPr>
      <w:widowControl w:val="0"/>
      <w:jc w:val="both"/>
    </w:pPr>
    <w:rPr>
      <w:rFonts w:ascii="Calibri" w:hAnsi="Calibri" w:eastAsia="宋体" w:cs="黑体"/>
      <w:kern w:val="2"/>
      <w:sz w:val="21"/>
      <w:szCs w:val="24"/>
      <w:lang w:val="en-US" w:eastAsia="zh-CN" w:bidi="ar-SA"/>
    </w:rPr>
  </w:style>
  <w:style w:type="paragraph" w:customStyle="1" w:styleId="52">
    <w:name w:val="Default"/>
    <w:qFormat/>
    <w:uiPriority w:val="0"/>
    <w:pPr>
      <w:widowControl w:val="0"/>
      <w:autoSpaceDE w:val="0"/>
      <w:autoSpaceDN w:val="0"/>
      <w:adjustRightInd w:val="0"/>
    </w:pPr>
    <w:rPr>
      <w:rFonts w:hint="eastAsia" w:ascii="仿宋" w:hAnsi="仿宋" w:eastAsia="仿宋" w:cs="Times New Roman"/>
      <w:color w:val="000000"/>
      <w:sz w:val="24"/>
      <w:lang w:val="en-US" w:eastAsia="zh-CN" w:bidi="ar-SA"/>
    </w:rPr>
  </w:style>
  <w:style w:type="paragraph" w:customStyle="1" w:styleId="53">
    <w:name w:val="UserStyle_76"/>
    <w:qFormat/>
    <w:uiPriority w:val="0"/>
    <w:pPr>
      <w:spacing w:line="360" w:lineRule="auto"/>
      <w:ind w:firstLine="420"/>
      <w:jc w:val="left"/>
      <w:textAlignment w:val="baseline"/>
    </w:pPr>
    <w:rPr>
      <w:rFonts w:ascii="宋体" w:hAnsi="Times New Roman" w:eastAsia="宋体" w:cs="宋体"/>
      <w:kern w:val="0"/>
      <w:sz w:val="20"/>
      <w:szCs w:val="20"/>
      <w:lang w:val="en-US" w:eastAsia="zh-CN"/>
    </w:rPr>
  </w:style>
  <w:style w:type="paragraph" w:customStyle="1" w:styleId="54">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5">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6">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8.png"/><Relationship Id="rId55" Type="http://schemas.openxmlformats.org/officeDocument/2006/relationships/image" Target="media/image17.jpeg"/><Relationship Id="rId54" Type="http://schemas.openxmlformats.org/officeDocument/2006/relationships/image" Target="media/image16.png"/><Relationship Id="rId53" Type="http://schemas.openxmlformats.org/officeDocument/2006/relationships/image" Target="media/image15.png"/><Relationship Id="rId52" Type="http://schemas.openxmlformats.org/officeDocument/2006/relationships/image" Target="media/image14.wmf"/><Relationship Id="rId51" Type="http://schemas.openxmlformats.org/officeDocument/2006/relationships/oleObject" Target="embeddings/oleObject12.bin"/><Relationship Id="rId50" Type="http://schemas.openxmlformats.org/officeDocument/2006/relationships/image" Target="media/image13.wmf"/><Relationship Id="rId5" Type="http://schemas.openxmlformats.org/officeDocument/2006/relationships/footer" Target="footer2.xml"/><Relationship Id="rId49" Type="http://schemas.openxmlformats.org/officeDocument/2006/relationships/oleObject" Target="embeddings/oleObject11.bin"/><Relationship Id="rId48" Type="http://schemas.openxmlformats.org/officeDocument/2006/relationships/image" Target="media/image12.wmf"/><Relationship Id="rId47" Type="http://schemas.openxmlformats.org/officeDocument/2006/relationships/oleObject" Target="embeddings/oleObject10.bin"/><Relationship Id="rId46" Type="http://schemas.openxmlformats.org/officeDocument/2006/relationships/image" Target="media/image11.wmf"/><Relationship Id="rId45" Type="http://schemas.openxmlformats.org/officeDocument/2006/relationships/oleObject" Target="embeddings/oleObject9.bin"/><Relationship Id="rId44" Type="http://schemas.openxmlformats.org/officeDocument/2006/relationships/image" Target="media/image10.wmf"/><Relationship Id="rId43" Type="http://schemas.openxmlformats.org/officeDocument/2006/relationships/oleObject" Target="embeddings/oleObject8.bin"/><Relationship Id="rId42" Type="http://schemas.openxmlformats.org/officeDocument/2006/relationships/image" Target="media/image9.wmf"/><Relationship Id="rId41" Type="http://schemas.openxmlformats.org/officeDocument/2006/relationships/oleObject" Target="embeddings/oleObject7.bin"/><Relationship Id="rId40" Type="http://schemas.openxmlformats.org/officeDocument/2006/relationships/image" Target="media/image8.wmf"/><Relationship Id="rId4" Type="http://schemas.openxmlformats.org/officeDocument/2006/relationships/footer" Target="footer1.xml"/><Relationship Id="rId39" Type="http://schemas.openxmlformats.org/officeDocument/2006/relationships/oleObject" Target="embeddings/oleObject6.bin"/><Relationship Id="rId38" Type="http://schemas.openxmlformats.org/officeDocument/2006/relationships/image" Target="media/image7.wmf"/><Relationship Id="rId37" Type="http://schemas.openxmlformats.org/officeDocument/2006/relationships/oleObject" Target="embeddings/oleObject5.bin"/><Relationship Id="rId36" Type="http://schemas.openxmlformats.org/officeDocument/2006/relationships/image" Target="media/image6.wmf"/><Relationship Id="rId35" Type="http://schemas.openxmlformats.org/officeDocument/2006/relationships/oleObject" Target="embeddings/oleObject4.bin"/><Relationship Id="rId34" Type="http://schemas.openxmlformats.org/officeDocument/2006/relationships/image" Target="media/image5.wmf"/><Relationship Id="rId33" Type="http://schemas.openxmlformats.org/officeDocument/2006/relationships/oleObject" Target="embeddings/oleObject3.bin"/><Relationship Id="rId32" Type="http://schemas.openxmlformats.org/officeDocument/2006/relationships/image" Target="media/image4.wmf"/><Relationship Id="rId31" Type="http://schemas.openxmlformats.org/officeDocument/2006/relationships/oleObject" Target="embeddings/oleObject2.bin"/><Relationship Id="rId30" Type="http://schemas.openxmlformats.org/officeDocument/2006/relationships/image" Target="media/image3.wmf"/><Relationship Id="rId3" Type="http://schemas.openxmlformats.org/officeDocument/2006/relationships/header" Target="header1.xml"/><Relationship Id="rId29" Type="http://schemas.openxmlformats.org/officeDocument/2006/relationships/oleObject" Target="embeddings/oleObject1.bin"/><Relationship Id="rId28" Type="http://schemas.openxmlformats.org/officeDocument/2006/relationships/image" Target="media/image2.png"/><Relationship Id="rId27" Type="http://schemas.openxmlformats.org/officeDocument/2006/relationships/image" Target="media/image1.jpeg"/><Relationship Id="rId26" Type="http://schemas.openxmlformats.org/officeDocument/2006/relationships/theme" Target="theme/theme1.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93</Pages>
  <Words>136</Words>
  <Characters>141</Characters>
  <Lines>0</Lines>
  <Paragraphs>0</Paragraphs>
  <TotalTime>5</TotalTime>
  <ScaleCrop>false</ScaleCrop>
  <LinksUpToDate>false</LinksUpToDate>
  <CharactersWithSpaces>163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2024-09-28T04:36:00Z</dcterms:created>
  <dc:creator>Administrator</dc:creator>
  <cp:lastModifiedBy>SS</cp:lastModifiedBy>
  <cp:lastPrinted>2026-10-29T07:26:08Z</cp:lastPrinted>
  <dcterms:modified xsi:type="dcterms:W3CDTF">2026-10-29T07:31:10Z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F97D93E9B02A464AA235F0ADA8E8DD0B_13</vt:lpwstr>
  </property>
  <property fmtid="{D5CDD505-2E9C-101B-9397-08002B2CF9AE}" pid="4" name="KSOTemplateDocerSaveRecord">
    <vt:lpwstr>eyJoZGlkIjoiYmEyZDMxNWRkYmY5MjE3NjUxYTk3ZDA1NDUyNmVkYWEiLCJ1c2VySWQiOiI1MTEwMDIyMTUifQ==</vt:lpwstr>
  </property>
</Properties>
</file>