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8B883E8">
      <w:pPr>
        <w:pStyle w:val="141"/>
        <w:wordWrap w:val="0"/>
        <w:adjustRightInd w:val="0"/>
        <w:snapToGrid w:val="0"/>
        <w:spacing w:line="360" w:lineRule="auto"/>
        <w:jc w:val="center"/>
        <w:outlineLvl w:val="9"/>
        <w:rPr>
          <w:rFonts w:hint="eastAsia" w:ascii="宋体" w:hAnsi="宋体" w:eastAsia="宋体" w:cs="宋体"/>
          <w:b/>
          <w:bCs/>
          <w:strike w:val="0"/>
          <w:dstrike w:val="0"/>
          <w:snapToGrid w:val="0"/>
          <w:color w:val="auto"/>
          <w:kern w:val="0"/>
          <w:sz w:val="52"/>
          <w:szCs w:val="52"/>
          <w:highlight w:val="none"/>
        </w:rPr>
      </w:pPr>
      <w:r>
        <w:rPr>
          <w:rFonts w:hint="eastAsia" w:ascii="宋体" w:hAnsi="宋体" w:eastAsia="宋体" w:cs="宋体"/>
          <w:bCs/>
          <w:strike w:val="0"/>
          <w:dstrike w:val="0"/>
          <w:snapToGrid w:val="0"/>
          <w:color w:val="auto"/>
          <w:kern w:val="0"/>
          <w:sz w:val="48"/>
          <w:szCs w:val="24"/>
          <w:highlight w:val="none"/>
          <w:u w:val="single"/>
          <w:lang w:val="en-US" w:eastAsia="zh-CN"/>
        </w:rPr>
        <w:t>翁源县“百千万工程”之全域推进农村人居环境整治建设项目——翁城镇农村生活污水治理建设项目施工监理</w:t>
      </w:r>
    </w:p>
    <w:p w14:paraId="16EE0FA2">
      <w:pPr>
        <w:pStyle w:val="141"/>
        <w:wordWrap w:val="0"/>
        <w:adjustRightInd w:val="0"/>
        <w:snapToGrid w:val="0"/>
        <w:spacing w:line="360" w:lineRule="auto"/>
        <w:jc w:val="both"/>
        <w:outlineLvl w:val="9"/>
        <w:rPr>
          <w:rFonts w:hint="eastAsia" w:ascii="宋体" w:hAnsi="宋体" w:eastAsia="宋体" w:cs="宋体"/>
          <w:b/>
          <w:bCs/>
          <w:strike w:val="0"/>
          <w:dstrike w:val="0"/>
          <w:snapToGrid w:val="0"/>
          <w:color w:val="auto"/>
          <w:kern w:val="0"/>
          <w:sz w:val="72"/>
          <w:szCs w:val="72"/>
          <w:highlight w:val="none"/>
        </w:rPr>
      </w:pPr>
    </w:p>
    <w:p w14:paraId="2EB4FAAA">
      <w:pPr>
        <w:pStyle w:val="141"/>
        <w:wordWrap w:val="0"/>
        <w:adjustRightInd w:val="0"/>
        <w:snapToGrid w:val="0"/>
        <w:spacing w:line="360" w:lineRule="auto"/>
        <w:jc w:val="center"/>
        <w:outlineLvl w:val="9"/>
        <w:rPr>
          <w:rFonts w:hint="eastAsia" w:ascii="宋体" w:hAnsi="宋体" w:eastAsia="宋体" w:cs="宋体"/>
          <w:b/>
          <w:bCs/>
          <w:strike w:val="0"/>
          <w:dstrike w:val="0"/>
          <w:snapToGrid w:val="0"/>
          <w:color w:val="auto"/>
          <w:kern w:val="0"/>
          <w:sz w:val="48"/>
          <w:szCs w:val="48"/>
          <w:highlight w:val="none"/>
        </w:rPr>
      </w:pPr>
      <w:r>
        <w:rPr>
          <w:rFonts w:hint="eastAsia" w:ascii="宋体" w:hAnsi="宋体" w:eastAsia="宋体" w:cs="宋体"/>
          <w:b/>
          <w:bCs/>
          <w:strike w:val="0"/>
          <w:dstrike w:val="0"/>
          <w:snapToGrid w:val="0"/>
          <w:color w:val="auto"/>
          <w:kern w:val="0"/>
          <w:sz w:val="72"/>
          <w:szCs w:val="72"/>
          <w:highlight w:val="none"/>
        </w:rPr>
        <w:t>招标文件</w:t>
      </w:r>
    </w:p>
    <w:p w14:paraId="7D8EA86C">
      <w:pPr>
        <w:pStyle w:val="2"/>
        <w:rPr>
          <w:rFonts w:hint="eastAsia"/>
          <w:color w:val="auto"/>
          <w:highlight w:val="none"/>
        </w:rPr>
      </w:pPr>
    </w:p>
    <w:p w14:paraId="7F51B5BC">
      <w:pPr>
        <w:wordWrap w:val="0"/>
        <w:adjustRightInd w:val="0"/>
        <w:snapToGrid w:val="0"/>
        <w:jc w:val="center"/>
        <w:rPr>
          <w:rFonts w:hint="eastAsia" w:ascii="宋体" w:hAnsi="宋体" w:eastAsia="宋体" w:cs="宋体"/>
          <w:b/>
          <w:bCs/>
          <w:strike w:val="0"/>
          <w:dstrike w:val="0"/>
          <w:snapToGrid w:val="0"/>
          <w:color w:val="auto"/>
          <w:kern w:val="0"/>
          <w:sz w:val="48"/>
          <w:szCs w:val="48"/>
          <w:highlight w:val="none"/>
        </w:rPr>
      </w:pPr>
    </w:p>
    <w:tbl>
      <w:tblPr>
        <w:tblStyle w:val="31"/>
        <w:tblW w:w="9728" w:type="dxa"/>
        <w:tblInd w:w="-100" w:type="dxa"/>
        <w:tblLayout w:type="fixed"/>
        <w:tblCellMar>
          <w:top w:w="0" w:type="dxa"/>
          <w:left w:w="0" w:type="dxa"/>
          <w:bottom w:w="0" w:type="dxa"/>
          <w:right w:w="0" w:type="dxa"/>
        </w:tblCellMar>
      </w:tblPr>
      <w:tblGrid>
        <w:gridCol w:w="4708"/>
        <w:gridCol w:w="5020"/>
      </w:tblGrid>
      <w:tr w14:paraId="5E683703">
        <w:tblPrEx>
          <w:tblCellMar>
            <w:top w:w="0" w:type="dxa"/>
            <w:left w:w="0" w:type="dxa"/>
            <w:bottom w:w="0" w:type="dxa"/>
            <w:right w:w="0" w:type="dxa"/>
          </w:tblCellMar>
        </w:tblPrEx>
        <w:trPr>
          <w:trHeight w:val="1070" w:hRule="atLeast"/>
        </w:trPr>
        <w:tc>
          <w:tcPr>
            <w:tcW w:w="4708" w:type="dxa"/>
            <w:noWrap w:val="0"/>
            <w:vAlign w:val="center"/>
          </w:tcPr>
          <w:p w14:paraId="6CF9629B">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     标     人（盖单位章）：</w:t>
            </w:r>
          </w:p>
        </w:tc>
        <w:tc>
          <w:tcPr>
            <w:tcW w:w="5020" w:type="dxa"/>
            <w:noWrap w:val="0"/>
            <w:vAlign w:val="center"/>
          </w:tcPr>
          <w:p w14:paraId="0063EE7E">
            <w:pPr>
              <w:pStyle w:val="60"/>
              <w:wordWrap w:val="0"/>
              <w:adjustRightInd w:val="0"/>
              <w:snapToGrid w:val="0"/>
              <w:spacing w:line="240" w:lineRule="auto"/>
              <w:rPr>
                <w:rFonts w:hint="eastAsia" w:ascii="宋体" w:hAnsi="宋体" w:eastAsia="宋体" w:cs="宋体"/>
                <w:strike w:val="0"/>
                <w:dstrike w:val="0"/>
                <w:snapToGrid w:val="0"/>
                <w:color w:val="auto"/>
                <w:kern w:val="0"/>
                <w:sz w:val="28"/>
                <w:szCs w:val="28"/>
                <w:highlight w:val="none"/>
                <w:lang w:val="en-US" w:eastAsia="zh-CN"/>
              </w:rPr>
            </w:pPr>
            <w:r>
              <w:rPr>
                <w:rFonts w:hint="eastAsia" w:hAnsi="宋体" w:cs="宋体"/>
                <w:strike w:val="0"/>
                <w:dstrike w:val="0"/>
                <w:snapToGrid w:val="0"/>
                <w:color w:val="auto"/>
                <w:kern w:val="0"/>
                <w:sz w:val="28"/>
                <w:szCs w:val="28"/>
                <w:highlight w:val="none"/>
                <w:lang w:val="en-US" w:eastAsia="zh-CN"/>
              </w:rPr>
              <w:t>翁源县翁城镇人民政府</w:t>
            </w:r>
          </w:p>
        </w:tc>
      </w:tr>
      <w:tr w14:paraId="66F93FA2">
        <w:tblPrEx>
          <w:tblCellMar>
            <w:top w:w="0" w:type="dxa"/>
            <w:left w:w="0" w:type="dxa"/>
            <w:bottom w:w="0" w:type="dxa"/>
            <w:right w:w="0" w:type="dxa"/>
          </w:tblCellMar>
        </w:tblPrEx>
        <w:trPr>
          <w:trHeight w:val="1012" w:hRule="atLeast"/>
        </w:trPr>
        <w:tc>
          <w:tcPr>
            <w:tcW w:w="4708" w:type="dxa"/>
            <w:noWrap w:val="0"/>
            <w:vAlign w:val="center"/>
          </w:tcPr>
          <w:p w14:paraId="310A9D46">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招标人工作领导小组负责人（签字）：</w:t>
            </w:r>
          </w:p>
        </w:tc>
        <w:tc>
          <w:tcPr>
            <w:tcW w:w="5020" w:type="dxa"/>
            <w:noWrap w:val="0"/>
            <w:vAlign w:val="center"/>
          </w:tcPr>
          <w:p w14:paraId="627C8E17">
            <w:pPr>
              <w:pStyle w:val="60"/>
              <w:wordWrap w:val="0"/>
              <w:adjustRightInd w:val="0"/>
              <w:snapToGrid w:val="0"/>
              <w:spacing w:line="240" w:lineRule="auto"/>
              <w:rPr>
                <w:rFonts w:hint="eastAsia" w:ascii="宋体" w:hAnsi="宋体" w:eastAsia="宋体" w:cs="宋体"/>
                <w:strike w:val="0"/>
                <w:dstrike w:val="0"/>
                <w:snapToGrid w:val="0"/>
                <w:color w:val="auto"/>
                <w:kern w:val="0"/>
                <w:sz w:val="28"/>
                <w:szCs w:val="28"/>
                <w:highlight w:val="none"/>
              </w:rPr>
            </w:pPr>
          </w:p>
        </w:tc>
      </w:tr>
      <w:tr w14:paraId="6011193D">
        <w:tblPrEx>
          <w:tblCellMar>
            <w:top w:w="0" w:type="dxa"/>
            <w:left w:w="0" w:type="dxa"/>
            <w:bottom w:w="0" w:type="dxa"/>
            <w:right w:w="0" w:type="dxa"/>
          </w:tblCellMar>
        </w:tblPrEx>
        <w:trPr>
          <w:trHeight w:val="1072" w:hRule="atLeast"/>
        </w:trPr>
        <w:tc>
          <w:tcPr>
            <w:tcW w:w="4708" w:type="dxa"/>
            <w:noWrap w:val="0"/>
            <w:vAlign w:val="center"/>
          </w:tcPr>
          <w:p w14:paraId="5A5F6A25">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 标 代 理 机 构 （盖单位章）：</w:t>
            </w:r>
          </w:p>
        </w:tc>
        <w:tc>
          <w:tcPr>
            <w:tcW w:w="5020" w:type="dxa"/>
            <w:noWrap w:val="0"/>
            <w:vAlign w:val="center"/>
          </w:tcPr>
          <w:p w14:paraId="781B3E59">
            <w:pPr>
              <w:pStyle w:val="60"/>
              <w:wordWrap w:val="0"/>
              <w:adjustRightInd w:val="0"/>
              <w:snapToGrid w:val="0"/>
              <w:spacing w:line="240" w:lineRule="auto"/>
              <w:rPr>
                <w:rFonts w:hint="default" w:ascii="宋体" w:hAnsi="宋体" w:eastAsia="宋体" w:cs="宋体"/>
                <w:strike w:val="0"/>
                <w:dstrike w:val="0"/>
                <w:snapToGrid w:val="0"/>
                <w:color w:val="auto"/>
                <w:kern w:val="0"/>
                <w:sz w:val="28"/>
                <w:szCs w:val="28"/>
                <w:highlight w:val="none"/>
                <w:lang w:val="en-US" w:eastAsia="zh-CN"/>
              </w:rPr>
            </w:pPr>
            <w:r>
              <w:rPr>
                <w:rFonts w:hint="eastAsia" w:hAnsi="宋体" w:cs="宋体"/>
                <w:strike w:val="0"/>
                <w:dstrike w:val="0"/>
                <w:snapToGrid w:val="0"/>
                <w:color w:val="auto"/>
                <w:kern w:val="0"/>
                <w:sz w:val="28"/>
                <w:szCs w:val="28"/>
                <w:highlight w:val="none"/>
                <w:lang w:val="en-US" w:eastAsia="zh-CN"/>
              </w:rPr>
              <w:t>汇龙工程咨询有限公司</w:t>
            </w:r>
          </w:p>
        </w:tc>
      </w:tr>
      <w:tr w14:paraId="004DC34E">
        <w:tblPrEx>
          <w:tblCellMar>
            <w:top w:w="0" w:type="dxa"/>
            <w:left w:w="0" w:type="dxa"/>
            <w:bottom w:w="0" w:type="dxa"/>
            <w:right w:w="0" w:type="dxa"/>
          </w:tblCellMar>
        </w:tblPrEx>
        <w:trPr>
          <w:trHeight w:val="1135" w:hRule="atLeast"/>
        </w:trPr>
        <w:tc>
          <w:tcPr>
            <w:tcW w:w="4708" w:type="dxa"/>
            <w:noWrap w:val="0"/>
            <w:vAlign w:val="center"/>
          </w:tcPr>
          <w:p w14:paraId="55D9EDEB">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招标文件编制人（签字）：</w:t>
            </w:r>
          </w:p>
        </w:tc>
        <w:tc>
          <w:tcPr>
            <w:tcW w:w="5020" w:type="dxa"/>
            <w:noWrap w:val="0"/>
            <w:vAlign w:val="center"/>
          </w:tcPr>
          <w:p w14:paraId="168C2309">
            <w:pPr>
              <w:pStyle w:val="60"/>
              <w:wordWrap w:val="0"/>
              <w:adjustRightInd w:val="0"/>
              <w:snapToGrid w:val="0"/>
              <w:spacing w:line="240" w:lineRule="auto"/>
              <w:rPr>
                <w:rFonts w:hint="eastAsia" w:ascii="宋体" w:hAnsi="宋体" w:eastAsia="宋体" w:cs="宋体"/>
                <w:strike w:val="0"/>
                <w:dstrike w:val="0"/>
                <w:snapToGrid w:val="0"/>
                <w:color w:val="auto"/>
                <w:kern w:val="0"/>
                <w:sz w:val="28"/>
                <w:szCs w:val="28"/>
                <w:highlight w:val="none"/>
              </w:rPr>
            </w:pPr>
          </w:p>
        </w:tc>
      </w:tr>
      <w:tr w14:paraId="46880814">
        <w:tblPrEx>
          <w:tblCellMar>
            <w:top w:w="0" w:type="dxa"/>
            <w:left w:w="0" w:type="dxa"/>
            <w:bottom w:w="0" w:type="dxa"/>
            <w:right w:w="0" w:type="dxa"/>
          </w:tblCellMar>
        </w:tblPrEx>
        <w:trPr>
          <w:trHeight w:val="1084" w:hRule="atLeast"/>
        </w:trPr>
        <w:tc>
          <w:tcPr>
            <w:tcW w:w="4708" w:type="dxa"/>
            <w:noWrap w:val="0"/>
            <w:vAlign w:val="center"/>
          </w:tcPr>
          <w:p w14:paraId="5AAEF965">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招标代理机构项目负责人（签字）：</w:t>
            </w:r>
          </w:p>
        </w:tc>
        <w:tc>
          <w:tcPr>
            <w:tcW w:w="5020" w:type="dxa"/>
            <w:noWrap w:val="0"/>
            <w:vAlign w:val="center"/>
          </w:tcPr>
          <w:p w14:paraId="6A653CBC">
            <w:pPr>
              <w:pStyle w:val="60"/>
              <w:wordWrap w:val="0"/>
              <w:adjustRightInd w:val="0"/>
              <w:snapToGrid w:val="0"/>
              <w:spacing w:line="240" w:lineRule="auto"/>
              <w:rPr>
                <w:rFonts w:hint="eastAsia" w:ascii="宋体" w:hAnsi="宋体" w:eastAsia="宋体" w:cs="宋体"/>
                <w:strike w:val="0"/>
                <w:dstrike w:val="0"/>
                <w:snapToGrid w:val="0"/>
                <w:color w:val="auto"/>
                <w:kern w:val="0"/>
                <w:sz w:val="28"/>
                <w:szCs w:val="28"/>
                <w:highlight w:val="none"/>
              </w:rPr>
            </w:pPr>
          </w:p>
        </w:tc>
      </w:tr>
      <w:tr w14:paraId="173CDD84">
        <w:tblPrEx>
          <w:tblCellMar>
            <w:top w:w="0" w:type="dxa"/>
            <w:left w:w="0" w:type="dxa"/>
            <w:bottom w:w="0" w:type="dxa"/>
            <w:right w:w="0" w:type="dxa"/>
          </w:tblCellMar>
        </w:tblPrEx>
        <w:trPr>
          <w:trHeight w:val="892" w:hRule="atLeast"/>
        </w:trPr>
        <w:tc>
          <w:tcPr>
            <w:tcW w:w="4708" w:type="dxa"/>
            <w:noWrap w:val="0"/>
            <w:vAlign w:val="center"/>
          </w:tcPr>
          <w:p w14:paraId="51795990">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招标文件编制日期：</w:t>
            </w:r>
          </w:p>
        </w:tc>
        <w:tc>
          <w:tcPr>
            <w:tcW w:w="5020" w:type="dxa"/>
            <w:noWrap w:val="0"/>
            <w:vAlign w:val="center"/>
          </w:tcPr>
          <w:p w14:paraId="134BA1B7">
            <w:pPr>
              <w:pStyle w:val="60"/>
              <w:wordWrap w:val="0"/>
              <w:adjustRightInd w:val="0"/>
              <w:snapToGrid w:val="0"/>
              <w:spacing w:line="240" w:lineRule="auto"/>
              <w:rPr>
                <w:rFonts w:hint="default" w:ascii="宋体" w:hAnsi="宋体" w:eastAsia="宋体" w:cs="宋体"/>
                <w:strike w:val="0"/>
                <w:dstrike w:val="0"/>
                <w:snapToGrid w:val="0"/>
                <w:color w:val="auto"/>
                <w:kern w:val="0"/>
                <w:sz w:val="28"/>
                <w:highlight w:val="none"/>
                <w:lang w:val="en-US" w:eastAsia="zh-CN"/>
              </w:rPr>
            </w:pPr>
            <w:r>
              <w:rPr>
                <w:rFonts w:hint="eastAsia" w:hAnsi="宋体" w:cs="宋体"/>
                <w:strike w:val="0"/>
                <w:dstrike w:val="0"/>
                <w:snapToGrid w:val="0"/>
                <w:color w:val="auto"/>
                <w:kern w:val="0"/>
                <w:sz w:val="28"/>
                <w:highlight w:val="none"/>
                <w:lang w:val="en-US" w:eastAsia="zh-CN"/>
              </w:rPr>
              <w:t xml:space="preserve">  2026年7月  日</w:t>
            </w:r>
          </w:p>
        </w:tc>
      </w:tr>
    </w:tbl>
    <w:p w14:paraId="52DDB548">
      <w:pPr>
        <w:rPr>
          <w:color w:val="auto"/>
          <w:highlight w:val="none"/>
        </w:rPr>
        <w:sectPr>
          <w:head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0B006F5F">
      <w:pPr>
        <w:pStyle w:val="119"/>
        <w:tabs>
          <w:tab w:val="left" w:pos="1890"/>
          <w:tab w:val="left" w:pos="4935"/>
        </w:tabs>
        <w:rPr>
          <w:rFonts w:hint="eastAsia" w:ascii="宋体" w:hAnsi="宋体" w:eastAsia="宋体" w:cs="宋体"/>
          <w:b/>
          <w:color w:val="auto"/>
          <w:sz w:val="28"/>
          <w:szCs w:val="28"/>
          <w:highlight w:val="none"/>
        </w:rPr>
        <w:sectPr>
          <w:footerReference r:id="rId6" w:type="default"/>
          <w:endnotePr>
            <w:numFmt w:val="decimal"/>
          </w:endnotePr>
          <w:pgSz w:w="11905" w:h="16838"/>
          <w:pgMar w:top="1440" w:right="1417" w:bottom="1440" w:left="1417" w:header="850" w:footer="992" w:gutter="0"/>
          <w:pgNumType w:fmt="decimal" w:start="1"/>
          <w:cols w:space="720" w:num="1"/>
          <w:rtlGutter w:val="0"/>
          <w:docGrid w:type="lines" w:linePitch="317" w:charSpace="0"/>
        </w:sectPr>
      </w:pPr>
    </w:p>
    <w:p w14:paraId="65C97C1D">
      <w:pPr>
        <w:spacing w:line="240" w:lineRule="auto"/>
        <w:jc w:val="center"/>
        <w:rPr>
          <w:b/>
          <w:bCs/>
          <w:color w:val="auto"/>
          <w:sz w:val="44"/>
          <w:szCs w:val="32"/>
          <w:highlight w:val="none"/>
        </w:rPr>
      </w:pPr>
      <w:r>
        <w:rPr>
          <w:rFonts w:hAnsi="宋体"/>
          <w:b/>
          <w:bCs/>
          <w:color w:val="auto"/>
          <w:sz w:val="36"/>
          <w:szCs w:val="32"/>
          <w:highlight w:val="none"/>
        </w:rPr>
        <w:t>目</w:t>
      </w:r>
      <w:r>
        <w:rPr>
          <w:rFonts w:hint="eastAsia" w:hAnsi="宋体"/>
          <w:b/>
          <w:bCs/>
          <w:color w:val="auto"/>
          <w:sz w:val="36"/>
          <w:szCs w:val="32"/>
          <w:highlight w:val="none"/>
        </w:rPr>
        <w:t xml:space="preserve">  </w:t>
      </w:r>
      <w:r>
        <w:rPr>
          <w:rFonts w:hAnsi="宋体"/>
          <w:b/>
          <w:bCs/>
          <w:color w:val="auto"/>
          <w:sz w:val="36"/>
          <w:szCs w:val="32"/>
          <w:highlight w:val="none"/>
        </w:rPr>
        <w:t>录</w:t>
      </w:r>
    </w:p>
    <w:p w14:paraId="228A6914">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TOC \o "1-3" \h \u </w:instrText>
      </w:r>
      <w:r>
        <w:rPr>
          <w:rFonts w:hint="eastAsia" w:hAnsi="宋体" w:cs="宋体"/>
          <w:color w:val="auto"/>
          <w:szCs w:val="24"/>
          <w:highlight w:val="none"/>
        </w:rPr>
        <w:fldChar w:fldCharType="separate"/>
      </w: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_Toc28684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_Toc28684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24"/>
          <w:highlight w:val="none"/>
        </w:rPr>
        <w:fldChar w:fldCharType="end"/>
      </w:r>
    </w:p>
    <w:p w14:paraId="5D3DC25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_Toc32446 </w:instrText>
      </w:r>
      <w:r>
        <w:rPr>
          <w:rFonts w:hint="eastAsia" w:hAnsi="宋体" w:cs="宋体"/>
          <w:color w:val="auto"/>
          <w:szCs w:val="24"/>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_Toc32446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24"/>
          <w:highlight w:val="none"/>
        </w:rPr>
        <w:fldChar w:fldCharType="end"/>
      </w:r>
    </w:p>
    <w:p w14:paraId="2634A27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_Toc32522 </w:instrText>
      </w:r>
      <w:r>
        <w:rPr>
          <w:rFonts w:hint="eastAsia" w:hAnsi="宋体" w:cs="宋体"/>
          <w:color w:val="auto"/>
          <w:szCs w:val="24"/>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_Toc32522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28D7332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_Toc16304 </w:instrText>
      </w:r>
      <w:r>
        <w:rPr>
          <w:rFonts w:hint="eastAsia" w:hAnsi="宋体" w:cs="宋体"/>
          <w:color w:val="auto"/>
          <w:szCs w:val="24"/>
          <w:highlight w:val="none"/>
        </w:rPr>
        <w:fldChar w:fldCharType="separate"/>
      </w:r>
      <w:r>
        <w:rPr>
          <w:rFonts w:hint="eastAsia"/>
          <w:bCs/>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_Toc16304 \h </w:instrText>
      </w:r>
      <w:r>
        <w:rPr>
          <w:color w:val="auto"/>
          <w:highlight w:val="none"/>
        </w:rPr>
        <w:fldChar w:fldCharType="separate"/>
      </w:r>
      <w:r>
        <w:rPr>
          <w:color w:val="auto"/>
          <w:highlight w:val="none"/>
        </w:rPr>
        <w:t>9</w:t>
      </w:r>
      <w:r>
        <w:rPr>
          <w:color w:val="auto"/>
          <w:highlight w:val="none"/>
        </w:rPr>
        <w:fldChar w:fldCharType="end"/>
      </w:r>
      <w:r>
        <w:rPr>
          <w:rFonts w:hint="eastAsia" w:hAnsi="宋体" w:cs="宋体"/>
          <w:color w:val="auto"/>
          <w:szCs w:val="24"/>
          <w:highlight w:val="none"/>
        </w:rPr>
        <w:fldChar w:fldCharType="end"/>
      </w:r>
    </w:p>
    <w:p w14:paraId="5C4F335A">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_Toc9487 </w:instrText>
      </w:r>
      <w:r>
        <w:rPr>
          <w:rFonts w:hint="eastAsia" w:hAnsi="宋体" w:cs="宋体"/>
          <w:color w:val="auto"/>
          <w:szCs w:val="24"/>
          <w:highlight w:val="none"/>
        </w:rPr>
        <w:fldChar w:fldCharType="separate"/>
      </w:r>
      <w:r>
        <w:rPr>
          <w:rFonts w:hint="eastAsia"/>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_Toc9487 \h </w:instrText>
      </w:r>
      <w:r>
        <w:rPr>
          <w:color w:val="auto"/>
          <w:highlight w:val="none"/>
        </w:rPr>
        <w:fldChar w:fldCharType="separate"/>
      </w:r>
      <w:r>
        <w:rPr>
          <w:color w:val="auto"/>
          <w:highlight w:val="none"/>
        </w:rPr>
        <w:t>9</w:t>
      </w:r>
      <w:r>
        <w:rPr>
          <w:color w:val="auto"/>
          <w:highlight w:val="none"/>
        </w:rPr>
        <w:fldChar w:fldCharType="end"/>
      </w:r>
      <w:r>
        <w:rPr>
          <w:rFonts w:hint="eastAsia" w:hAnsi="宋体" w:cs="宋体"/>
          <w:color w:val="auto"/>
          <w:szCs w:val="24"/>
          <w:highlight w:val="none"/>
        </w:rPr>
        <w:fldChar w:fldCharType="end"/>
      </w:r>
    </w:p>
    <w:p w14:paraId="69377FD3">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_Toc31535 </w:instrText>
      </w:r>
      <w:r>
        <w:rPr>
          <w:rFonts w:hint="eastAsia" w:hAnsi="宋体" w:cs="宋体"/>
          <w:color w:val="auto"/>
          <w:szCs w:val="24"/>
          <w:highlight w:val="none"/>
        </w:rPr>
        <w:fldChar w:fldCharType="separate"/>
      </w:r>
      <w:r>
        <w:rPr>
          <w:rFonts w:hint="eastAsia"/>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_Toc31535 \h </w:instrText>
      </w:r>
      <w:r>
        <w:rPr>
          <w:color w:val="auto"/>
          <w:highlight w:val="none"/>
        </w:rPr>
        <w:fldChar w:fldCharType="separate"/>
      </w:r>
      <w:r>
        <w:rPr>
          <w:color w:val="auto"/>
          <w:highlight w:val="none"/>
        </w:rPr>
        <w:t>9</w:t>
      </w:r>
      <w:r>
        <w:rPr>
          <w:color w:val="auto"/>
          <w:highlight w:val="none"/>
        </w:rPr>
        <w:fldChar w:fldCharType="end"/>
      </w:r>
      <w:r>
        <w:rPr>
          <w:rFonts w:hint="eastAsia" w:hAnsi="宋体" w:cs="宋体"/>
          <w:color w:val="auto"/>
          <w:szCs w:val="24"/>
          <w:highlight w:val="none"/>
        </w:rPr>
        <w:fldChar w:fldCharType="end"/>
      </w:r>
    </w:p>
    <w:p w14:paraId="7D4B0FCB">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_Toc12683 </w:instrText>
      </w:r>
      <w:r>
        <w:rPr>
          <w:rFonts w:hint="eastAsia" w:hAnsi="宋体" w:cs="宋体"/>
          <w:color w:val="auto"/>
          <w:szCs w:val="24"/>
          <w:highlight w:val="none"/>
        </w:rPr>
        <w:fldChar w:fldCharType="separate"/>
      </w:r>
      <w:r>
        <w:rPr>
          <w:rFonts w:hint="eastAsia" w:ascii="宋体" w:hAnsi="宋体" w:cs="宋体"/>
          <w:bCs/>
          <w:snapToGrid w:val="0"/>
          <w:color w:val="auto"/>
          <w:kern w:val="0"/>
          <w:highlight w:val="none"/>
        </w:rPr>
        <w:t>3．获取招标文件</w:t>
      </w:r>
      <w:r>
        <w:rPr>
          <w:color w:val="auto"/>
          <w:highlight w:val="none"/>
        </w:rPr>
        <w:tab/>
      </w:r>
      <w:r>
        <w:rPr>
          <w:color w:val="auto"/>
          <w:highlight w:val="none"/>
        </w:rPr>
        <w:fldChar w:fldCharType="begin"/>
      </w:r>
      <w:r>
        <w:rPr>
          <w:color w:val="auto"/>
          <w:highlight w:val="none"/>
        </w:rPr>
        <w:instrText xml:space="preserve"> PAGEREF _Toc12683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4D955DB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_Toc16883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_Toc16883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2215BC69">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_Toc7476 </w:instrText>
      </w:r>
      <w:r>
        <w:rPr>
          <w:rFonts w:hint="eastAsia" w:hAnsi="宋体" w:cs="宋体"/>
          <w:color w:val="auto"/>
          <w:szCs w:val="24"/>
          <w:highlight w:val="none"/>
        </w:rPr>
        <w:fldChar w:fldCharType="separate"/>
      </w:r>
      <w:r>
        <w:rPr>
          <w:rFonts w:hint="eastAsia" w:hAnsi="宋体" w:cs="宋体"/>
          <w:snapToGrid w:val="0"/>
          <w:color w:val="auto"/>
          <w:highlight w:val="none"/>
        </w:rPr>
        <w:t>5．服务标准</w:t>
      </w:r>
      <w:r>
        <w:rPr>
          <w:color w:val="auto"/>
          <w:highlight w:val="none"/>
        </w:rPr>
        <w:tab/>
      </w:r>
      <w:r>
        <w:rPr>
          <w:color w:val="auto"/>
          <w:highlight w:val="none"/>
        </w:rPr>
        <w:fldChar w:fldCharType="begin"/>
      </w:r>
      <w:r>
        <w:rPr>
          <w:color w:val="auto"/>
          <w:highlight w:val="none"/>
        </w:rPr>
        <w:instrText xml:space="preserve"> PAGEREF _Toc7476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69695AEA">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_Toc12596 </w:instrText>
      </w:r>
      <w:r>
        <w:rPr>
          <w:rFonts w:hint="eastAsia" w:hAnsi="宋体" w:cs="宋体"/>
          <w:color w:val="auto"/>
          <w:szCs w:val="24"/>
          <w:highlight w:val="none"/>
        </w:rPr>
        <w:fldChar w:fldCharType="separate"/>
      </w:r>
      <w:r>
        <w:rPr>
          <w:rFonts w:hint="eastAsia" w:hAnsi="宋体" w:cs="宋体"/>
          <w:snapToGrid w:val="0"/>
          <w:color w:val="auto"/>
          <w:highlight w:val="none"/>
        </w:rPr>
        <w:t>6．现场踏勘</w:t>
      </w:r>
      <w:r>
        <w:rPr>
          <w:color w:val="auto"/>
          <w:highlight w:val="none"/>
        </w:rPr>
        <w:tab/>
      </w:r>
      <w:r>
        <w:rPr>
          <w:color w:val="auto"/>
          <w:highlight w:val="none"/>
        </w:rPr>
        <w:fldChar w:fldCharType="begin"/>
      </w:r>
      <w:r>
        <w:rPr>
          <w:color w:val="auto"/>
          <w:highlight w:val="none"/>
        </w:rPr>
        <w:instrText xml:space="preserve"> PAGEREF _Toc12596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13525909">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_Toc25173 </w:instrText>
      </w:r>
      <w:r>
        <w:rPr>
          <w:rFonts w:hint="eastAsia" w:hAnsi="宋体" w:cs="宋体"/>
          <w:color w:val="auto"/>
          <w:szCs w:val="24"/>
          <w:highlight w:val="none"/>
        </w:rPr>
        <w:fldChar w:fldCharType="separate"/>
      </w:r>
      <w:r>
        <w:rPr>
          <w:rFonts w:hint="eastAsia" w:hAnsi="宋体" w:cs="宋体"/>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_Toc25173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45A168FD">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_Toc11326 </w:instrText>
      </w:r>
      <w:r>
        <w:rPr>
          <w:rFonts w:hint="eastAsia" w:hAnsi="宋体" w:cs="宋体"/>
          <w:color w:val="auto"/>
          <w:szCs w:val="24"/>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_Toc11326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60AD7DFA">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_Toc2193 </w:instrText>
      </w:r>
      <w:r>
        <w:rPr>
          <w:rFonts w:hint="eastAsia" w:hAnsi="宋体" w:cs="宋体"/>
          <w:color w:val="auto"/>
          <w:szCs w:val="24"/>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_Toc2193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09F56172">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_Toc4002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_Toc4002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15C486C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_Toc1986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11．电子投标</w:t>
      </w:r>
      <w:r>
        <w:rPr>
          <w:color w:val="auto"/>
          <w:highlight w:val="none"/>
        </w:rPr>
        <w:tab/>
      </w:r>
      <w:r>
        <w:rPr>
          <w:color w:val="auto"/>
          <w:highlight w:val="none"/>
        </w:rPr>
        <w:fldChar w:fldCharType="begin"/>
      </w:r>
      <w:r>
        <w:rPr>
          <w:color w:val="auto"/>
          <w:highlight w:val="none"/>
        </w:rPr>
        <w:instrText xml:space="preserve"> PAGEREF _Toc1986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5384DBF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_Toc4888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12. 投标文件的提交</w:t>
      </w:r>
      <w:r>
        <w:rPr>
          <w:color w:val="auto"/>
          <w:highlight w:val="none"/>
        </w:rPr>
        <w:tab/>
      </w:r>
      <w:r>
        <w:rPr>
          <w:color w:val="auto"/>
          <w:highlight w:val="none"/>
        </w:rPr>
        <w:fldChar w:fldCharType="begin"/>
      </w:r>
      <w:r>
        <w:rPr>
          <w:color w:val="auto"/>
          <w:highlight w:val="none"/>
        </w:rPr>
        <w:instrText xml:space="preserve"> PAGEREF _Toc4888 \h </w:instrText>
      </w:r>
      <w:r>
        <w:rPr>
          <w:color w:val="auto"/>
          <w:highlight w:val="none"/>
        </w:rPr>
        <w:fldChar w:fldCharType="separate"/>
      </w:r>
      <w:r>
        <w:rPr>
          <w:color w:val="auto"/>
          <w:highlight w:val="none"/>
        </w:rPr>
        <w:t>19</w:t>
      </w:r>
      <w:r>
        <w:rPr>
          <w:color w:val="auto"/>
          <w:highlight w:val="none"/>
        </w:rPr>
        <w:fldChar w:fldCharType="end"/>
      </w:r>
      <w:r>
        <w:rPr>
          <w:rFonts w:hint="eastAsia" w:hAnsi="宋体" w:cs="宋体"/>
          <w:color w:val="auto"/>
          <w:szCs w:val="24"/>
          <w:highlight w:val="none"/>
        </w:rPr>
        <w:fldChar w:fldCharType="end"/>
      </w:r>
    </w:p>
    <w:p w14:paraId="3EA20A99">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_Toc739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13．投标有效期</w:t>
      </w:r>
      <w:r>
        <w:rPr>
          <w:color w:val="auto"/>
          <w:highlight w:val="none"/>
        </w:rPr>
        <w:tab/>
      </w:r>
      <w:r>
        <w:rPr>
          <w:color w:val="auto"/>
          <w:highlight w:val="none"/>
        </w:rPr>
        <w:fldChar w:fldCharType="begin"/>
      </w:r>
      <w:r>
        <w:rPr>
          <w:color w:val="auto"/>
          <w:highlight w:val="none"/>
        </w:rPr>
        <w:instrText xml:space="preserve"> PAGEREF _Toc739 \h </w:instrText>
      </w:r>
      <w:r>
        <w:rPr>
          <w:color w:val="auto"/>
          <w:highlight w:val="none"/>
        </w:rPr>
        <w:fldChar w:fldCharType="separate"/>
      </w:r>
      <w:r>
        <w:rPr>
          <w:color w:val="auto"/>
          <w:highlight w:val="none"/>
        </w:rPr>
        <w:t>19</w:t>
      </w:r>
      <w:r>
        <w:rPr>
          <w:color w:val="auto"/>
          <w:highlight w:val="none"/>
        </w:rPr>
        <w:fldChar w:fldCharType="end"/>
      </w:r>
      <w:r>
        <w:rPr>
          <w:rFonts w:hint="eastAsia" w:hAnsi="宋体" w:cs="宋体"/>
          <w:color w:val="auto"/>
          <w:szCs w:val="24"/>
          <w:highlight w:val="none"/>
        </w:rPr>
        <w:fldChar w:fldCharType="end"/>
      </w:r>
    </w:p>
    <w:p w14:paraId="1551660B">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_Toc30542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14．开标</w:t>
      </w:r>
      <w:r>
        <w:rPr>
          <w:color w:val="auto"/>
          <w:highlight w:val="none"/>
        </w:rPr>
        <w:tab/>
      </w:r>
      <w:r>
        <w:rPr>
          <w:color w:val="auto"/>
          <w:highlight w:val="none"/>
        </w:rPr>
        <w:fldChar w:fldCharType="begin"/>
      </w:r>
      <w:r>
        <w:rPr>
          <w:color w:val="auto"/>
          <w:highlight w:val="none"/>
        </w:rPr>
        <w:instrText xml:space="preserve"> PAGEREF _Toc30542 \h </w:instrText>
      </w:r>
      <w:r>
        <w:rPr>
          <w:color w:val="auto"/>
          <w:highlight w:val="none"/>
        </w:rPr>
        <w:fldChar w:fldCharType="separate"/>
      </w:r>
      <w:r>
        <w:rPr>
          <w:color w:val="auto"/>
          <w:highlight w:val="none"/>
        </w:rPr>
        <w:t>19</w:t>
      </w:r>
      <w:r>
        <w:rPr>
          <w:color w:val="auto"/>
          <w:highlight w:val="none"/>
        </w:rPr>
        <w:fldChar w:fldCharType="end"/>
      </w:r>
      <w:r>
        <w:rPr>
          <w:rFonts w:hint="eastAsia" w:hAnsi="宋体" w:cs="宋体"/>
          <w:color w:val="auto"/>
          <w:szCs w:val="24"/>
          <w:highlight w:val="none"/>
        </w:rPr>
        <w:fldChar w:fldCharType="end"/>
      </w:r>
    </w:p>
    <w:p w14:paraId="3D02FAD1">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_Toc8989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_Toc8989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szCs w:val="24"/>
          <w:highlight w:val="none"/>
        </w:rPr>
        <w:fldChar w:fldCharType="end"/>
      </w:r>
    </w:p>
    <w:p w14:paraId="4A369EC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_Toc23668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16．推荐中标候选人</w:t>
      </w:r>
      <w:r>
        <w:rPr>
          <w:color w:val="auto"/>
          <w:highlight w:val="none"/>
        </w:rPr>
        <w:tab/>
      </w:r>
      <w:r>
        <w:rPr>
          <w:color w:val="auto"/>
          <w:highlight w:val="none"/>
        </w:rPr>
        <w:fldChar w:fldCharType="begin"/>
      </w:r>
      <w:r>
        <w:rPr>
          <w:color w:val="auto"/>
          <w:highlight w:val="none"/>
        </w:rPr>
        <w:instrText xml:space="preserve"> PAGEREF _Toc23668 \h </w:instrText>
      </w:r>
      <w:r>
        <w:rPr>
          <w:color w:val="auto"/>
          <w:highlight w:val="none"/>
        </w:rPr>
        <w:fldChar w:fldCharType="separate"/>
      </w:r>
      <w:r>
        <w:rPr>
          <w:color w:val="auto"/>
          <w:highlight w:val="none"/>
        </w:rPr>
        <w:t>31</w:t>
      </w:r>
      <w:r>
        <w:rPr>
          <w:color w:val="auto"/>
          <w:highlight w:val="none"/>
        </w:rPr>
        <w:fldChar w:fldCharType="end"/>
      </w:r>
      <w:r>
        <w:rPr>
          <w:rFonts w:hint="eastAsia" w:hAnsi="宋体" w:cs="宋体"/>
          <w:color w:val="auto"/>
          <w:szCs w:val="24"/>
          <w:highlight w:val="none"/>
        </w:rPr>
        <w:fldChar w:fldCharType="end"/>
      </w:r>
    </w:p>
    <w:p w14:paraId="2868C0B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_Toc22756 </w:instrText>
      </w:r>
      <w:r>
        <w:rPr>
          <w:rFonts w:hint="eastAsia" w:hAnsi="宋体" w:cs="宋体"/>
          <w:color w:val="auto"/>
          <w:szCs w:val="24"/>
          <w:highlight w:val="none"/>
        </w:rPr>
        <w:fldChar w:fldCharType="separate"/>
      </w:r>
      <w:r>
        <w:rPr>
          <w:rFonts w:hint="eastAsia" w:ascii="宋体" w:hAnsi="宋体" w:eastAsia="宋体" w:cs="宋体"/>
          <w:snapToGrid w:val="0"/>
          <w:color w:val="auto"/>
          <w:kern w:val="0"/>
          <w:highlight w:val="none"/>
        </w:rPr>
        <w:t>1</w:t>
      </w:r>
      <w:r>
        <w:rPr>
          <w:rFonts w:hint="eastAsia" w:ascii="宋体" w:hAnsi="宋体" w:eastAsia="宋体" w:cs="宋体"/>
          <w:snapToGrid w:val="0"/>
          <w:color w:val="auto"/>
          <w:kern w:val="0"/>
          <w:highlight w:val="none"/>
          <w:lang w:val="en-US" w:eastAsia="zh-CN"/>
        </w:rPr>
        <w:t>7</w:t>
      </w:r>
      <w:r>
        <w:rPr>
          <w:rFonts w:hint="eastAsia" w:ascii="宋体" w:hAnsi="宋体" w:eastAsia="宋体" w:cs="宋体"/>
          <w:snapToGrid w:val="0"/>
          <w:color w:val="auto"/>
          <w:kern w:val="0"/>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_Toc22756 \h </w:instrText>
      </w:r>
      <w:r>
        <w:rPr>
          <w:color w:val="auto"/>
          <w:highlight w:val="none"/>
        </w:rPr>
        <w:fldChar w:fldCharType="separate"/>
      </w:r>
      <w:r>
        <w:rPr>
          <w:color w:val="auto"/>
          <w:highlight w:val="none"/>
        </w:rPr>
        <w:t>31</w:t>
      </w:r>
      <w:r>
        <w:rPr>
          <w:color w:val="auto"/>
          <w:highlight w:val="none"/>
        </w:rPr>
        <w:fldChar w:fldCharType="end"/>
      </w:r>
      <w:r>
        <w:rPr>
          <w:rFonts w:hint="eastAsia" w:hAnsi="宋体" w:cs="宋体"/>
          <w:color w:val="auto"/>
          <w:szCs w:val="24"/>
          <w:highlight w:val="none"/>
        </w:rPr>
        <w:fldChar w:fldCharType="end"/>
      </w:r>
    </w:p>
    <w:p w14:paraId="35168E0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_Toc17009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_Toc17009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3A4AB3C0">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_Toc8541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_Toc8541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41A1BB7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_Toc22542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_Toc22542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5B6FDA13">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_Toc1804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_Toc1804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2853B870">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_Toc22668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_Toc22668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44B608E3">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_Toc401 </w:instrText>
      </w:r>
      <w:r>
        <w:rPr>
          <w:rFonts w:hint="eastAsia" w:hAnsi="宋体" w:cs="宋体"/>
          <w:color w:val="auto"/>
          <w:szCs w:val="24"/>
          <w:highlight w:val="none"/>
        </w:rPr>
        <w:fldChar w:fldCharType="separate"/>
      </w:r>
      <w:r>
        <w:rPr>
          <w:rFonts w:hint="eastAsia" w:hAnsi="宋体" w:cs="宋体"/>
          <w:snapToGrid w:val="0"/>
          <w:color w:val="auto"/>
          <w:szCs w:val="22"/>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_Toc401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13810C5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_Toc17192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1．中标通知书</w:t>
      </w:r>
      <w:r>
        <w:rPr>
          <w:color w:val="auto"/>
          <w:highlight w:val="none"/>
        </w:rPr>
        <w:tab/>
      </w:r>
      <w:r>
        <w:rPr>
          <w:color w:val="auto"/>
          <w:highlight w:val="none"/>
        </w:rPr>
        <w:fldChar w:fldCharType="begin"/>
      </w:r>
      <w:r>
        <w:rPr>
          <w:color w:val="auto"/>
          <w:highlight w:val="none"/>
        </w:rPr>
        <w:instrText xml:space="preserve"> PAGEREF _Toc17192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09285EA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_Toc18659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2．中标结果公示</w:t>
      </w:r>
      <w:r>
        <w:rPr>
          <w:color w:val="auto"/>
          <w:highlight w:val="none"/>
        </w:rPr>
        <w:tab/>
      </w:r>
      <w:r>
        <w:rPr>
          <w:color w:val="auto"/>
          <w:highlight w:val="none"/>
        </w:rPr>
        <w:fldChar w:fldCharType="begin"/>
      </w:r>
      <w:r>
        <w:rPr>
          <w:color w:val="auto"/>
          <w:highlight w:val="none"/>
        </w:rPr>
        <w:instrText xml:space="preserve"> PAGEREF _Toc18659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4273051">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_Toc5857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3</w:t>
      </w:r>
      <w:r>
        <w:rPr>
          <w:rFonts w:hint="eastAsia" w:hAnsi="宋体" w:cs="宋体"/>
          <w:bCs/>
          <w:snapToGrid w:val="0"/>
          <w:color w:val="auto"/>
          <w:kern w:val="0"/>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_Toc5857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5EBF91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_Toc4933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4.合同订立</w:t>
      </w:r>
      <w:r>
        <w:rPr>
          <w:color w:val="auto"/>
          <w:highlight w:val="none"/>
        </w:rPr>
        <w:tab/>
      </w:r>
      <w:r>
        <w:rPr>
          <w:color w:val="auto"/>
          <w:highlight w:val="none"/>
        </w:rPr>
        <w:fldChar w:fldCharType="begin"/>
      </w:r>
      <w:r>
        <w:rPr>
          <w:color w:val="auto"/>
          <w:highlight w:val="none"/>
        </w:rPr>
        <w:instrText xml:space="preserve"> PAGEREF _Toc4933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0D7BF36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_Toc7981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5</w:t>
      </w:r>
      <w:r>
        <w:rPr>
          <w:rFonts w:hint="eastAsia" w:hAnsi="宋体" w:cs="宋体"/>
          <w:bCs/>
          <w:snapToGrid w:val="0"/>
          <w:color w:val="auto"/>
          <w:kern w:val="0"/>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_Toc7981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4DA8DE1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_Toc7088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6</w:t>
      </w:r>
      <w:r>
        <w:rPr>
          <w:rFonts w:hint="eastAsia" w:hAnsi="宋体" w:cs="宋体"/>
          <w:bCs/>
          <w:snapToGrid w:val="0"/>
          <w:color w:val="auto"/>
          <w:kern w:val="0"/>
          <w:szCs w:val="24"/>
          <w:highlight w:val="none"/>
        </w:rPr>
        <w:t>．分包</w:t>
      </w:r>
      <w:r>
        <w:rPr>
          <w:color w:val="auto"/>
          <w:highlight w:val="none"/>
        </w:rPr>
        <w:tab/>
      </w:r>
      <w:r>
        <w:rPr>
          <w:color w:val="auto"/>
          <w:highlight w:val="none"/>
        </w:rPr>
        <w:fldChar w:fldCharType="begin"/>
      </w:r>
      <w:r>
        <w:rPr>
          <w:color w:val="auto"/>
          <w:highlight w:val="none"/>
        </w:rPr>
        <w:instrText xml:space="preserve"> PAGEREF _Toc7088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0AAC41D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_Toc6953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7</w:t>
      </w:r>
      <w:r>
        <w:rPr>
          <w:rFonts w:hint="eastAsia" w:hAnsi="宋体" w:cs="宋体"/>
          <w:bCs/>
          <w:snapToGrid w:val="0"/>
          <w:color w:val="auto"/>
          <w:kern w:val="0"/>
          <w:szCs w:val="24"/>
          <w:highlight w:val="none"/>
        </w:rPr>
        <w:t>．监理服务期限</w:t>
      </w:r>
      <w:r>
        <w:rPr>
          <w:color w:val="auto"/>
          <w:highlight w:val="none"/>
        </w:rPr>
        <w:tab/>
      </w:r>
      <w:r>
        <w:rPr>
          <w:color w:val="auto"/>
          <w:highlight w:val="none"/>
        </w:rPr>
        <w:fldChar w:fldCharType="begin"/>
      </w:r>
      <w:r>
        <w:rPr>
          <w:color w:val="auto"/>
          <w:highlight w:val="none"/>
        </w:rPr>
        <w:instrText xml:space="preserve"> PAGEREF _Toc6953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3955497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_Toc31907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8</w:t>
      </w:r>
      <w:r>
        <w:rPr>
          <w:rFonts w:hint="eastAsia" w:hAnsi="宋体" w:cs="宋体"/>
          <w:bCs/>
          <w:snapToGrid w:val="0"/>
          <w:color w:val="auto"/>
          <w:kern w:val="0"/>
          <w:szCs w:val="24"/>
          <w:highlight w:val="none"/>
        </w:rPr>
        <w:t>．项目监理机构</w:t>
      </w:r>
      <w:r>
        <w:rPr>
          <w:color w:val="auto"/>
          <w:highlight w:val="none"/>
        </w:rPr>
        <w:tab/>
      </w:r>
      <w:r>
        <w:rPr>
          <w:color w:val="auto"/>
          <w:highlight w:val="none"/>
        </w:rPr>
        <w:fldChar w:fldCharType="begin"/>
      </w:r>
      <w:r>
        <w:rPr>
          <w:color w:val="auto"/>
          <w:highlight w:val="none"/>
        </w:rPr>
        <w:instrText xml:space="preserve"> PAGEREF _Toc31907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3FD75F6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_Toc15281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9</w:t>
      </w:r>
      <w:r>
        <w:rPr>
          <w:rFonts w:hint="eastAsia" w:hAnsi="宋体" w:cs="宋体"/>
          <w:snapToGrid w:val="0"/>
          <w:color w:val="auto"/>
          <w:kern w:val="0"/>
          <w:szCs w:val="24"/>
          <w:highlight w:val="none"/>
        </w:rPr>
        <w:t>．安全防护</w:t>
      </w:r>
      <w:r>
        <w:rPr>
          <w:color w:val="auto"/>
          <w:highlight w:val="none"/>
        </w:rPr>
        <w:tab/>
      </w:r>
      <w:r>
        <w:rPr>
          <w:color w:val="auto"/>
          <w:highlight w:val="none"/>
        </w:rPr>
        <w:fldChar w:fldCharType="begin"/>
      </w:r>
      <w:r>
        <w:rPr>
          <w:color w:val="auto"/>
          <w:highlight w:val="none"/>
        </w:rPr>
        <w:instrText xml:space="preserve"> PAGEREF _Toc15281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2819528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_Toc2694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10</w:t>
      </w:r>
      <w:r>
        <w:rPr>
          <w:rFonts w:hint="eastAsia" w:hAnsi="宋体" w:cs="宋体"/>
          <w:snapToGrid w:val="0"/>
          <w:color w:val="auto"/>
          <w:kern w:val="0"/>
          <w:szCs w:val="24"/>
          <w:highlight w:val="none"/>
        </w:rPr>
        <w:t>．接受监督</w:t>
      </w:r>
      <w:r>
        <w:rPr>
          <w:color w:val="auto"/>
          <w:highlight w:val="none"/>
        </w:rPr>
        <w:tab/>
      </w:r>
      <w:r>
        <w:rPr>
          <w:color w:val="auto"/>
          <w:highlight w:val="none"/>
        </w:rPr>
        <w:fldChar w:fldCharType="begin"/>
      </w:r>
      <w:r>
        <w:rPr>
          <w:color w:val="auto"/>
          <w:highlight w:val="none"/>
        </w:rPr>
        <w:instrText xml:space="preserve"> PAGEREF _Toc2694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1F210F2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_Toc5818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rPr>
        <w:t>．监理档案移交</w:t>
      </w:r>
      <w:r>
        <w:rPr>
          <w:color w:val="auto"/>
          <w:highlight w:val="none"/>
        </w:rPr>
        <w:tab/>
      </w:r>
      <w:r>
        <w:rPr>
          <w:color w:val="auto"/>
          <w:highlight w:val="none"/>
        </w:rPr>
        <w:fldChar w:fldCharType="begin"/>
      </w:r>
      <w:r>
        <w:rPr>
          <w:color w:val="auto"/>
          <w:highlight w:val="none"/>
        </w:rPr>
        <w:instrText xml:space="preserve"> PAGEREF _Toc5818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5B6B91AF">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_Toc29177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w:t>
      </w:r>
      <w:r>
        <w:rPr>
          <w:rFonts w:hint="eastAsia" w:hAnsi="宋体" w:cs="宋体"/>
          <w:bCs/>
          <w:snapToGrid w:val="0"/>
          <w:color w:val="auto"/>
          <w:kern w:val="0"/>
          <w:szCs w:val="24"/>
          <w:highlight w:val="none"/>
          <w:lang w:val="en-US" w:eastAsia="zh-CN"/>
        </w:rPr>
        <w:t>2</w:t>
      </w:r>
      <w:r>
        <w:rPr>
          <w:rFonts w:hint="eastAsia" w:hAnsi="宋体" w:cs="宋体"/>
          <w:snapToGrid w:val="0"/>
          <w:color w:val="auto"/>
          <w:kern w:val="0"/>
          <w:szCs w:val="24"/>
          <w:highlight w:val="none"/>
        </w:rPr>
        <w:t>．不良行为处理</w:t>
      </w:r>
      <w:r>
        <w:rPr>
          <w:color w:val="auto"/>
          <w:highlight w:val="none"/>
        </w:rPr>
        <w:tab/>
      </w:r>
      <w:r>
        <w:rPr>
          <w:color w:val="auto"/>
          <w:highlight w:val="none"/>
        </w:rPr>
        <w:fldChar w:fldCharType="begin"/>
      </w:r>
      <w:r>
        <w:rPr>
          <w:color w:val="auto"/>
          <w:highlight w:val="none"/>
        </w:rPr>
        <w:instrText xml:space="preserve"> PAGEREF _Toc29177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76D0EA0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_Toc25306 </w:instrText>
      </w:r>
      <w:r>
        <w:rPr>
          <w:rFonts w:hint="eastAsia" w:hAnsi="宋体" w:cs="宋体"/>
          <w:color w:val="auto"/>
          <w:szCs w:val="24"/>
          <w:highlight w:val="none"/>
        </w:rPr>
        <w:fldChar w:fldCharType="separate"/>
      </w:r>
      <w:r>
        <w:rPr>
          <w:rFonts w:hint="eastAsia" w:ascii="宋体" w:hAnsi="宋体" w:cs="宋体"/>
          <w:bCs/>
          <w:snapToGrid w:val="0"/>
          <w:color w:val="auto"/>
          <w:kern w:val="0"/>
          <w:szCs w:val="24"/>
          <w:highlight w:val="none"/>
        </w:rPr>
        <w:t>1</w:t>
      </w:r>
      <w:r>
        <w:rPr>
          <w:rFonts w:hint="eastAsia" w:ascii="宋体" w:hAnsi="宋体" w:cs="宋体"/>
          <w:bCs/>
          <w:snapToGrid w:val="0"/>
          <w:color w:val="auto"/>
          <w:kern w:val="0"/>
          <w:szCs w:val="24"/>
          <w:highlight w:val="none"/>
          <w:lang w:val="en-US" w:eastAsia="zh-CN"/>
        </w:rPr>
        <w:t>3</w:t>
      </w:r>
      <w:r>
        <w:rPr>
          <w:rFonts w:hint="eastAsia" w:ascii="宋体" w:hAnsi="宋体" w:cs="宋体"/>
          <w:snapToGrid w:val="0"/>
          <w:color w:val="auto"/>
          <w:kern w:val="0"/>
          <w:szCs w:val="24"/>
          <w:highlight w:val="none"/>
        </w:rPr>
        <w:t>．</w:t>
      </w:r>
      <w:r>
        <w:rPr>
          <w:rFonts w:hint="eastAsia" w:ascii="宋体" w:hAnsi="宋体" w:cs="宋体"/>
          <w:bCs/>
          <w:snapToGrid w:val="0"/>
          <w:color w:val="auto"/>
          <w:kern w:val="0"/>
          <w:szCs w:val="24"/>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_Toc25306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54FEA325">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_Toc16840 </w:instrText>
      </w:r>
      <w:r>
        <w:rPr>
          <w:rFonts w:hint="eastAsia" w:hAnsi="宋体" w:cs="宋体"/>
          <w:color w:val="auto"/>
          <w:szCs w:val="24"/>
          <w:highlight w:val="none"/>
        </w:rPr>
        <w:fldChar w:fldCharType="separate"/>
      </w:r>
      <w:r>
        <w:rPr>
          <w:rFonts w:hint="eastAsia" w:hAnsi="宋体" w:cs="宋体"/>
          <w:snapToGrid w:val="0"/>
          <w:color w:val="auto"/>
          <w:szCs w:val="32"/>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_Toc16840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4CB09E6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_Toc9210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1．现场办公条件</w:t>
      </w:r>
      <w:r>
        <w:rPr>
          <w:color w:val="auto"/>
          <w:highlight w:val="none"/>
        </w:rPr>
        <w:tab/>
      </w:r>
      <w:r>
        <w:rPr>
          <w:color w:val="auto"/>
          <w:highlight w:val="none"/>
        </w:rPr>
        <w:fldChar w:fldCharType="begin"/>
      </w:r>
      <w:r>
        <w:rPr>
          <w:color w:val="auto"/>
          <w:highlight w:val="none"/>
        </w:rPr>
        <w:instrText xml:space="preserve"> PAGEREF _Toc9210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130DB693">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_Toc1375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2．监理服务费</w:t>
      </w:r>
      <w:r>
        <w:rPr>
          <w:color w:val="auto"/>
          <w:highlight w:val="none"/>
        </w:rPr>
        <w:tab/>
      </w:r>
      <w:r>
        <w:rPr>
          <w:color w:val="auto"/>
          <w:highlight w:val="none"/>
        </w:rPr>
        <w:fldChar w:fldCharType="begin"/>
      </w:r>
      <w:r>
        <w:rPr>
          <w:color w:val="auto"/>
          <w:highlight w:val="none"/>
        </w:rPr>
        <w:instrText xml:space="preserve"> PAGEREF _Toc1375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0BB35D7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_Toc31344 </w:instrText>
      </w:r>
      <w:r>
        <w:rPr>
          <w:rFonts w:hint="eastAsia" w:hAnsi="宋体" w:cs="宋体"/>
          <w:color w:val="auto"/>
          <w:szCs w:val="24"/>
          <w:highlight w:val="none"/>
        </w:rPr>
        <w:fldChar w:fldCharType="separate"/>
      </w:r>
      <w:r>
        <w:rPr>
          <w:rFonts w:hint="eastAsia" w:ascii="宋体" w:hAnsi="宋体" w:eastAsia="宋体" w:cs="宋体"/>
          <w:bCs/>
          <w:snapToGrid w:val="0"/>
          <w:color w:val="auto"/>
          <w:kern w:val="0"/>
          <w:szCs w:val="24"/>
          <w:highlight w:val="none"/>
        </w:rPr>
        <w:t>3．监理服务费发票</w:t>
      </w:r>
      <w:r>
        <w:rPr>
          <w:color w:val="auto"/>
          <w:highlight w:val="none"/>
        </w:rPr>
        <w:tab/>
      </w:r>
      <w:r>
        <w:rPr>
          <w:color w:val="auto"/>
          <w:highlight w:val="none"/>
        </w:rPr>
        <w:fldChar w:fldCharType="begin"/>
      </w:r>
      <w:r>
        <w:rPr>
          <w:color w:val="auto"/>
          <w:highlight w:val="none"/>
        </w:rPr>
        <w:instrText xml:space="preserve"> PAGEREF _Toc31344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4816AA6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_Toc31725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4．违约责任</w:t>
      </w:r>
      <w:r>
        <w:rPr>
          <w:color w:val="auto"/>
          <w:highlight w:val="none"/>
        </w:rPr>
        <w:tab/>
      </w:r>
      <w:r>
        <w:rPr>
          <w:color w:val="auto"/>
          <w:highlight w:val="none"/>
        </w:rPr>
        <w:fldChar w:fldCharType="begin"/>
      </w:r>
      <w:r>
        <w:rPr>
          <w:color w:val="auto"/>
          <w:highlight w:val="none"/>
        </w:rPr>
        <w:instrText xml:space="preserve"> PAGEREF _Toc31725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6CE27B2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_Toc4121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5．</w:t>
      </w:r>
      <w:r>
        <w:rPr>
          <w:rFonts w:hint="eastAsia" w:hAnsi="宋体" w:cs="宋体"/>
          <w:bCs/>
          <w:snapToGrid w:val="0"/>
          <w:color w:val="auto"/>
          <w:kern w:val="0"/>
          <w:szCs w:val="24"/>
          <w:highlight w:val="none"/>
          <w:lang w:val="en-US" w:eastAsia="zh-CN"/>
        </w:rPr>
        <w:t>监理服务费的</w:t>
      </w:r>
      <w:r>
        <w:rPr>
          <w:rFonts w:hint="eastAsia" w:hAnsi="宋体" w:cs="宋体"/>
          <w:bCs/>
          <w:snapToGrid w:val="0"/>
          <w:color w:val="auto"/>
          <w:kern w:val="0"/>
          <w:szCs w:val="24"/>
          <w:highlight w:val="none"/>
        </w:rPr>
        <w:t>支付</w:t>
      </w:r>
      <w:r>
        <w:rPr>
          <w:color w:val="auto"/>
          <w:highlight w:val="none"/>
        </w:rPr>
        <w:tab/>
      </w:r>
      <w:r>
        <w:rPr>
          <w:color w:val="auto"/>
          <w:highlight w:val="none"/>
        </w:rPr>
        <w:fldChar w:fldCharType="begin"/>
      </w:r>
      <w:r>
        <w:rPr>
          <w:color w:val="auto"/>
          <w:highlight w:val="none"/>
        </w:rPr>
        <w:instrText xml:space="preserve"> PAGEREF _Toc4121 \h </w:instrText>
      </w:r>
      <w:r>
        <w:rPr>
          <w:color w:val="auto"/>
          <w:highlight w:val="none"/>
        </w:rPr>
        <w:fldChar w:fldCharType="separate"/>
      </w:r>
      <w:r>
        <w:rPr>
          <w:color w:val="auto"/>
          <w:highlight w:val="none"/>
        </w:rPr>
        <w:t>42</w:t>
      </w:r>
      <w:r>
        <w:rPr>
          <w:color w:val="auto"/>
          <w:highlight w:val="none"/>
        </w:rPr>
        <w:fldChar w:fldCharType="end"/>
      </w:r>
      <w:r>
        <w:rPr>
          <w:rFonts w:hint="eastAsia" w:hAnsi="宋体" w:cs="宋体"/>
          <w:color w:val="auto"/>
          <w:szCs w:val="24"/>
          <w:highlight w:val="none"/>
        </w:rPr>
        <w:fldChar w:fldCharType="end"/>
      </w:r>
    </w:p>
    <w:p w14:paraId="6E8AE961">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_Toc6555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6．</w:t>
      </w:r>
      <w:r>
        <w:rPr>
          <w:rFonts w:hint="eastAsia" w:ascii="Times New Roman"/>
          <w:snapToGrid w:val="0"/>
          <w:color w:val="auto"/>
          <w:szCs w:val="22"/>
          <w:highlight w:val="none"/>
        </w:rPr>
        <w:t>监理人违约及违约责任</w:t>
      </w:r>
      <w:r>
        <w:rPr>
          <w:color w:val="auto"/>
          <w:highlight w:val="none"/>
        </w:rPr>
        <w:tab/>
      </w:r>
      <w:r>
        <w:rPr>
          <w:color w:val="auto"/>
          <w:highlight w:val="none"/>
        </w:rPr>
        <w:fldChar w:fldCharType="begin"/>
      </w:r>
      <w:r>
        <w:rPr>
          <w:color w:val="auto"/>
          <w:highlight w:val="none"/>
        </w:rPr>
        <w:instrText xml:space="preserve"> PAGEREF _Toc6555 \h </w:instrText>
      </w:r>
      <w:r>
        <w:rPr>
          <w:color w:val="auto"/>
          <w:highlight w:val="none"/>
        </w:rPr>
        <w:fldChar w:fldCharType="separate"/>
      </w:r>
      <w:r>
        <w:rPr>
          <w:color w:val="auto"/>
          <w:highlight w:val="none"/>
        </w:rPr>
        <w:t>44</w:t>
      </w:r>
      <w:r>
        <w:rPr>
          <w:color w:val="auto"/>
          <w:highlight w:val="none"/>
        </w:rPr>
        <w:fldChar w:fldCharType="end"/>
      </w:r>
      <w:r>
        <w:rPr>
          <w:rFonts w:hint="eastAsia" w:hAnsi="宋体" w:cs="宋体"/>
          <w:color w:val="auto"/>
          <w:szCs w:val="24"/>
          <w:highlight w:val="none"/>
        </w:rPr>
        <w:fldChar w:fldCharType="end"/>
      </w:r>
    </w:p>
    <w:p w14:paraId="56A6CE3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_Toc15156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7. 工程质量、造价、进度控制及安全生产管理</w:t>
      </w:r>
      <w:r>
        <w:rPr>
          <w:color w:val="auto"/>
          <w:highlight w:val="none"/>
        </w:rPr>
        <w:tab/>
      </w:r>
      <w:r>
        <w:rPr>
          <w:color w:val="auto"/>
          <w:highlight w:val="none"/>
        </w:rPr>
        <w:fldChar w:fldCharType="begin"/>
      </w:r>
      <w:r>
        <w:rPr>
          <w:color w:val="auto"/>
          <w:highlight w:val="none"/>
        </w:rPr>
        <w:instrText xml:space="preserve"> PAGEREF _Toc15156 \h </w:instrText>
      </w:r>
      <w:r>
        <w:rPr>
          <w:color w:val="auto"/>
          <w:highlight w:val="none"/>
        </w:rPr>
        <w:fldChar w:fldCharType="separate"/>
      </w:r>
      <w:r>
        <w:rPr>
          <w:color w:val="auto"/>
          <w:highlight w:val="none"/>
        </w:rPr>
        <w:t>49</w:t>
      </w:r>
      <w:r>
        <w:rPr>
          <w:color w:val="auto"/>
          <w:highlight w:val="none"/>
        </w:rPr>
        <w:fldChar w:fldCharType="end"/>
      </w:r>
      <w:r>
        <w:rPr>
          <w:rFonts w:hint="eastAsia" w:hAnsi="宋体" w:cs="宋体"/>
          <w:color w:val="auto"/>
          <w:szCs w:val="24"/>
          <w:highlight w:val="none"/>
        </w:rPr>
        <w:fldChar w:fldCharType="end"/>
      </w:r>
    </w:p>
    <w:p w14:paraId="57CB4514">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_Toc11137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_Toc11137 \h </w:instrText>
      </w:r>
      <w:r>
        <w:rPr>
          <w:color w:val="auto"/>
          <w:highlight w:val="none"/>
        </w:rPr>
        <w:fldChar w:fldCharType="separate"/>
      </w:r>
      <w:r>
        <w:rPr>
          <w:color w:val="auto"/>
          <w:highlight w:val="none"/>
        </w:rPr>
        <w:t>54</w:t>
      </w:r>
      <w:r>
        <w:rPr>
          <w:color w:val="auto"/>
          <w:highlight w:val="none"/>
        </w:rPr>
        <w:fldChar w:fldCharType="end"/>
      </w:r>
      <w:r>
        <w:rPr>
          <w:rFonts w:hint="eastAsia" w:hAnsi="宋体" w:cs="宋体"/>
          <w:color w:val="auto"/>
          <w:szCs w:val="24"/>
          <w:highlight w:val="none"/>
        </w:rPr>
        <w:fldChar w:fldCharType="end"/>
      </w:r>
    </w:p>
    <w:p w14:paraId="0ED31A41">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_Toc27904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_Toc27904 \h </w:instrText>
      </w:r>
      <w:r>
        <w:rPr>
          <w:color w:val="auto"/>
          <w:highlight w:val="none"/>
        </w:rPr>
        <w:fldChar w:fldCharType="separate"/>
      </w:r>
      <w:r>
        <w:rPr>
          <w:color w:val="auto"/>
          <w:highlight w:val="none"/>
        </w:rPr>
        <w:t>56</w:t>
      </w:r>
      <w:r>
        <w:rPr>
          <w:color w:val="auto"/>
          <w:highlight w:val="none"/>
        </w:rPr>
        <w:fldChar w:fldCharType="end"/>
      </w:r>
      <w:r>
        <w:rPr>
          <w:rFonts w:hint="eastAsia" w:hAnsi="宋体" w:cs="宋体"/>
          <w:color w:val="auto"/>
          <w:szCs w:val="24"/>
          <w:highlight w:val="none"/>
        </w:rPr>
        <w:fldChar w:fldCharType="end"/>
      </w:r>
    </w:p>
    <w:p w14:paraId="3BA92CE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_Toc31809 </w:instrText>
      </w:r>
      <w:r>
        <w:rPr>
          <w:rFonts w:hint="eastAsia" w:hAnsi="宋体" w:cs="宋体"/>
          <w:color w:val="auto"/>
          <w:szCs w:val="24"/>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_Toc31809 \h </w:instrText>
      </w:r>
      <w:r>
        <w:rPr>
          <w:color w:val="auto"/>
          <w:highlight w:val="none"/>
        </w:rPr>
        <w:fldChar w:fldCharType="separate"/>
      </w:r>
      <w:r>
        <w:rPr>
          <w:color w:val="auto"/>
          <w:highlight w:val="none"/>
        </w:rPr>
        <w:t>56</w:t>
      </w:r>
      <w:r>
        <w:rPr>
          <w:color w:val="auto"/>
          <w:highlight w:val="none"/>
        </w:rPr>
        <w:fldChar w:fldCharType="end"/>
      </w:r>
      <w:r>
        <w:rPr>
          <w:rFonts w:hint="eastAsia" w:hAnsi="宋体" w:cs="宋体"/>
          <w:color w:val="auto"/>
          <w:szCs w:val="24"/>
          <w:highlight w:val="none"/>
        </w:rPr>
        <w:fldChar w:fldCharType="end"/>
      </w:r>
    </w:p>
    <w:p w14:paraId="59EAEB6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_Toc29299 </w:instrText>
      </w:r>
      <w:r>
        <w:rPr>
          <w:rFonts w:hint="eastAsia" w:hAnsi="宋体" w:cs="宋体"/>
          <w:color w:val="auto"/>
          <w:szCs w:val="24"/>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_Toc29299 \h </w:instrText>
      </w:r>
      <w:r>
        <w:rPr>
          <w:color w:val="auto"/>
          <w:highlight w:val="none"/>
        </w:rPr>
        <w:fldChar w:fldCharType="separate"/>
      </w:r>
      <w:r>
        <w:rPr>
          <w:color w:val="auto"/>
          <w:highlight w:val="none"/>
        </w:rPr>
        <w:t>57</w:t>
      </w:r>
      <w:r>
        <w:rPr>
          <w:color w:val="auto"/>
          <w:highlight w:val="none"/>
        </w:rPr>
        <w:fldChar w:fldCharType="end"/>
      </w:r>
      <w:r>
        <w:rPr>
          <w:rFonts w:hint="eastAsia" w:hAnsi="宋体" w:cs="宋体"/>
          <w:color w:val="auto"/>
          <w:szCs w:val="24"/>
          <w:highlight w:val="none"/>
        </w:rPr>
        <w:fldChar w:fldCharType="end"/>
      </w:r>
    </w:p>
    <w:p w14:paraId="2786B9E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_Toc1644 </w:instrText>
      </w:r>
      <w:r>
        <w:rPr>
          <w:rFonts w:hint="eastAsia" w:hAnsi="宋体" w:cs="宋体"/>
          <w:color w:val="auto"/>
          <w:szCs w:val="24"/>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_Toc1644 \h </w:instrText>
      </w:r>
      <w:r>
        <w:rPr>
          <w:color w:val="auto"/>
          <w:highlight w:val="none"/>
        </w:rPr>
        <w:fldChar w:fldCharType="separate"/>
      </w:r>
      <w:r>
        <w:rPr>
          <w:color w:val="auto"/>
          <w:highlight w:val="none"/>
        </w:rPr>
        <w:t>58</w:t>
      </w:r>
      <w:r>
        <w:rPr>
          <w:color w:val="auto"/>
          <w:highlight w:val="none"/>
        </w:rPr>
        <w:fldChar w:fldCharType="end"/>
      </w:r>
      <w:r>
        <w:rPr>
          <w:rFonts w:hint="eastAsia" w:hAnsi="宋体" w:cs="宋体"/>
          <w:color w:val="auto"/>
          <w:szCs w:val="24"/>
          <w:highlight w:val="none"/>
        </w:rPr>
        <w:fldChar w:fldCharType="end"/>
      </w:r>
    </w:p>
    <w:p w14:paraId="00F16A01">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_Toc32644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_Toc32644 \h </w:instrText>
      </w:r>
      <w:r>
        <w:rPr>
          <w:color w:val="auto"/>
          <w:highlight w:val="none"/>
        </w:rPr>
        <w:fldChar w:fldCharType="separate"/>
      </w:r>
      <w:r>
        <w:rPr>
          <w:color w:val="auto"/>
          <w:highlight w:val="none"/>
        </w:rPr>
        <w:t>60</w:t>
      </w:r>
      <w:r>
        <w:rPr>
          <w:color w:val="auto"/>
          <w:highlight w:val="none"/>
        </w:rPr>
        <w:fldChar w:fldCharType="end"/>
      </w:r>
      <w:r>
        <w:rPr>
          <w:rFonts w:hint="eastAsia" w:hAnsi="宋体" w:cs="宋体"/>
          <w:color w:val="auto"/>
          <w:szCs w:val="24"/>
          <w:highlight w:val="none"/>
        </w:rPr>
        <w:fldChar w:fldCharType="end"/>
      </w:r>
    </w:p>
    <w:p w14:paraId="1942015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_Toc27423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_Toc27423 \h </w:instrText>
      </w:r>
      <w:r>
        <w:rPr>
          <w:color w:val="auto"/>
          <w:highlight w:val="none"/>
        </w:rPr>
        <w:fldChar w:fldCharType="separate"/>
      </w:r>
      <w:r>
        <w:rPr>
          <w:color w:val="auto"/>
          <w:highlight w:val="none"/>
        </w:rPr>
        <w:t>61</w:t>
      </w:r>
      <w:r>
        <w:rPr>
          <w:color w:val="auto"/>
          <w:highlight w:val="none"/>
        </w:rPr>
        <w:fldChar w:fldCharType="end"/>
      </w:r>
      <w:r>
        <w:rPr>
          <w:rFonts w:hint="eastAsia" w:hAnsi="宋体" w:cs="宋体"/>
          <w:color w:val="auto"/>
          <w:szCs w:val="24"/>
          <w:highlight w:val="none"/>
        </w:rPr>
        <w:fldChar w:fldCharType="end"/>
      </w:r>
    </w:p>
    <w:p w14:paraId="0819493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_Toc474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_Toc474 \h </w:instrText>
      </w:r>
      <w:r>
        <w:rPr>
          <w:color w:val="auto"/>
          <w:highlight w:val="none"/>
        </w:rPr>
        <w:fldChar w:fldCharType="separate"/>
      </w:r>
      <w:r>
        <w:rPr>
          <w:color w:val="auto"/>
          <w:highlight w:val="none"/>
        </w:rPr>
        <w:t>62</w:t>
      </w:r>
      <w:r>
        <w:rPr>
          <w:color w:val="auto"/>
          <w:highlight w:val="none"/>
        </w:rPr>
        <w:fldChar w:fldCharType="end"/>
      </w:r>
      <w:r>
        <w:rPr>
          <w:rFonts w:hint="eastAsia" w:hAnsi="宋体" w:cs="宋体"/>
          <w:color w:val="auto"/>
          <w:szCs w:val="24"/>
          <w:highlight w:val="none"/>
        </w:rPr>
        <w:fldChar w:fldCharType="end"/>
      </w:r>
    </w:p>
    <w:p w14:paraId="3C333620">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_Toc22135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格式七 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_Toc22135 \h </w:instrText>
      </w:r>
      <w:r>
        <w:rPr>
          <w:color w:val="auto"/>
          <w:highlight w:val="none"/>
        </w:rPr>
        <w:fldChar w:fldCharType="separate"/>
      </w:r>
      <w:r>
        <w:rPr>
          <w:color w:val="auto"/>
          <w:highlight w:val="none"/>
        </w:rPr>
        <w:t>63</w:t>
      </w:r>
      <w:r>
        <w:rPr>
          <w:color w:val="auto"/>
          <w:highlight w:val="none"/>
        </w:rPr>
        <w:fldChar w:fldCharType="end"/>
      </w:r>
      <w:r>
        <w:rPr>
          <w:rFonts w:hint="eastAsia" w:hAnsi="宋体" w:cs="宋体"/>
          <w:color w:val="auto"/>
          <w:szCs w:val="24"/>
          <w:highlight w:val="none"/>
        </w:rPr>
        <w:fldChar w:fldCharType="end"/>
      </w:r>
    </w:p>
    <w:p w14:paraId="59F91C3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_Toc24032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格式八 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_Toc24032 \h </w:instrText>
      </w:r>
      <w:r>
        <w:rPr>
          <w:color w:val="auto"/>
          <w:highlight w:val="none"/>
        </w:rPr>
        <w:fldChar w:fldCharType="separate"/>
      </w:r>
      <w:r>
        <w:rPr>
          <w:color w:val="auto"/>
          <w:highlight w:val="none"/>
        </w:rPr>
        <w:t>64</w:t>
      </w:r>
      <w:r>
        <w:rPr>
          <w:color w:val="auto"/>
          <w:highlight w:val="none"/>
        </w:rPr>
        <w:fldChar w:fldCharType="end"/>
      </w:r>
      <w:r>
        <w:rPr>
          <w:rFonts w:hint="eastAsia" w:hAnsi="宋体" w:cs="宋体"/>
          <w:color w:val="auto"/>
          <w:szCs w:val="24"/>
          <w:highlight w:val="none"/>
        </w:rPr>
        <w:fldChar w:fldCharType="end"/>
      </w:r>
    </w:p>
    <w:p w14:paraId="4CA2EE3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_Toc2263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格式九 总监理工程师任职项目情况表</w:t>
      </w:r>
      <w:r>
        <w:rPr>
          <w:color w:val="auto"/>
          <w:highlight w:val="none"/>
        </w:rPr>
        <w:tab/>
      </w:r>
      <w:r>
        <w:rPr>
          <w:color w:val="auto"/>
          <w:highlight w:val="none"/>
        </w:rPr>
        <w:fldChar w:fldCharType="begin"/>
      </w:r>
      <w:r>
        <w:rPr>
          <w:color w:val="auto"/>
          <w:highlight w:val="none"/>
        </w:rPr>
        <w:instrText xml:space="preserve"> PAGEREF _Toc2263 \h </w:instrText>
      </w:r>
      <w:r>
        <w:rPr>
          <w:color w:val="auto"/>
          <w:highlight w:val="none"/>
        </w:rPr>
        <w:fldChar w:fldCharType="separate"/>
      </w:r>
      <w:r>
        <w:rPr>
          <w:color w:val="auto"/>
          <w:highlight w:val="none"/>
        </w:rPr>
        <w:t>65</w:t>
      </w:r>
      <w:r>
        <w:rPr>
          <w:color w:val="auto"/>
          <w:highlight w:val="none"/>
        </w:rPr>
        <w:fldChar w:fldCharType="end"/>
      </w:r>
      <w:r>
        <w:rPr>
          <w:rFonts w:hint="eastAsia" w:hAnsi="宋体" w:cs="宋体"/>
          <w:color w:val="auto"/>
          <w:szCs w:val="24"/>
          <w:highlight w:val="none"/>
        </w:rPr>
        <w:fldChar w:fldCharType="end"/>
      </w:r>
    </w:p>
    <w:p w14:paraId="7E7E218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_Toc4492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w:t>
      </w:r>
      <w:r>
        <w:rPr>
          <w:rFonts w:hint="eastAsia" w:hAnsi="宋体" w:cs="宋体"/>
          <w:bCs/>
          <w:snapToGrid w:val="0"/>
          <w:color w:val="auto"/>
          <w:kern w:val="0"/>
          <w:szCs w:val="24"/>
          <w:highlight w:val="none"/>
        </w:rPr>
        <w:t>十 项目监理机构组成人员汇总表</w:t>
      </w:r>
      <w:r>
        <w:rPr>
          <w:color w:val="auto"/>
          <w:highlight w:val="none"/>
        </w:rPr>
        <w:tab/>
      </w:r>
      <w:r>
        <w:rPr>
          <w:color w:val="auto"/>
          <w:highlight w:val="none"/>
        </w:rPr>
        <w:fldChar w:fldCharType="begin"/>
      </w:r>
      <w:r>
        <w:rPr>
          <w:color w:val="auto"/>
          <w:highlight w:val="none"/>
        </w:rPr>
        <w:instrText xml:space="preserve"> PAGEREF _Toc4492 \h </w:instrText>
      </w:r>
      <w:r>
        <w:rPr>
          <w:color w:val="auto"/>
          <w:highlight w:val="none"/>
        </w:rPr>
        <w:fldChar w:fldCharType="separate"/>
      </w:r>
      <w:r>
        <w:rPr>
          <w:color w:val="auto"/>
          <w:highlight w:val="none"/>
        </w:rPr>
        <w:t>66</w:t>
      </w:r>
      <w:r>
        <w:rPr>
          <w:color w:val="auto"/>
          <w:highlight w:val="none"/>
        </w:rPr>
        <w:fldChar w:fldCharType="end"/>
      </w:r>
      <w:r>
        <w:rPr>
          <w:rFonts w:hint="eastAsia" w:hAnsi="宋体" w:cs="宋体"/>
          <w:color w:val="auto"/>
          <w:szCs w:val="24"/>
          <w:highlight w:val="none"/>
        </w:rPr>
        <w:fldChar w:fldCharType="end"/>
      </w:r>
    </w:p>
    <w:p w14:paraId="1C693EA0">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_Toc13068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格式十一 总监理工程师简历表</w:t>
      </w:r>
      <w:r>
        <w:rPr>
          <w:color w:val="auto"/>
          <w:highlight w:val="none"/>
        </w:rPr>
        <w:tab/>
      </w:r>
      <w:r>
        <w:rPr>
          <w:color w:val="auto"/>
          <w:highlight w:val="none"/>
        </w:rPr>
        <w:fldChar w:fldCharType="begin"/>
      </w:r>
      <w:r>
        <w:rPr>
          <w:color w:val="auto"/>
          <w:highlight w:val="none"/>
        </w:rPr>
        <w:instrText xml:space="preserve"> PAGEREF _Toc13068 \h </w:instrText>
      </w:r>
      <w:r>
        <w:rPr>
          <w:color w:val="auto"/>
          <w:highlight w:val="none"/>
        </w:rPr>
        <w:fldChar w:fldCharType="separate"/>
      </w:r>
      <w:r>
        <w:rPr>
          <w:color w:val="auto"/>
          <w:highlight w:val="none"/>
        </w:rPr>
        <w:t>67</w:t>
      </w:r>
      <w:r>
        <w:rPr>
          <w:color w:val="auto"/>
          <w:highlight w:val="none"/>
        </w:rPr>
        <w:fldChar w:fldCharType="end"/>
      </w:r>
      <w:r>
        <w:rPr>
          <w:rFonts w:hint="eastAsia" w:hAnsi="宋体" w:cs="宋体"/>
          <w:color w:val="auto"/>
          <w:szCs w:val="24"/>
          <w:highlight w:val="none"/>
        </w:rPr>
        <w:fldChar w:fldCharType="end"/>
      </w:r>
    </w:p>
    <w:p w14:paraId="3119295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_Toc21090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格式十二 其他拟派人员简历表</w:t>
      </w:r>
      <w:r>
        <w:rPr>
          <w:color w:val="auto"/>
          <w:highlight w:val="none"/>
        </w:rPr>
        <w:tab/>
      </w:r>
      <w:r>
        <w:rPr>
          <w:color w:val="auto"/>
          <w:highlight w:val="none"/>
        </w:rPr>
        <w:fldChar w:fldCharType="begin"/>
      </w:r>
      <w:r>
        <w:rPr>
          <w:color w:val="auto"/>
          <w:highlight w:val="none"/>
        </w:rPr>
        <w:instrText xml:space="preserve"> PAGEREF _Toc21090 \h </w:instrText>
      </w:r>
      <w:r>
        <w:rPr>
          <w:color w:val="auto"/>
          <w:highlight w:val="none"/>
        </w:rPr>
        <w:fldChar w:fldCharType="separate"/>
      </w:r>
      <w:r>
        <w:rPr>
          <w:color w:val="auto"/>
          <w:highlight w:val="none"/>
        </w:rPr>
        <w:t>68</w:t>
      </w:r>
      <w:r>
        <w:rPr>
          <w:color w:val="auto"/>
          <w:highlight w:val="none"/>
        </w:rPr>
        <w:fldChar w:fldCharType="end"/>
      </w:r>
      <w:r>
        <w:rPr>
          <w:rFonts w:hint="eastAsia" w:hAnsi="宋体" w:cs="宋体"/>
          <w:color w:val="auto"/>
          <w:szCs w:val="24"/>
          <w:highlight w:val="none"/>
        </w:rPr>
        <w:fldChar w:fldCharType="end"/>
      </w:r>
    </w:p>
    <w:p w14:paraId="061617B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_Toc1230 </w:instrText>
      </w:r>
      <w:r>
        <w:rPr>
          <w:rFonts w:hint="eastAsia" w:hAnsi="宋体" w:cs="宋体"/>
          <w:color w:val="auto"/>
          <w:szCs w:val="24"/>
          <w:highlight w:val="none"/>
        </w:rPr>
        <w:fldChar w:fldCharType="separate"/>
      </w:r>
      <w:r>
        <w:rPr>
          <w:rFonts w:hint="eastAsia"/>
          <w:bCs/>
          <w:color w:val="auto"/>
          <w:highlight w:val="none"/>
          <w:lang w:val="en-US" w:eastAsia="zh-CN"/>
        </w:rPr>
        <w:t>格式十三 原件一览表</w:t>
      </w:r>
      <w:r>
        <w:rPr>
          <w:color w:val="auto"/>
          <w:highlight w:val="none"/>
        </w:rPr>
        <w:tab/>
      </w:r>
      <w:r>
        <w:rPr>
          <w:color w:val="auto"/>
          <w:highlight w:val="none"/>
        </w:rPr>
        <w:fldChar w:fldCharType="begin"/>
      </w:r>
      <w:r>
        <w:rPr>
          <w:color w:val="auto"/>
          <w:highlight w:val="none"/>
        </w:rPr>
        <w:instrText xml:space="preserve"> PAGEREF _Toc1230 \h </w:instrText>
      </w:r>
      <w:r>
        <w:rPr>
          <w:color w:val="auto"/>
          <w:highlight w:val="none"/>
        </w:rPr>
        <w:fldChar w:fldCharType="separate"/>
      </w:r>
      <w:r>
        <w:rPr>
          <w:color w:val="auto"/>
          <w:highlight w:val="none"/>
        </w:rPr>
        <w:t>69</w:t>
      </w:r>
      <w:r>
        <w:rPr>
          <w:color w:val="auto"/>
          <w:highlight w:val="none"/>
        </w:rPr>
        <w:fldChar w:fldCharType="end"/>
      </w:r>
      <w:r>
        <w:rPr>
          <w:rFonts w:hint="eastAsia" w:hAnsi="宋体" w:cs="宋体"/>
          <w:color w:val="auto"/>
          <w:szCs w:val="24"/>
          <w:highlight w:val="none"/>
        </w:rPr>
        <w:fldChar w:fldCharType="end"/>
      </w:r>
    </w:p>
    <w:p w14:paraId="1849A53E">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_Toc10354 </w:instrText>
      </w:r>
      <w:r>
        <w:rPr>
          <w:rFonts w:hint="eastAsia" w:hAnsi="宋体" w:cs="宋体"/>
          <w:color w:val="auto"/>
          <w:szCs w:val="24"/>
          <w:highlight w:val="none"/>
        </w:rPr>
        <w:fldChar w:fldCharType="separate"/>
      </w:r>
      <w:r>
        <w:rPr>
          <w:rFonts w:hint="eastAsia" w:ascii="宋体" w:hAnsi="宋体" w:cs="宋体"/>
          <w:color w:val="auto"/>
          <w:kern w:val="44"/>
          <w:szCs w:val="22"/>
          <w:highlight w:val="none"/>
        </w:rPr>
        <w:t>第六章 建设工程监理合同</w:t>
      </w:r>
      <w:r>
        <w:rPr>
          <w:color w:val="auto"/>
          <w:highlight w:val="none"/>
        </w:rPr>
        <w:tab/>
      </w:r>
      <w:r>
        <w:rPr>
          <w:color w:val="auto"/>
          <w:highlight w:val="none"/>
        </w:rPr>
        <w:fldChar w:fldCharType="begin"/>
      </w:r>
      <w:r>
        <w:rPr>
          <w:color w:val="auto"/>
          <w:highlight w:val="none"/>
        </w:rPr>
        <w:instrText xml:space="preserve"> PAGEREF _Toc10354 \h </w:instrText>
      </w:r>
      <w:r>
        <w:rPr>
          <w:color w:val="auto"/>
          <w:highlight w:val="none"/>
        </w:rPr>
        <w:fldChar w:fldCharType="separate"/>
      </w:r>
      <w:r>
        <w:rPr>
          <w:color w:val="auto"/>
          <w:highlight w:val="none"/>
        </w:rPr>
        <w:t>70</w:t>
      </w:r>
      <w:r>
        <w:rPr>
          <w:color w:val="auto"/>
          <w:highlight w:val="none"/>
        </w:rPr>
        <w:fldChar w:fldCharType="end"/>
      </w:r>
      <w:r>
        <w:rPr>
          <w:rFonts w:hint="eastAsia" w:hAnsi="宋体" w:cs="宋体"/>
          <w:color w:val="auto"/>
          <w:szCs w:val="24"/>
          <w:highlight w:val="none"/>
        </w:rPr>
        <w:fldChar w:fldCharType="end"/>
      </w:r>
    </w:p>
    <w:p w14:paraId="04AFE2B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hAnsi="宋体" w:cs="宋体"/>
          <w:color w:val="auto"/>
          <w:szCs w:val="24"/>
          <w:highlight w:val="none"/>
        </w:rPr>
      </w:pPr>
      <w:r>
        <w:rPr>
          <w:rFonts w:hint="eastAsia" w:hAnsi="宋体" w:cs="宋体"/>
          <w:color w:val="auto"/>
          <w:szCs w:val="24"/>
          <w:highlight w:val="none"/>
        </w:rPr>
        <w:fldChar w:fldCharType="end"/>
      </w:r>
    </w:p>
    <w:p w14:paraId="72C6CDF7">
      <w:pPr>
        <w:bidi w:val="0"/>
        <w:rPr>
          <w:rFonts w:hint="eastAsia"/>
          <w:color w:val="auto"/>
          <w:highlight w:val="none"/>
        </w:rPr>
      </w:pPr>
    </w:p>
    <w:p w14:paraId="44E278EF">
      <w:pPr>
        <w:bidi w:val="0"/>
        <w:rPr>
          <w:rFonts w:hint="eastAsia"/>
          <w:color w:val="auto"/>
          <w:highlight w:val="none"/>
        </w:rPr>
      </w:pPr>
    </w:p>
    <w:p w14:paraId="4CFFDCA3">
      <w:pPr>
        <w:bidi w:val="0"/>
        <w:rPr>
          <w:rFonts w:hint="eastAsia"/>
          <w:color w:val="auto"/>
          <w:highlight w:val="none"/>
        </w:rPr>
      </w:pPr>
    </w:p>
    <w:p w14:paraId="49FACEF0">
      <w:pPr>
        <w:bidi w:val="0"/>
        <w:rPr>
          <w:rFonts w:hint="eastAsia"/>
          <w:color w:val="auto"/>
          <w:highlight w:val="none"/>
        </w:rPr>
      </w:pPr>
    </w:p>
    <w:p w14:paraId="67D59685">
      <w:pPr>
        <w:bidi w:val="0"/>
        <w:rPr>
          <w:rFonts w:hint="eastAsia"/>
          <w:color w:val="auto"/>
          <w:highlight w:val="none"/>
        </w:rPr>
      </w:pPr>
    </w:p>
    <w:p w14:paraId="3CF29BF7">
      <w:pPr>
        <w:bidi w:val="0"/>
        <w:rPr>
          <w:rFonts w:hint="eastAsia"/>
          <w:color w:val="auto"/>
          <w:highlight w:val="none"/>
        </w:rPr>
      </w:pPr>
    </w:p>
    <w:p w14:paraId="1C6B5B71">
      <w:pPr>
        <w:bidi w:val="0"/>
        <w:rPr>
          <w:rFonts w:hint="eastAsia"/>
          <w:color w:val="auto"/>
          <w:highlight w:val="none"/>
        </w:rPr>
      </w:pPr>
    </w:p>
    <w:p w14:paraId="00CD5A72">
      <w:pPr>
        <w:bidi w:val="0"/>
        <w:rPr>
          <w:rFonts w:hint="eastAsia"/>
          <w:color w:val="auto"/>
          <w:highlight w:val="none"/>
        </w:rPr>
      </w:pPr>
    </w:p>
    <w:p w14:paraId="7906C4F8">
      <w:pPr>
        <w:bidi w:val="0"/>
        <w:rPr>
          <w:rFonts w:hint="eastAsia"/>
          <w:color w:val="auto"/>
          <w:highlight w:val="none"/>
        </w:rPr>
      </w:pPr>
    </w:p>
    <w:p w14:paraId="7FA25707">
      <w:pPr>
        <w:bidi w:val="0"/>
        <w:rPr>
          <w:rFonts w:hint="eastAsia"/>
          <w:color w:val="auto"/>
          <w:highlight w:val="none"/>
        </w:rPr>
      </w:pPr>
    </w:p>
    <w:p w14:paraId="1AC08286">
      <w:pPr>
        <w:bidi w:val="0"/>
        <w:rPr>
          <w:rFonts w:hint="eastAsia"/>
          <w:color w:val="auto"/>
          <w:highlight w:val="none"/>
        </w:rPr>
      </w:pPr>
    </w:p>
    <w:p w14:paraId="31F3C68A">
      <w:pPr>
        <w:pStyle w:val="15"/>
        <w:rPr>
          <w:rFonts w:hint="eastAsia"/>
          <w:color w:val="auto"/>
          <w:highlight w:val="none"/>
        </w:rPr>
      </w:pPr>
    </w:p>
    <w:p w14:paraId="12FDD6C5">
      <w:pPr>
        <w:pStyle w:val="15"/>
        <w:rPr>
          <w:rFonts w:hint="eastAsia"/>
          <w:color w:val="auto"/>
          <w:highlight w:val="none"/>
        </w:rPr>
      </w:pPr>
    </w:p>
    <w:p w14:paraId="4E7A238C">
      <w:pPr>
        <w:pStyle w:val="15"/>
        <w:rPr>
          <w:rFonts w:hint="eastAsia"/>
          <w:color w:val="auto"/>
          <w:highlight w:val="none"/>
        </w:rPr>
      </w:pPr>
    </w:p>
    <w:p w14:paraId="4D4B16C5">
      <w:pPr>
        <w:pStyle w:val="15"/>
        <w:rPr>
          <w:rFonts w:hint="eastAsia"/>
          <w:color w:val="auto"/>
          <w:highlight w:val="none"/>
        </w:rPr>
      </w:pPr>
    </w:p>
    <w:p w14:paraId="4E126C67">
      <w:pPr>
        <w:pStyle w:val="15"/>
        <w:rPr>
          <w:rFonts w:hint="eastAsia"/>
          <w:color w:val="auto"/>
          <w:highlight w:val="none"/>
        </w:rPr>
      </w:pPr>
    </w:p>
    <w:p w14:paraId="79BD6181">
      <w:pPr>
        <w:bidi w:val="0"/>
        <w:rPr>
          <w:rFonts w:hint="eastAsia"/>
          <w:color w:val="auto"/>
          <w:highlight w:val="none"/>
        </w:rPr>
      </w:pPr>
    </w:p>
    <w:p w14:paraId="4FB68F0F">
      <w:pPr>
        <w:bidi w:val="0"/>
        <w:rPr>
          <w:rFonts w:hint="eastAsia"/>
          <w:color w:val="auto"/>
          <w:highlight w:val="none"/>
        </w:rPr>
      </w:pPr>
    </w:p>
    <w:p w14:paraId="1B29D6E3">
      <w:pPr>
        <w:bidi w:val="0"/>
        <w:rPr>
          <w:color w:val="auto"/>
          <w:highlight w:val="none"/>
        </w:rPr>
      </w:pPr>
    </w:p>
    <w:p w14:paraId="4C65F4F3">
      <w:pPr>
        <w:pStyle w:val="3"/>
        <w:wordWrap w:val="0"/>
        <w:autoSpaceDE/>
        <w:autoSpaceDN/>
        <w:snapToGrid w:val="0"/>
        <w:spacing w:line="440" w:lineRule="exact"/>
        <w:jc w:val="center"/>
        <w:rPr>
          <w:rFonts w:hint="eastAsia" w:ascii="Times New Roman"/>
          <w:b/>
          <w:snapToGrid w:val="0"/>
          <w:color w:val="auto"/>
          <w:sz w:val="32"/>
          <w:szCs w:val="22"/>
          <w:highlight w:val="none"/>
        </w:rPr>
        <w:sectPr>
          <w:footerReference r:id="rId7" w:type="default"/>
          <w:endnotePr>
            <w:numFmt w:val="decimal"/>
          </w:endnotePr>
          <w:pgSz w:w="11906" w:h="16838"/>
          <w:pgMar w:top="1417" w:right="1417" w:bottom="1417" w:left="1417" w:header="850" w:footer="992" w:gutter="0"/>
          <w:pgNumType w:start="1"/>
          <w:cols w:space="0" w:num="1"/>
          <w:docGrid w:linePitch="327" w:charSpace="0"/>
        </w:sectPr>
      </w:pPr>
    </w:p>
    <w:p w14:paraId="73AD38DD">
      <w:pPr>
        <w:pStyle w:val="3"/>
        <w:wordWrap w:val="0"/>
        <w:autoSpaceDE/>
        <w:autoSpaceDN/>
        <w:snapToGrid w:val="0"/>
        <w:spacing w:line="440" w:lineRule="exact"/>
        <w:jc w:val="center"/>
        <w:rPr>
          <w:rFonts w:ascii="Times New Roman"/>
          <w:b/>
          <w:snapToGrid w:val="0"/>
          <w:color w:val="auto"/>
          <w:sz w:val="32"/>
          <w:szCs w:val="22"/>
          <w:highlight w:val="none"/>
        </w:rPr>
      </w:pPr>
      <w:bookmarkStart w:id="0" w:name="_Toc28684"/>
      <w:r>
        <w:rPr>
          <w:rFonts w:hint="eastAsia" w:ascii="Times New Roman"/>
          <w:b/>
          <w:snapToGrid w:val="0"/>
          <w:color w:val="auto"/>
          <w:sz w:val="32"/>
          <w:szCs w:val="22"/>
          <w:highlight w:val="none"/>
        </w:rPr>
        <w:t>第一章 投标人须知</w:t>
      </w:r>
      <w:bookmarkEnd w:id="0"/>
    </w:p>
    <w:p w14:paraId="64D39061">
      <w:pPr>
        <w:pStyle w:val="4"/>
        <w:wordWrap w:val="0"/>
        <w:autoSpaceDE/>
        <w:autoSpaceDN/>
        <w:snapToGrid w:val="0"/>
        <w:spacing w:before="260" w:after="260" w:line="440" w:lineRule="exact"/>
        <w:jc w:val="both"/>
        <w:rPr>
          <w:rFonts w:ascii="Times New Roman"/>
          <w:b/>
          <w:snapToGrid w:val="0"/>
          <w:color w:val="auto"/>
          <w:highlight w:val="none"/>
        </w:rPr>
      </w:pPr>
      <w:bookmarkStart w:id="1" w:name="_Hlt127175444"/>
      <w:bookmarkEnd w:id="1"/>
      <w:bookmarkStart w:id="2" w:name="_Toc4883"/>
      <w:bookmarkStart w:id="3" w:name="_Toc32446"/>
      <w:bookmarkStart w:id="4" w:name="_Hlt120077520"/>
      <w:r>
        <w:rPr>
          <w:rFonts w:hint="eastAsia" w:ascii="Times New Roman"/>
          <w:b/>
          <w:snapToGrid w:val="0"/>
          <w:color w:val="auto"/>
          <w:highlight w:val="none"/>
        </w:rPr>
        <w:t>第一节 投标人须知前附表</w:t>
      </w:r>
      <w:bookmarkEnd w:id="2"/>
      <w:bookmarkEnd w:id="3"/>
    </w:p>
    <w:tbl>
      <w:tblPr>
        <w:tblStyle w:val="31"/>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68"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eastAsia="zh-CN"/>
              </w:rPr>
              <w:t>翁源县“百千万工程”之全域推进农村人居环境整治建设项目——翁城镇农村生活污水治理建设项目</w:t>
            </w:r>
            <w:r>
              <w:rPr>
                <w:rFonts w:hint="eastAsia" w:hAnsi="宋体" w:cs="宋体"/>
                <w:snapToGrid w:val="0"/>
                <w:color w:val="auto"/>
                <w:kern w:val="0"/>
                <w:szCs w:val="24"/>
                <w:highlight w:val="none"/>
                <w:lang w:val="en-US" w:eastAsia="zh-CN"/>
              </w:rPr>
              <w:t>施工</w:t>
            </w:r>
            <w:r>
              <w:rPr>
                <w:rFonts w:hint="eastAsia" w:hAnsi="宋体" w:cs="宋体"/>
                <w:snapToGrid w:val="0"/>
                <w:color w:val="auto"/>
                <w:kern w:val="0"/>
                <w:szCs w:val="24"/>
                <w:highlight w:val="none"/>
                <w:lang w:eastAsia="zh-CN"/>
              </w:rPr>
              <w:t>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翁源县翁城镇人民政府</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翁源县发展和改革局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pStyle w:val="119"/>
              <w:keepNext w:val="0"/>
              <w:keepLines w:val="0"/>
              <w:pageBreakBefore w:val="0"/>
              <w:widowControl w:val="0"/>
              <w:kinsoku/>
              <w:overflowPunct/>
              <w:topLinePunct w:val="0"/>
              <w:autoSpaceDE/>
              <w:autoSpaceDN/>
              <w:bidi w:val="0"/>
              <w:spacing w:line="500" w:lineRule="exact"/>
              <w:ind w:firstLine="480" w:firstLineChars="200"/>
              <w:jc w:val="left"/>
              <w:rPr>
                <w:rFonts w:hint="default" w:ascii="宋体" w:hAnsi="宋体" w:eastAsia="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翁发改投审(2025)25号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19"/>
              <w:keepNext w:val="0"/>
              <w:keepLines w:val="0"/>
              <w:pageBreakBefore w:val="0"/>
              <w:widowControl w:val="0"/>
              <w:kinsoku/>
              <w:overflowPunct/>
              <w:topLinePunct w:val="0"/>
              <w:autoSpaceDE/>
              <w:autoSpaceDN/>
              <w:bidi w:val="0"/>
              <w:spacing w:line="500" w:lineRule="exact"/>
              <w:ind w:firstLine="480" w:firstLineChars="200"/>
              <w:jc w:val="left"/>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2412-440229-04-01-525170</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tabs>
                <w:tab w:val="left" w:pos="5679"/>
              </w:tabs>
              <w:kinsoku/>
              <w:wordWrap w:val="0"/>
              <w:overflowPunct/>
              <w:topLinePunct w:val="0"/>
              <w:autoSpaceDE/>
              <w:autoSpaceDN/>
              <w:bidi w:val="0"/>
              <w:adjustRightInd w:val="0"/>
              <w:snapToGrid w:val="0"/>
              <w:spacing w:line="240" w:lineRule="auto"/>
              <w:ind w:firstLine="480" w:firstLineChars="200"/>
              <w:jc w:val="left"/>
              <w:textAlignment w:val="auto"/>
              <w:rPr>
                <w:rFonts w:hint="default" w:hAnsi="宋体" w:eastAsia="宋体" w:cs="宋体"/>
                <w:color w:val="auto"/>
                <w:kern w:val="0"/>
                <w:szCs w:val="24"/>
                <w:highlight w:val="none"/>
                <w:lang w:val="en-US" w:eastAsia="zh-CN"/>
              </w:rPr>
            </w:pPr>
            <w:r>
              <w:rPr>
                <w:rFonts w:hint="eastAsia" w:hAnsi="宋体" w:cs="宋体"/>
                <w:color w:val="auto"/>
                <w:kern w:val="0"/>
                <w:szCs w:val="24"/>
                <w:highlight w:val="none"/>
                <w:lang w:eastAsia="zh-CN"/>
              </w:rPr>
              <w:t>争取地方政府专项债券资金及上级专项资金解决，不足部分由县级财政统筹解决，100%</w:t>
            </w:r>
            <w:r>
              <w:rPr>
                <w:rFonts w:hint="eastAsia" w:hAnsi="宋体" w:cs="宋体"/>
                <w:color w:val="auto"/>
                <w:kern w:val="0"/>
                <w:szCs w:val="24"/>
                <w:highlight w:val="none"/>
                <w:lang w:eastAsia="zh-CN"/>
              </w:rPr>
              <w:tab/>
            </w:r>
            <w:r>
              <w:rPr>
                <w:rFonts w:hint="eastAsia" w:hAnsi="宋体" w:cs="宋体"/>
                <w:color w:val="auto"/>
                <w:kern w:val="0"/>
                <w:szCs w:val="24"/>
                <w:highlight w:val="none"/>
                <w:lang w:val="en-US" w:eastAsia="zh-CN"/>
              </w:rPr>
              <w:t xml:space="preserve">   </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pStyle w:val="119"/>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2"/>
                <w:highlight w:val="none"/>
                <w:lang w:val="en-US" w:eastAsia="zh-CN" w:bidi="ar-SA"/>
              </w:rPr>
            </w:pPr>
            <w:r>
              <w:rPr>
                <w:rFonts w:hint="eastAsia" w:hAnsi="宋体" w:cs="宋体"/>
                <w:snapToGrid w:val="0"/>
                <w:color w:val="auto"/>
                <w:kern w:val="0"/>
                <w:sz w:val="24"/>
                <w:szCs w:val="32"/>
                <w:highlight w:val="none"/>
                <w:lang w:val="en-US" w:eastAsia="zh-CN"/>
              </w:rPr>
              <w:t>翁源县翁城镇人民政府</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pStyle w:val="119"/>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汇龙工程咨询有限公司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施工单位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auto"/>
                <w:kern w:val="0"/>
                <w:szCs w:val="24"/>
                <w:highlight w:val="none"/>
                <w:lang w:val="en-US" w:eastAsia="zh-CN"/>
              </w:rPr>
            </w:pPr>
            <w:r>
              <w:rPr>
                <w:rFonts w:hint="eastAsia" w:hAnsi="宋体" w:cs="宋体"/>
                <w:bCs/>
                <w:snapToGrid w:val="0"/>
                <w:color w:val="auto"/>
                <w:kern w:val="0"/>
                <w:szCs w:val="24"/>
                <w:highlight w:val="none"/>
                <w:lang w:val="en-US" w:eastAsia="zh-CN"/>
              </w:rPr>
              <w:t>待定</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default" w:hAnsi="宋体" w:eastAsia="宋体" w:cs="宋体"/>
                <w:bCs/>
                <w:snapToGrid w:val="0"/>
                <w:color w:val="auto"/>
                <w:kern w:val="0"/>
                <w:szCs w:val="24"/>
                <w:highlight w:val="none"/>
                <w:lang w:val="en-US" w:eastAsia="zh-CN"/>
              </w:rPr>
            </w:pPr>
            <w:r>
              <w:rPr>
                <w:rFonts w:hint="eastAsia" w:hAnsi="宋体" w:cs="宋体"/>
                <w:bCs/>
                <w:snapToGrid w:val="0"/>
                <w:color w:val="auto"/>
                <w:kern w:val="0"/>
                <w:szCs w:val="24"/>
                <w:highlight w:val="none"/>
              </w:rPr>
              <w:t>翁源</w:t>
            </w:r>
            <w:r>
              <w:rPr>
                <w:rFonts w:hint="eastAsia" w:hAnsi="宋体" w:cs="宋体"/>
                <w:bCs/>
                <w:snapToGrid w:val="0"/>
                <w:color w:val="auto"/>
                <w:kern w:val="0"/>
                <w:szCs w:val="24"/>
                <w:highlight w:val="none"/>
                <w:lang w:val="en-US" w:eastAsia="zh-CN"/>
              </w:rPr>
              <w:t>县翁城镇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04"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翁城镇富陂村5、17、15、18、19、20组，黄塘村1至7组，明星村9、10、13组，墨岭村3、6、12、13组，胜利村1至4、8至12组，五一村15、16组，秀丰村3至8组，沾坑村3至7组，马东6、7、8组，桂湖3组农村生活污水收集管网和资源化利用处理终端。</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0"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项目总投资</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项目计划总投资600万元，本次招标监理费约13.2万元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4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项目建设范围内的施工监理（含施工准备阶段、施工阶段、工程竣工验收阶段、工程结算阶段及缺陷责任保修期阶段的监理服务）。</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Cs w:val="24"/>
                <w:highlight w:val="none"/>
              </w:rPr>
            </w:pPr>
            <w:r>
              <w:rPr>
                <w:rFonts w:hint="eastAsia" w:hAnsi="宋体" w:cs="宋体"/>
                <w:color w:val="auto"/>
                <w:szCs w:val="24"/>
                <w:highlight w:val="none"/>
              </w:rPr>
              <w:t xml:space="preserve">2.2 </w:t>
            </w:r>
            <w:r>
              <w:rPr>
                <w:rFonts w:hint="eastAsia" w:ascii="宋体" w:hAnsi="宋体" w:eastAsia="宋体" w:cs="宋体"/>
                <w:color w:val="auto"/>
                <w:szCs w:val="24"/>
                <w:highlight w:val="none"/>
              </w:rPr>
              <w:t>投标人须具备以下资质之一：①工程监理综合资质；②</w:t>
            </w:r>
            <w:r>
              <w:rPr>
                <w:rFonts w:hint="eastAsia" w:hAnsi="宋体" w:cs="宋体"/>
                <w:color w:val="auto"/>
                <w:szCs w:val="24"/>
                <w:highlight w:val="none"/>
                <w:lang w:val="en-US" w:eastAsia="zh-CN"/>
              </w:rPr>
              <w:t>市政公用</w:t>
            </w:r>
            <w:r>
              <w:rPr>
                <w:rFonts w:hint="eastAsia" w:ascii="宋体" w:hAnsi="宋体" w:eastAsia="宋体" w:cs="宋体"/>
                <w:color w:val="auto"/>
                <w:szCs w:val="24"/>
                <w:highlight w:val="none"/>
              </w:rPr>
              <w:t>工程监理乙级资质及以上（含</w:t>
            </w:r>
            <w:r>
              <w:rPr>
                <w:rFonts w:hint="eastAsia" w:hAnsi="宋体" w:cs="宋体"/>
                <w:color w:val="auto"/>
                <w:szCs w:val="24"/>
                <w:highlight w:val="none"/>
                <w:lang w:val="en-US" w:eastAsia="zh-CN"/>
              </w:rPr>
              <w:t>乙</w:t>
            </w:r>
            <w:r>
              <w:rPr>
                <w:rFonts w:hint="eastAsia" w:ascii="宋体" w:hAnsi="宋体" w:eastAsia="宋体" w:cs="宋体"/>
                <w:color w:val="auto"/>
                <w:szCs w:val="24"/>
                <w:highlight w:val="none"/>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3.1 拟派总监理工程师为</w:t>
            </w:r>
            <w:r>
              <w:rPr>
                <w:rFonts w:hint="eastAsia" w:hAnsi="宋体" w:cs="宋体"/>
                <w:color w:val="auto"/>
                <w:szCs w:val="24"/>
                <w:highlight w:val="none"/>
                <w:lang w:val="en-US" w:eastAsia="zh-CN"/>
              </w:rPr>
              <w:t>市政公用</w:t>
            </w:r>
            <w:r>
              <w:rPr>
                <w:rFonts w:hint="eastAsia" w:hAnsi="宋体" w:cs="宋体"/>
                <w:color w:val="auto"/>
                <w:szCs w:val="24"/>
                <w:highlight w:val="none"/>
              </w:rPr>
              <w:t>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（14）</w:t>
            </w:r>
            <w:r>
              <w:rPr>
                <w:rFonts w:hint="eastAsia" w:hAnsi="宋体" w:cs="宋体"/>
                <w:color w:val="auto"/>
                <w:kern w:val="0"/>
                <w:highlight w:val="none"/>
              </w:rPr>
              <w:t>被“信用中国”网站（https://www.creditchina.gov.cn）发布的《法人和非法人组织公共信用信息报告》列为严重失信主体名单的</w:t>
            </w:r>
            <w:r>
              <w:rPr>
                <w:rFonts w:hint="eastAsia" w:hAnsi="宋体" w:cs="宋体"/>
                <w:color w:val="auto"/>
                <w:szCs w:val="24"/>
                <w:highlight w:val="none"/>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4.2 招标人拒绝以下名单中的单位参加本次投标：</w:t>
            </w:r>
          </w:p>
          <w:tbl>
            <w:tblPr>
              <w:tblStyle w:val="31"/>
              <w:tblW w:w="6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2880"/>
              <w:gridCol w:w="2966"/>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3"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880"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3" w:type="dxa"/>
                  <w:noWrap w:val="0"/>
                  <w:vAlign w:val="center"/>
                </w:tcPr>
                <w:p w14:paraId="5B757AB9">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2880" w:type="dxa"/>
                  <w:noWrap w:val="0"/>
                  <w:vAlign w:val="center"/>
                </w:tcPr>
                <w:p w14:paraId="33309A4E">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翁源县翁城镇人民政府</w:t>
                  </w:r>
                </w:p>
              </w:tc>
              <w:tc>
                <w:tcPr>
                  <w:tcW w:w="2966" w:type="dxa"/>
                  <w:noWrap w:val="0"/>
                  <w:vAlign w:val="center"/>
                </w:tcPr>
                <w:p w14:paraId="3109F4A9">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本项目的</w:t>
                  </w:r>
                  <w:r>
                    <w:rPr>
                      <w:rFonts w:hint="eastAsia" w:ascii="宋体" w:hAnsi="宋体" w:eastAsia="宋体" w:cs="宋体"/>
                      <w:color w:val="auto"/>
                      <w:sz w:val="24"/>
                      <w:szCs w:val="24"/>
                      <w:highlight w:val="none"/>
                    </w:rPr>
                    <w:t>招标人</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3" w:type="dxa"/>
                  <w:noWrap w:val="0"/>
                  <w:vAlign w:val="center"/>
                </w:tcPr>
                <w:p w14:paraId="28FEDDA3">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2880" w:type="dxa"/>
                  <w:noWrap w:val="0"/>
                  <w:vAlign w:val="center"/>
                </w:tcPr>
                <w:p w14:paraId="22B974FA">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汇龙工程咨询有限公司</w:t>
                  </w:r>
                </w:p>
              </w:tc>
              <w:tc>
                <w:tcPr>
                  <w:tcW w:w="2966" w:type="dxa"/>
                  <w:noWrap w:val="0"/>
                  <w:vAlign w:val="center"/>
                </w:tcPr>
                <w:p w14:paraId="3A221F21">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为本项目的招标代理机构</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3" w:type="dxa"/>
                  <w:noWrap w:val="0"/>
                  <w:vAlign w:val="center"/>
                </w:tcPr>
                <w:p w14:paraId="74118216">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2880" w:type="dxa"/>
                  <w:noWrap w:val="0"/>
                  <w:vAlign w:val="center"/>
                </w:tcPr>
                <w:p w14:paraId="0A3FF80A">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ind w:firstLine="240" w:firstLineChars="100"/>
                    <w:jc w:val="both"/>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广东省国际工程咨询有限公司</w:t>
                  </w:r>
                </w:p>
              </w:tc>
              <w:tc>
                <w:tcPr>
                  <w:tcW w:w="2966" w:type="dxa"/>
                  <w:noWrap w:val="0"/>
                  <w:vAlign w:val="center"/>
                </w:tcPr>
                <w:p w14:paraId="5C95264F">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为本项目的可研编制单位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本项目施工工期：180日历天；监理服务期从监理合同签订之日起计，至本工程缺陷责任保修期结束且本工程结算金额经政府主管部门审定且双方的责任义务履行完毕时止。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工程质量达到合格或以上标准。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bCs/>
                <w:color w:val="auto"/>
                <w:szCs w:val="24"/>
                <w:highlight w:val="none"/>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eastAsia="宋体" w:cs="宋体"/>
                <w:color w:val="auto"/>
                <w:highlight w:val="none"/>
                <w:lang w:eastAsia="zh-CN"/>
              </w:rPr>
            </w:pPr>
            <w:r>
              <w:rPr>
                <w:rFonts w:hint="eastAsia" w:hAnsi="宋体" w:cs="宋体"/>
                <w:color w:val="auto"/>
                <w:highlight w:val="none"/>
              </w:rPr>
              <w:t>1.投标人须缴纳金额为人民币</w:t>
            </w:r>
            <w:r>
              <w:rPr>
                <w:rFonts w:hint="eastAsia" w:hAnsi="宋体" w:cs="宋体"/>
                <w:color w:val="auto"/>
                <w:highlight w:val="none"/>
                <w:u w:val="single"/>
                <w:lang w:val="en-US" w:eastAsia="zh-CN"/>
              </w:rPr>
              <w:t>贰仟</w:t>
            </w:r>
            <w:r>
              <w:rPr>
                <w:rFonts w:hint="eastAsia" w:hAnsi="宋体" w:cs="宋体"/>
                <w:color w:val="auto"/>
                <w:highlight w:val="none"/>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highlight w:val="none"/>
              </w:rPr>
            </w:pPr>
            <w:r>
              <w:rPr>
                <w:rFonts w:hint="eastAsia" w:hAnsi="宋体" w:cs="宋体"/>
                <w:color w:val="auto"/>
                <w:highlight w:val="none"/>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本次招标的投标有效期为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投标文件包括商务标书、监理大纲</w:t>
            </w:r>
            <w:r>
              <w:rPr>
                <w:rFonts w:hint="eastAsia" w:hAnsi="宋体" w:cs="宋体"/>
                <w:snapToGrid w:val="0"/>
                <w:color w:val="auto"/>
                <w:kern w:val="0"/>
                <w:szCs w:val="24"/>
                <w:highlight w:val="none"/>
                <w:lang w:val="en-US" w:eastAsia="zh-CN"/>
              </w:rPr>
              <w:t>两</w:t>
            </w:r>
            <w:r>
              <w:rPr>
                <w:rFonts w:hint="eastAsia" w:hAnsi="宋体" w:cs="宋体"/>
                <w:snapToGrid w:val="0"/>
                <w:color w:val="auto"/>
                <w:kern w:val="0"/>
                <w:szCs w:val="24"/>
                <w:highlight w:val="none"/>
              </w:rPr>
              <w:t>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综合评估法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23</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24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本次招标监理大纲</w:t>
            </w:r>
            <w:r>
              <w:rPr>
                <w:rFonts w:hint="eastAsia" w:hAnsi="宋体" w:cs="宋体"/>
                <w:snapToGrid w:val="0"/>
                <w:color w:val="auto"/>
                <w:kern w:val="0"/>
                <w:szCs w:val="24"/>
                <w:highlight w:val="none"/>
                <w:u w:val="single"/>
              </w:rPr>
              <w:t xml:space="preserve"> 不采用 </w:t>
            </w:r>
            <w:r>
              <w:rPr>
                <w:rFonts w:hint="eastAsia" w:hAnsi="宋体" w:cs="宋体"/>
                <w:snapToGrid w:val="0"/>
                <w:color w:val="auto"/>
                <w:kern w:val="0"/>
                <w:szCs w:val="24"/>
                <w:highlight w:val="none"/>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4</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评标委员会由</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人组成，其中招标人代表</w:t>
            </w:r>
            <w:r>
              <w:rPr>
                <w:rFonts w:hint="eastAsia" w:hAnsi="宋体" w:cs="宋体"/>
                <w:snapToGrid w:val="0"/>
                <w:color w:val="auto"/>
                <w:kern w:val="0"/>
                <w:szCs w:val="24"/>
                <w:highlight w:val="none"/>
                <w:u w:val="single"/>
              </w:rPr>
              <w:t xml:space="preserve"> 0 </w:t>
            </w:r>
            <w:r>
              <w:rPr>
                <w:rFonts w:hint="eastAsia" w:hAnsi="宋体" w:cs="宋体"/>
                <w:snapToGrid w:val="0"/>
                <w:color w:val="auto"/>
                <w:kern w:val="0"/>
                <w:szCs w:val="24"/>
                <w:highlight w:val="none"/>
              </w:rPr>
              <w:t>人，专家</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szCs w:val="24"/>
                <w:highlight w:val="none"/>
              </w:rPr>
              <w:t>中随机抽取，其中技术类专家</w:t>
            </w:r>
            <w:r>
              <w:rPr>
                <w:rFonts w:hint="eastAsia" w:hAnsi="宋体" w:cs="宋体"/>
                <w:snapToGrid w:val="0"/>
                <w:color w:val="auto"/>
                <w:kern w:val="0"/>
                <w:szCs w:val="24"/>
                <w:highlight w:val="none"/>
                <w:u w:val="single"/>
              </w:rPr>
              <w:t xml:space="preserve"> 3 </w:t>
            </w:r>
            <w:r>
              <w:rPr>
                <w:rFonts w:hint="eastAsia" w:hAnsi="宋体" w:cs="宋体"/>
                <w:snapToGrid w:val="0"/>
                <w:color w:val="auto"/>
                <w:kern w:val="0"/>
                <w:szCs w:val="24"/>
                <w:highlight w:val="none"/>
              </w:rPr>
              <w:t>人，经济类专家</w:t>
            </w:r>
            <w:r>
              <w:rPr>
                <w:rFonts w:hint="eastAsia" w:hAnsi="宋体" w:cs="宋体"/>
                <w:snapToGrid w:val="0"/>
                <w:color w:val="auto"/>
                <w:kern w:val="0"/>
                <w:szCs w:val="24"/>
                <w:highlight w:val="none"/>
                <w:u w:val="single"/>
              </w:rPr>
              <w:t xml:space="preserve"> 2 </w:t>
            </w:r>
            <w:r>
              <w:rPr>
                <w:rFonts w:hint="eastAsia" w:hAnsi="宋体" w:cs="宋体"/>
                <w:snapToGrid w:val="0"/>
                <w:color w:val="auto"/>
                <w:kern w:val="0"/>
                <w:szCs w:val="24"/>
                <w:highlight w:val="none"/>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5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5</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hAnsi="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26</w:t>
            </w:r>
          </w:p>
        </w:tc>
        <w:tc>
          <w:tcPr>
            <w:tcW w:w="1725" w:type="dxa"/>
            <w:tcBorders>
              <w:top w:val="single" w:color="auto" w:sz="4" w:space="0"/>
              <w:left w:val="single" w:color="auto" w:sz="4" w:space="0"/>
              <w:bottom w:val="single" w:color="auto" w:sz="4" w:space="0"/>
              <w:right w:val="single" w:color="auto" w:sz="4" w:space="0"/>
            </w:tcBorders>
            <w:vAlign w:val="center"/>
          </w:tcPr>
          <w:p w14:paraId="7CA2CE30">
            <w:pPr>
              <w:pStyle w:val="28"/>
              <w:keepNext w:val="0"/>
              <w:keepLines w:val="0"/>
              <w:widowControl/>
              <w:suppressLineNumbers w:val="0"/>
              <w:wordWrap/>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招标人联系方式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1511AD60">
            <w:pPr>
              <w:pStyle w:val="28"/>
              <w:keepNext w:val="0"/>
              <w:keepLines w:val="0"/>
              <w:widowControl/>
              <w:suppressLineNumbers w:val="0"/>
              <w:wordWrap/>
              <w:ind w:left="240" w:leftChars="100"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单位名称：翁源县翁城镇人民政府</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地址：翁源县翁城镇文化路12号</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联系人：朱工</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联系电话：0751-2612301</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7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top"/>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cs="宋体"/>
                <w:snapToGrid w:val="0"/>
                <w:color w:val="auto"/>
                <w:kern w:val="0"/>
                <w:szCs w:val="24"/>
                <w:highlight w:val="none"/>
                <w:lang w:val="en-US" w:eastAsia="zh-CN"/>
              </w:rPr>
            </w:pPr>
            <w:r>
              <w:rPr>
                <w:rFonts w:hint="eastAsia" w:hAnsi="宋体" w:cs="宋体"/>
                <w:snapToGrid w:val="0"/>
                <w:color w:val="auto"/>
                <w:kern w:val="0"/>
                <w:szCs w:val="24"/>
                <w:highlight w:val="none"/>
              </w:rPr>
              <w:t>27</w:t>
            </w:r>
          </w:p>
        </w:tc>
        <w:tc>
          <w:tcPr>
            <w:tcW w:w="1725" w:type="dxa"/>
            <w:tcBorders>
              <w:top w:val="single" w:color="auto" w:sz="4" w:space="0"/>
              <w:left w:val="single" w:color="auto" w:sz="4" w:space="0"/>
              <w:bottom w:val="single" w:color="auto" w:sz="4" w:space="0"/>
              <w:right w:val="single" w:color="auto" w:sz="4" w:space="0"/>
            </w:tcBorders>
            <w:vAlign w:val="center"/>
          </w:tcPr>
          <w:p w14:paraId="61EAB285">
            <w:pPr>
              <w:pStyle w:val="28"/>
              <w:keepNext w:val="0"/>
              <w:keepLines w:val="0"/>
              <w:widowControl/>
              <w:suppressLineNumbers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招标代理机构联系方式</w:t>
            </w:r>
          </w:p>
        </w:tc>
        <w:tc>
          <w:tcPr>
            <w:tcW w:w="6856" w:type="dxa"/>
            <w:tcBorders>
              <w:top w:val="single" w:color="auto" w:sz="4" w:space="0"/>
              <w:left w:val="single" w:color="auto" w:sz="4" w:space="0"/>
              <w:bottom w:val="single" w:color="auto" w:sz="4" w:space="0"/>
              <w:right w:val="single" w:color="auto" w:sz="4" w:space="0"/>
            </w:tcBorders>
            <w:vAlign w:val="top"/>
          </w:tcPr>
          <w:p w14:paraId="455FD8F5">
            <w:pPr>
              <w:pStyle w:val="28"/>
              <w:keepNext w:val="0"/>
              <w:keepLines w:val="0"/>
              <w:widowControl/>
              <w:suppressLineNumbers w:val="0"/>
              <w:ind w:left="240" w:leftChars="100" w:firstLine="0" w:firstLineChars="0"/>
              <w:jc w:val="left"/>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单位名称：汇龙工程咨询有限公司</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办公地址：韶关市翁源县龙仙镇河口村日光小组文化室201房</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联系人：李</w:t>
            </w:r>
            <w:r>
              <w:rPr>
                <w:rFonts w:hint="eastAsia" w:cs="宋体"/>
                <w:snapToGrid w:val="0"/>
                <w:color w:val="auto"/>
                <w:kern w:val="0"/>
                <w:sz w:val="24"/>
                <w:szCs w:val="24"/>
                <w:highlight w:val="none"/>
                <w:lang w:val="en-US" w:eastAsia="zh-CN" w:bidi="ar-SA"/>
              </w:rPr>
              <w:t>媚</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电话：0751-2828218</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top"/>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cs="宋体"/>
                <w:snapToGrid w:val="0"/>
                <w:color w:val="auto"/>
                <w:kern w:val="0"/>
                <w:szCs w:val="24"/>
                <w:highlight w:val="none"/>
                <w:lang w:val="en-US" w:eastAsia="zh-CN"/>
              </w:rPr>
            </w:pPr>
            <w:r>
              <w:rPr>
                <w:rFonts w:hint="eastAsia" w:hAnsi="宋体" w:cs="宋体"/>
                <w:snapToGrid w:val="0"/>
                <w:color w:val="auto"/>
                <w:kern w:val="0"/>
                <w:szCs w:val="24"/>
                <w:highlight w:val="none"/>
              </w:rPr>
              <w:t>28</w:t>
            </w:r>
          </w:p>
        </w:tc>
        <w:tc>
          <w:tcPr>
            <w:tcW w:w="1725" w:type="dxa"/>
            <w:tcBorders>
              <w:top w:val="single" w:color="auto" w:sz="4" w:space="0"/>
              <w:left w:val="single" w:color="auto" w:sz="4" w:space="0"/>
              <w:bottom w:val="single" w:color="auto" w:sz="4" w:space="0"/>
              <w:right w:val="single" w:color="auto" w:sz="4" w:space="0"/>
            </w:tcBorders>
            <w:vAlign w:val="center"/>
          </w:tcPr>
          <w:p w14:paraId="39E802A2">
            <w:pPr>
              <w:pStyle w:val="28"/>
              <w:keepNext w:val="0"/>
              <w:keepLines w:val="0"/>
              <w:widowControl/>
              <w:suppressLineNumbers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交易场所联系方式</w:t>
            </w:r>
          </w:p>
        </w:tc>
        <w:tc>
          <w:tcPr>
            <w:tcW w:w="6856" w:type="dxa"/>
            <w:tcBorders>
              <w:top w:val="single" w:color="auto" w:sz="4" w:space="0"/>
              <w:left w:val="single" w:color="auto" w:sz="4" w:space="0"/>
              <w:bottom w:val="single" w:color="auto" w:sz="4" w:space="0"/>
              <w:right w:val="single" w:color="auto" w:sz="4" w:space="0"/>
            </w:tcBorders>
            <w:vAlign w:val="top"/>
          </w:tcPr>
          <w:p w14:paraId="52A159D9">
            <w:pPr>
              <w:pStyle w:val="28"/>
              <w:keepNext w:val="0"/>
              <w:keepLines w:val="0"/>
              <w:widowControl/>
              <w:suppressLineNumbers w:val="0"/>
              <w:ind w:left="240" w:leftChars="100"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单位名称：韶关市公共资源交易中心</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办公地址：翁源县龙仙镇朝阳路63号韶关市公共资源交易中心翁源分中心</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联系人（部门）：工程交易股</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联系电话：0751-2815819</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top"/>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cs="宋体"/>
                <w:snapToGrid w:val="0"/>
                <w:color w:val="auto"/>
                <w:kern w:val="0"/>
                <w:szCs w:val="24"/>
                <w:highlight w:val="none"/>
                <w:lang w:val="en-US" w:eastAsia="zh-CN"/>
              </w:rPr>
            </w:pPr>
            <w:r>
              <w:rPr>
                <w:rFonts w:hint="eastAsia" w:hAnsi="宋体" w:cs="宋体"/>
                <w:snapToGrid w:val="0"/>
                <w:color w:val="auto"/>
                <w:kern w:val="0"/>
                <w:szCs w:val="24"/>
                <w:highlight w:val="none"/>
              </w:rPr>
              <w:t>29</w:t>
            </w:r>
          </w:p>
        </w:tc>
        <w:tc>
          <w:tcPr>
            <w:tcW w:w="1725" w:type="dxa"/>
            <w:tcBorders>
              <w:top w:val="single" w:color="auto" w:sz="4" w:space="0"/>
              <w:left w:val="single" w:color="auto" w:sz="4" w:space="0"/>
              <w:bottom w:val="single" w:color="auto" w:sz="4" w:space="0"/>
              <w:right w:val="single" w:color="auto" w:sz="4" w:space="0"/>
            </w:tcBorders>
            <w:vAlign w:val="center"/>
          </w:tcPr>
          <w:p w14:paraId="7D06EA50">
            <w:pPr>
              <w:pStyle w:val="28"/>
              <w:keepNext w:val="0"/>
              <w:keepLines w:val="0"/>
              <w:widowControl/>
              <w:suppressLineNumbers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行政监督部门联系方式</w:t>
            </w:r>
          </w:p>
        </w:tc>
        <w:tc>
          <w:tcPr>
            <w:tcW w:w="6856" w:type="dxa"/>
            <w:tcBorders>
              <w:top w:val="single" w:color="auto" w:sz="4" w:space="0"/>
              <w:left w:val="single" w:color="auto" w:sz="4" w:space="0"/>
              <w:bottom w:val="single" w:color="auto" w:sz="4" w:space="0"/>
              <w:right w:val="single" w:color="auto" w:sz="4" w:space="0"/>
            </w:tcBorders>
            <w:vAlign w:val="top"/>
          </w:tcPr>
          <w:p w14:paraId="38D48A3B">
            <w:pPr>
              <w:pStyle w:val="28"/>
              <w:keepNext w:val="0"/>
              <w:keepLines w:val="0"/>
              <w:widowControl/>
              <w:suppressLineNumbers w:val="0"/>
              <w:ind w:left="240" w:leftChars="100"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单位名称：翁源县农业农村局</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办公地址：翁源县龙仙镇建设一路253号</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联系人（部门）：农促股</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联系电话：0751-2873197</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62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bookmarkStart w:id="5" w:name="_Toc122671103"/>
            <w:bookmarkStart w:id="6" w:name="_Toc122769943"/>
            <w:bookmarkStart w:id="7" w:name="_Toc122859103"/>
            <w:r>
              <w:rPr>
                <w:rFonts w:hint="eastAsia" w:hAnsi="宋体" w:cs="宋体"/>
                <w:snapToGrid w:val="0"/>
                <w:color w:val="auto"/>
                <w:kern w:val="0"/>
                <w:szCs w:val="24"/>
                <w:highlight w:val="none"/>
              </w:rPr>
              <w:t>3</w:t>
            </w:r>
            <w:r>
              <w:rPr>
                <w:rFonts w:hint="eastAsia" w:hAnsi="宋体" w:cs="宋体"/>
                <w:snapToGrid w:val="0"/>
                <w:color w:val="auto"/>
                <w:kern w:val="0"/>
                <w:szCs w:val="24"/>
                <w:highlight w:val="none"/>
                <w:lang w:val="en-US" w:eastAsia="zh-CN"/>
              </w:rPr>
              <w:t>0</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其他费用</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Ansi="宋体" w:cs="宋体"/>
                <w:snapToGrid w:val="0"/>
                <w:color w:val="auto"/>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本工程的招标代理服务费由中标人支付，该费用不再另行报价，由投标人在投标报价时综合考虑在内。中标人须向招标代理机构一次性支付（招标代理服务费：参照《关于印发&lt;招标代理服务收费管理暂行办法&gt;通知》[2002]1980号文以中标价为基数并下浮20%计取，</w:t>
            </w:r>
            <w:r>
              <w:rPr>
                <w:rFonts w:hint="eastAsia" w:ascii="宋体" w:hAnsi="宋体" w:eastAsia="宋体" w:cs="宋体"/>
                <w:snapToGrid w:val="0"/>
                <w:color w:val="auto"/>
                <w:kern w:val="0"/>
                <w:sz w:val="24"/>
                <w:szCs w:val="24"/>
                <w:highlight w:val="none"/>
                <w:lang w:val="en-US" w:eastAsia="zh-CN"/>
              </w:rPr>
              <w:t>中标人在领取中标通知书前须向招标代理机构一次性支付本项目的招标代理服务费。</w:t>
            </w:r>
            <w:r>
              <w:rPr>
                <w:rFonts w:hint="eastAsia" w:asciiTheme="minorEastAsia" w:hAnsiTheme="minorEastAsia" w:eastAsiaTheme="minorEastAsia" w:cstheme="minorEastAsia"/>
                <w:snapToGrid w:val="0"/>
                <w:color w:val="auto"/>
                <w:kern w:val="0"/>
                <w:sz w:val="24"/>
                <w:szCs w:val="24"/>
                <w:highlight w:val="none"/>
                <w:lang w:val="en-US" w:eastAsia="zh-CN"/>
              </w:rPr>
              <w:t>具体以签订的合同为准。</w:t>
            </w:r>
          </w:p>
        </w:tc>
      </w:tr>
    </w:tbl>
    <w:p w14:paraId="4F29BA6C">
      <w:pPr>
        <w:pStyle w:val="4"/>
        <w:wordWrap w:val="0"/>
        <w:autoSpaceDE/>
        <w:autoSpaceDN/>
        <w:snapToGrid w:val="0"/>
        <w:spacing w:before="260" w:after="260" w:line="440" w:lineRule="exact"/>
        <w:jc w:val="both"/>
        <w:rPr>
          <w:rFonts w:ascii="Times New Roman"/>
          <w:b/>
          <w:snapToGrid w:val="0"/>
          <w:color w:val="auto"/>
          <w:highlight w:val="none"/>
        </w:rPr>
        <w:sectPr>
          <w:footerReference r:id="rId8" w:type="default"/>
          <w:endnotePr>
            <w:numFmt w:val="decimal"/>
          </w:endnotePr>
          <w:pgSz w:w="11906" w:h="16838"/>
          <w:pgMar w:top="1417" w:right="1417" w:bottom="1417" w:left="1417" w:header="850" w:footer="992" w:gutter="0"/>
          <w:pgNumType w:fmt="decimal" w:start="1"/>
          <w:cols w:space="0" w:num="1"/>
          <w:docGrid w:linePitch="327" w:charSpace="0"/>
        </w:sectPr>
      </w:pPr>
    </w:p>
    <w:p w14:paraId="21CE9C32">
      <w:pPr>
        <w:pStyle w:val="4"/>
        <w:wordWrap w:val="0"/>
        <w:autoSpaceDE/>
        <w:autoSpaceDN/>
        <w:snapToGrid w:val="0"/>
        <w:spacing w:after="120" w:afterLines="50" w:line="440" w:lineRule="exact"/>
        <w:jc w:val="both"/>
        <w:rPr>
          <w:rFonts w:ascii="Times New Roman"/>
          <w:snapToGrid w:val="0"/>
          <w:color w:val="auto"/>
          <w:highlight w:val="none"/>
        </w:rPr>
      </w:pPr>
      <w:bookmarkStart w:id="8" w:name="_Toc714"/>
      <w:bookmarkStart w:id="9" w:name="_Toc32522"/>
      <w:r>
        <w:rPr>
          <w:rFonts w:hint="eastAsia" w:ascii="Times New Roman"/>
          <w:b/>
          <w:snapToGrid w:val="0"/>
          <w:color w:val="auto"/>
          <w:highlight w:val="none"/>
        </w:rPr>
        <w:t>第二节 重要事项时间地点一览表</w:t>
      </w:r>
      <w:bookmarkEnd w:id="8"/>
      <w:bookmarkEnd w:id="9"/>
    </w:p>
    <w:tbl>
      <w:tblPr>
        <w:tblStyle w:val="31"/>
        <w:tblW w:w="10179"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57" w:type="dxa"/>
          <w:bottom w:w="0" w:type="dxa"/>
          <w:right w:w="57" w:type="dxa"/>
        </w:tblCellMar>
      </w:tblPr>
      <w:tblGrid>
        <w:gridCol w:w="491"/>
        <w:gridCol w:w="1756"/>
        <w:gridCol w:w="7932"/>
      </w:tblGrid>
      <w:tr w14:paraId="673165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4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1B6C0CD">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56" w:type="dxa"/>
            <w:tcBorders>
              <w:top w:val="single" w:color="080000" w:sz="4" w:space="0"/>
              <w:left w:val="single" w:color="080000" w:sz="4" w:space="0"/>
              <w:bottom w:val="single" w:color="080000" w:sz="4" w:space="0"/>
              <w:right w:val="single" w:color="080000" w:sz="4" w:space="0"/>
            </w:tcBorders>
            <w:vAlign w:val="center"/>
          </w:tcPr>
          <w:p w14:paraId="0797CB9C">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招标公告</w:t>
            </w:r>
          </w:p>
          <w:p w14:paraId="13F62A2A">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发布时间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2F4E5CEF">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16</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14:paraId="5A0D20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2"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61FD2847">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56" w:type="dxa"/>
            <w:tcBorders>
              <w:top w:val="single" w:color="080000" w:sz="4" w:space="0"/>
              <w:left w:val="single" w:color="080000" w:sz="4" w:space="0"/>
              <w:bottom w:val="single" w:color="080000" w:sz="4" w:space="0"/>
              <w:right w:val="single" w:color="080000" w:sz="4" w:space="0"/>
            </w:tcBorders>
            <w:vAlign w:val="center"/>
          </w:tcPr>
          <w:p w14:paraId="6D4969C3">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获取招标文件截止时间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78D661A0">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31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分</w:t>
            </w:r>
          </w:p>
        </w:tc>
      </w:tr>
      <w:tr w14:paraId="7B0509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8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BDAC1CA">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56" w:type="dxa"/>
            <w:tcBorders>
              <w:top w:val="single" w:color="080000" w:sz="4" w:space="0"/>
              <w:left w:val="single" w:color="080000" w:sz="4" w:space="0"/>
              <w:bottom w:val="single" w:color="080000" w:sz="4" w:space="0"/>
              <w:right w:val="single" w:color="080000" w:sz="4" w:space="0"/>
            </w:tcBorders>
            <w:vAlign w:val="center"/>
          </w:tcPr>
          <w:p w14:paraId="62596278">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网上提问</w:t>
            </w:r>
          </w:p>
          <w:p w14:paraId="57C3AED6">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5370E150">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14:paraId="101064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1"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A03DB83">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56" w:type="dxa"/>
            <w:tcBorders>
              <w:top w:val="single" w:color="080000" w:sz="4" w:space="0"/>
              <w:left w:val="single" w:color="080000" w:sz="4" w:space="0"/>
              <w:bottom w:val="single" w:color="080000" w:sz="4" w:space="0"/>
              <w:right w:val="single" w:color="080000" w:sz="4" w:space="0"/>
            </w:tcBorders>
            <w:vAlign w:val="center"/>
          </w:tcPr>
          <w:p w14:paraId="4D015354">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网上答疑</w:t>
            </w:r>
          </w:p>
          <w:p w14:paraId="2D7C8154">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58246610">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分至</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24</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0</w:t>
            </w:r>
            <w:r>
              <w:rPr>
                <w:rFonts w:hint="eastAsia" w:ascii="宋体" w:hAnsi="宋体" w:eastAsia="宋体" w:cs="宋体"/>
                <w:color w:val="auto"/>
                <w:kern w:val="0"/>
                <w:sz w:val="24"/>
                <w:szCs w:val="24"/>
                <w:highlight w:val="none"/>
                <w:u w:val="single"/>
                <w:lang w:val="en-US" w:eastAsia="zh-CN" w:bidi="ar-SA"/>
              </w:rPr>
              <w:t>0</w:t>
            </w:r>
            <w:r>
              <w:rPr>
                <w:rFonts w:hint="eastAsia" w:ascii="宋体" w:hAnsi="宋体" w:eastAsia="宋体" w:cs="宋体"/>
                <w:color w:val="auto"/>
                <w:kern w:val="0"/>
                <w:sz w:val="24"/>
                <w:szCs w:val="24"/>
                <w:highlight w:val="none"/>
                <w:lang w:val="en-US" w:eastAsia="zh-CN" w:bidi="ar-SA"/>
              </w:rPr>
              <w:t>分</w:t>
            </w:r>
          </w:p>
        </w:tc>
      </w:tr>
      <w:tr w14:paraId="38C9A3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638"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085E5DA">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56" w:type="dxa"/>
            <w:tcBorders>
              <w:top w:val="single" w:color="080000" w:sz="4" w:space="0"/>
              <w:left w:val="single" w:color="080000" w:sz="4" w:space="0"/>
              <w:bottom w:val="single" w:color="080000" w:sz="4" w:space="0"/>
              <w:right w:val="single" w:color="080000" w:sz="4" w:space="0"/>
            </w:tcBorders>
            <w:vAlign w:val="center"/>
          </w:tcPr>
          <w:p w14:paraId="4FE4E15B">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投标保证缴</w:t>
            </w:r>
          </w:p>
          <w:p w14:paraId="534BCB01">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纳截止时间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5C00812F">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投标保证金到账截止时间：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分；</w:t>
            </w:r>
          </w:p>
          <w:p w14:paraId="4FD62677">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投标保证担保上传截止时间：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分；</w:t>
            </w:r>
          </w:p>
          <w:p w14:paraId="02A26BBC">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投标保证保险投保截止时间：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分。</w:t>
            </w:r>
          </w:p>
        </w:tc>
      </w:tr>
      <w:tr w14:paraId="19C78D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9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3AED9F60">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56" w:type="dxa"/>
            <w:tcBorders>
              <w:top w:val="single" w:color="080000" w:sz="4" w:space="0"/>
              <w:left w:val="single" w:color="080000" w:sz="4" w:space="0"/>
              <w:bottom w:val="single" w:color="080000" w:sz="4" w:space="0"/>
              <w:right w:val="single" w:color="080000" w:sz="4" w:space="0"/>
            </w:tcBorders>
            <w:vAlign w:val="center"/>
          </w:tcPr>
          <w:p w14:paraId="35292E2C">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电子投标</w:t>
            </w:r>
          </w:p>
          <w:p w14:paraId="083CEE58">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17827926">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31</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分</w:t>
            </w:r>
          </w:p>
        </w:tc>
      </w:tr>
      <w:tr w14:paraId="2E7EDE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AE7DCF3">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56" w:type="dxa"/>
            <w:tcBorders>
              <w:top w:val="single" w:color="080000" w:sz="4" w:space="0"/>
              <w:left w:val="single" w:color="080000" w:sz="4" w:space="0"/>
              <w:bottom w:val="single" w:color="080000" w:sz="4" w:space="0"/>
              <w:right w:val="single" w:color="080000" w:sz="4" w:space="0"/>
            </w:tcBorders>
            <w:vAlign w:val="center"/>
          </w:tcPr>
          <w:p w14:paraId="16535467">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投标相关资料（如有）</w:t>
            </w:r>
          </w:p>
          <w:p w14:paraId="326B11F8">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2B87C0CA">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31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分至</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31</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分</w:t>
            </w:r>
          </w:p>
        </w:tc>
      </w:tr>
      <w:tr w14:paraId="588584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5E5C405">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56" w:type="dxa"/>
            <w:tcBorders>
              <w:top w:val="single" w:color="080000" w:sz="4" w:space="0"/>
              <w:left w:val="single" w:color="080000" w:sz="4" w:space="0"/>
              <w:bottom w:val="single" w:color="080000" w:sz="4" w:space="0"/>
              <w:right w:val="single" w:color="080000" w:sz="4" w:space="0"/>
            </w:tcBorders>
            <w:vAlign w:val="center"/>
          </w:tcPr>
          <w:p w14:paraId="382D945C">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投标相关资料（如有）</w:t>
            </w:r>
          </w:p>
          <w:p w14:paraId="7752393B">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递交地点</w:t>
            </w:r>
          </w:p>
        </w:tc>
        <w:tc>
          <w:tcPr>
            <w:tcW w:w="7932" w:type="dxa"/>
            <w:tcBorders>
              <w:top w:val="single" w:color="080000" w:sz="4" w:space="0"/>
              <w:left w:val="single" w:color="080000" w:sz="4" w:space="0"/>
              <w:bottom w:val="single" w:color="080000" w:sz="4" w:space="0"/>
              <w:right w:val="single" w:color="080000" w:sz="4" w:space="0"/>
            </w:tcBorders>
            <w:vAlign w:val="center"/>
          </w:tcPr>
          <w:p w14:paraId="4046774B">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递交场所： 韶关市公共资源交易中心</w:t>
            </w:r>
            <w:r>
              <w:rPr>
                <w:rFonts w:hint="eastAsia" w:asciiTheme="minorEastAsia" w:hAnsiTheme="minorEastAsia" w:eastAsiaTheme="minorEastAsia" w:cstheme="minorEastAsia"/>
                <w:snapToGrid w:val="0"/>
                <w:color w:val="auto"/>
                <w:kern w:val="0"/>
                <w:sz w:val="24"/>
                <w:szCs w:val="24"/>
                <w:highlight w:val="none"/>
                <w:lang w:val="en-US" w:eastAsia="zh-CN"/>
              </w:rPr>
              <w:t>翁源分中心</w:t>
            </w:r>
            <w:r>
              <w:rPr>
                <w:rFonts w:hint="eastAsia" w:ascii="宋体" w:hAnsi="宋体" w:eastAsia="宋体" w:cs="宋体"/>
                <w:snapToGrid w:val="0"/>
                <w:color w:val="auto"/>
                <w:kern w:val="0"/>
                <w:sz w:val="24"/>
                <w:szCs w:val="24"/>
                <w:highlight w:val="none"/>
                <w:lang w:val="en-US" w:eastAsia="zh-CN" w:bidi="ar-SA"/>
              </w:rPr>
              <w:t>，地址：</w:t>
            </w:r>
            <w:r>
              <w:rPr>
                <w:rFonts w:hint="eastAsia" w:asciiTheme="minorEastAsia" w:hAnsiTheme="minorEastAsia" w:eastAsiaTheme="minorEastAsia" w:cstheme="minorEastAsia"/>
                <w:snapToGrid w:val="0"/>
                <w:color w:val="auto"/>
                <w:kern w:val="0"/>
                <w:sz w:val="24"/>
                <w:szCs w:val="24"/>
                <w:highlight w:val="none"/>
                <w:lang w:val="en-US" w:eastAsia="zh-CN"/>
              </w:rPr>
              <w:t>翁源县龙仙镇朝阳路63号韶关市公共资源交易中心翁源分中心</w:t>
            </w:r>
            <w:r>
              <w:rPr>
                <w:rFonts w:hint="eastAsia" w:ascii="宋体" w:hAnsi="宋体" w:eastAsia="宋体" w:cs="宋体"/>
                <w:snapToGrid w:val="0"/>
                <w:color w:val="auto"/>
                <w:kern w:val="0"/>
                <w:sz w:val="24"/>
                <w:szCs w:val="24"/>
                <w:highlight w:val="none"/>
                <w:lang w:val="en-US" w:eastAsia="zh-CN" w:bidi="ar-SA"/>
              </w:rPr>
              <w:t>，具体房间号以当日现场通知为准。</w:t>
            </w:r>
          </w:p>
        </w:tc>
      </w:tr>
      <w:tr w14:paraId="3AE67C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5A26C4B5">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56" w:type="dxa"/>
            <w:tcBorders>
              <w:top w:val="single" w:color="080000" w:sz="4" w:space="0"/>
              <w:left w:val="single" w:color="080000" w:sz="4" w:space="0"/>
              <w:bottom w:val="single" w:color="080000" w:sz="4" w:space="0"/>
              <w:right w:val="single" w:color="080000" w:sz="4" w:space="0"/>
            </w:tcBorders>
            <w:vAlign w:val="center"/>
          </w:tcPr>
          <w:p w14:paraId="25C68903">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开标时间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2ED0604D">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31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分</w:t>
            </w:r>
          </w:p>
        </w:tc>
      </w:tr>
      <w:tr w14:paraId="15756B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1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C43D769">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56" w:type="dxa"/>
            <w:tcBorders>
              <w:top w:val="single" w:color="080000" w:sz="4" w:space="0"/>
              <w:left w:val="single" w:color="080000" w:sz="4" w:space="0"/>
              <w:bottom w:val="single" w:color="080000" w:sz="4" w:space="0"/>
              <w:right w:val="single" w:color="080000" w:sz="4" w:space="0"/>
            </w:tcBorders>
            <w:vAlign w:val="center"/>
          </w:tcPr>
          <w:p w14:paraId="17EE823E">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开标地点 </w:t>
            </w:r>
          </w:p>
        </w:tc>
        <w:tc>
          <w:tcPr>
            <w:tcW w:w="7932" w:type="dxa"/>
            <w:tcBorders>
              <w:top w:val="single" w:color="080000" w:sz="4" w:space="0"/>
              <w:left w:val="single" w:color="080000" w:sz="4" w:space="0"/>
              <w:bottom w:val="single" w:color="080000" w:sz="4" w:space="0"/>
              <w:right w:val="single" w:color="080000" w:sz="4" w:space="0"/>
            </w:tcBorders>
            <w:vAlign w:val="center"/>
          </w:tcPr>
          <w:p w14:paraId="1FC1AD23">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开标地点： 韶关市公共资源交易中心</w:t>
            </w:r>
            <w:r>
              <w:rPr>
                <w:rFonts w:hint="eastAsia" w:asciiTheme="minorEastAsia" w:hAnsiTheme="minorEastAsia" w:eastAsiaTheme="minorEastAsia" w:cstheme="minorEastAsia"/>
                <w:snapToGrid w:val="0"/>
                <w:color w:val="auto"/>
                <w:kern w:val="0"/>
                <w:sz w:val="24"/>
                <w:szCs w:val="24"/>
                <w:highlight w:val="none"/>
                <w:lang w:val="en-US" w:eastAsia="zh-CN"/>
              </w:rPr>
              <w:t>翁源</w:t>
            </w:r>
            <w:r>
              <w:rPr>
                <w:rFonts w:hint="eastAsia" w:ascii="宋体" w:hAnsi="宋体" w:eastAsia="宋体" w:cs="宋体"/>
                <w:snapToGrid w:val="0"/>
                <w:color w:val="auto"/>
                <w:kern w:val="0"/>
                <w:sz w:val="24"/>
                <w:szCs w:val="24"/>
                <w:highlight w:val="none"/>
                <w:lang w:val="en-US" w:eastAsia="zh-CN" w:bidi="ar-SA"/>
              </w:rPr>
              <w:t>分中心，地址：</w:t>
            </w:r>
            <w:r>
              <w:rPr>
                <w:rFonts w:hint="eastAsia" w:asciiTheme="minorEastAsia" w:hAnsiTheme="minorEastAsia" w:eastAsiaTheme="minorEastAsia" w:cstheme="minorEastAsia"/>
                <w:snapToGrid w:val="0"/>
                <w:color w:val="auto"/>
                <w:kern w:val="0"/>
                <w:sz w:val="24"/>
                <w:szCs w:val="24"/>
                <w:highlight w:val="none"/>
                <w:lang w:val="en-US" w:eastAsia="zh-CN"/>
              </w:rPr>
              <w:t>翁源县龙仙镇朝阳路63号韶关市公共资源交易中心翁源分中心</w:t>
            </w:r>
            <w:r>
              <w:rPr>
                <w:rFonts w:hint="eastAsia" w:ascii="宋体" w:hAnsi="宋体" w:eastAsia="宋体" w:cs="宋体"/>
                <w:snapToGrid w:val="0"/>
                <w:color w:val="auto"/>
                <w:kern w:val="0"/>
                <w:sz w:val="24"/>
                <w:szCs w:val="24"/>
                <w:highlight w:val="none"/>
                <w:lang w:val="en-US" w:eastAsia="zh-CN" w:bidi="ar-SA"/>
              </w:rPr>
              <w:t>，具体房间号以当日现场通知为准。</w:t>
            </w:r>
          </w:p>
        </w:tc>
      </w:tr>
      <w:tr w14:paraId="3B00E9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732" w:hRule="atLeast"/>
        </w:trPr>
        <w:tc>
          <w:tcPr>
            <w:tcW w:w="2247" w:type="dxa"/>
            <w:gridSpan w:val="2"/>
            <w:tcBorders>
              <w:top w:val="single" w:color="080000" w:sz="4" w:space="0"/>
              <w:left w:val="single" w:color="080000" w:sz="4" w:space="0"/>
              <w:bottom w:val="single" w:color="080000" w:sz="4" w:space="0"/>
              <w:right w:val="single" w:color="080000" w:sz="4" w:space="0"/>
            </w:tcBorders>
            <w:vAlign w:val="center"/>
          </w:tcPr>
          <w:p w14:paraId="1338FC7C">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7932" w:type="dxa"/>
            <w:tcBorders>
              <w:top w:val="single" w:color="080000" w:sz="4" w:space="0"/>
              <w:left w:val="single" w:color="080000" w:sz="4" w:space="0"/>
              <w:bottom w:val="single" w:color="080000" w:sz="4" w:space="0"/>
              <w:right w:val="single" w:color="080000" w:sz="4" w:space="0"/>
            </w:tcBorders>
            <w:vAlign w:val="center"/>
          </w:tcPr>
          <w:p w14:paraId="09CD714A">
            <w:pPr>
              <w:pStyle w:val="90"/>
              <w:keepNext w:val="0"/>
              <w:keepLines w:val="0"/>
              <w:pageBreakBefore w:val="0"/>
              <w:widowControl w:val="0"/>
              <w:kinsoku/>
              <w:wordWrap w:val="0"/>
              <w:overflowPunct/>
              <w:topLinePunct/>
              <w:autoSpaceDE/>
              <w:autoSpaceDN/>
              <w:bidi w:val="0"/>
              <w:adjustRightInd w:val="0"/>
              <w:snapToGrid w:val="0"/>
              <w:spacing w:line="400" w:lineRule="exact"/>
              <w:ind w:right="96" w:rightChars="40" w:firstLine="240" w:firstLineChars="1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2ED65E25">
      <w:pPr>
        <w:pStyle w:val="42"/>
        <w:rPr>
          <w:color w:val="auto"/>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59BCED9A">
      <w:pPr>
        <w:pStyle w:val="4"/>
        <w:keepNext w:val="0"/>
        <w:keepLines w:val="0"/>
        <w:pageBreakBefore w:val="0"/>
        <w:topLinePunct w:val="0"/>
        <w:bidi w:val="0"/>
        <w:spacing w:line="500" w:lineRule="exact"/>
        <w:textAlignment w:val="auto"/>
        <w:rPr>
          <w:b/>
          <w:bCs/>
          <w:color w:val="auto"/>
          <w:highlight w:val="none"/>
        </w:rPr>
      </w:pPr>
      <w:bookmarkStart w:id="10" w:name="_Hlt87793819"/>
      <w:bookmarkEnd w:id="10"/>
      <w:bookmarkStart w:id="11" w:name="_Toc16304"/>
      <w:bookmarkStart w:id="12" w:name="_Toc29916"/>
      <w:bookmarkStart w:id="13" w:name="_Hlt69698754"/>
      <w:bookmarkStart w:id="14" w:name="_Hlt69698705"/>
      <w:r>
        <w:rPr>
          <w:rFonts w:hint="eastAsia"/>
          <w:b/>
          <w:bCs/>
          <w:color w:val="auto"/>
          <w:highlight w:val="none"/>
        </w:rPr>
        <w:t>第三节 投标人须知</w:t>
      </w:r>
      <w:bookmarkStart w:id="15" w:name="_Hlt69669159"/>
      <w:bookmarkEnd w:id="15"/>
      <w:r>
        <w:rPr>
          <w:rFonts w:hint="eastAsia"/>
          <w:b/>
          <w:bCs/>
          <w:color w:val="auto"/>
          <w:highlight w:val="none"/>
        </w:rPr>
        <w:t>正文</w:t>
      </w:r>
      <w:bookmarkEnd w:id="11"/>
      <w:bookmarkEnd w:id="12"/>
    </w:p>
    <w:bookmarkEnd w:id="13"/>
    <w:bookmarkEnd w:id="14"/>
    <w:p w14:paraId="1CAD0699">
      <w:pPr>
        <w:pStyle w:val="10"/>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hAnsi="宋体" w:cs="宋体"/>
          <w:color w:val="auto"/>
          <w:sz w:val="24"/>
          <w:szCs w:val="24"/>
          <w:highlight w:val="none"/>
          <w:u w:val="single"/>
          <w:lang w:val="en-US" w:eastAsia="zh-CN"/>
        </w:rPr>
        <w:t>翁源县“百千万工程”之全域推进农村人居环境整治建设项目——翁城镇农村生活污水治理建设项目施工监理</w:t>
      </w:r>
      <w:r>
        <w:rPr>
          <w:rFonts w:hint="eastAsia" w:ascii="宋体" w:hAnsi="宋体" w:eastAsia="宋体" w:cs="宋体"/>
          <w:color w:val="auto"/>
          <w:sz w:val="24"/>
          <w:szCs w:val="24"/>
          <w:highlight w:val="none"/>
          <w:u w:val="none"/>
          <w:lang w:val="en-US" w:eastAsia="zh-CN"/>
        </w:rPr>
        <w:t>业</w:t>
      </w:r>
      <w:r>
        <w:rPr>
          <w:rFonts w:hint="eastAsia" w:ascii="宋体" w:hAnsi="宋体" w:eastAsia="宋体" w:cs="宋体"/>
          <w:color w:val="auto"/>
          <w:kern w:val="0"/>
          <w:sz w:val="24"/>
          <w:szCs w:val="22"/>
          <w:highlight w:val="none"/>
        </w:rPr>
        <w:t>经</w:t>
      </w:r>
      <w:r>
        <w:rPr>
          <w:rFonts w:hint="eastAsia" w:hAnsi="宋体" w:cs="宋体"/>
          <w:b w:val="0"/>
          <w:bCs w:val="0"/>
          <w:color w:val="auto"/>
          <w:kern w:val="0"/>
          <w:sz w:val="24"/>
          <w:szCs w:val="22"/>
          <w:highlight w:val="none"/>
          <w:u w:val="single"/>
          <w:lang w:val="en-US" w:eastAsia="zh-CN"/>
        </w:rPr>
        <w:t>翁源县发展和改革局</w:t>
      </w:r>
      <w:r>
        <w:rPr>
          <w:rFonts w:hint="eastAsia" w:ascii="宋体" w:hAnsi="宋体" w:eastAsia="宋体" w:cs="宋体"/>
          <w:color w:val="auto"/>
          <w:kern w:val="0"/>
          <w:sz w:val="24"/>
          <w:szCs w:val="22"/>
          <w:highlight w:val="none"/>
        </w:rPr>
        <w:t>以</w:t>
      </w:r>
      <w:r>
        <w:rPr>
          <w:rFonts w:hint="eastAsia" w:ascii="宋体" w:hAnsi="宋体" w:eastAsia="宋体" w:cs="宋体"/>
          <w:color w:val="auto"/>
          <w:kern w:val="0"/>
          <w:sz w:val="24"/>
          <w:szCs w:val="22"/>
          <w:highlight w:val="none"/>
          <w:u w:val="single"/>
          <w:lang w:eastAsia="zh-CN"/>
        </w:rPr>
        <w:t>《翁源县发展和改革局关于翁源县“百千万工程”之全域推进农村人居环境整治建设项目可行性研究报告的批复》（翁发改投审〔2025〕25号）</w:t>
      </w:r>
      <w:r>
        <w:rPr>
          <w:rFonts w:hint="eastAsia" w:ascii="宋体" w:hAnsi="宋体" w:eastAsia="宋体" w:cs="宋体"/>
          <w:color w:val="auto"/>
          <w:kern w:val="0"/>
          <w:sz w:val="24"/>
          <w:szCs w:val="22"/>
          <w:highlight w:val="none"/>
        </w:rPr>
        <w:t>文批准建设，项目代码为</w:t>
      </w:r>
      <w:r>
        <w:rPr>
          <w:rFonts w:hint="eastAsia" w:ascii="宋体" w:hAnsi="宋体" w:eastAsia="宋体" w:cs="宋体"/>
          <w:color w:val="auto"/>
          <w:kern w:val="0"/>
          <w:sz w:val="24"/>
          <w:szCs w:val="22"/>
          <w:highlight w:val="none"/>
          <w:u w:val="single"/>
          <w:lang w:val="en-US" w:eastAsia="zh-CN"/>
        </w:rPr>
        <w:t>2412-440229-04-01-525170</w:t>
      </w:r>
      <w:r>
        <w:rPr>
          <w:rFonts w:hint="eastAsia" w:ascii="宋体" w:hAnsi="宋体" w:eastAsia="宋体" w:cs="宋体"/>
          <w:color w:val="auto"/>
          <w:kern w:val="0"/>
          <w:sz w:val="24"/>
          <w:szCs w:val="22"/>
          <w:highlight w:val="none"/>
        </w:rPr>
        <w:t>。本项目业主为</w:t>
      </w:r>
      <w:r>
        <w:rPr>
          <w:rFonts w:hint="eastAsia" w:hAnsi="宋体" w:cs="宋体"/>
          <w:color w:val="auto"/>
          <w:kern w:val="0"/>
          <w:sz w:val="24"/>
          <w:szCs w:val="22"/>
          <w:highlight w:val="none"/>
          <w:u w:val="single"/>
          <w:lang w:val="en-US" w:eastAsia="zh-CN"/>
        </w:rPr>
        <w:t>翁源县翁城镇人民政府</w:t>
      </w:r>
      <w:r>
        <w:rPr>
          <w:rFonts w:hint="eastAsia" w:ascii="宋体" w:hAnsi="宋体" w:eastAsia="宋体" w:cs="宋体"/>
          <w:color w:val="auto"/>
          <w:kern w:val="0"/>
          <w:sz w:val="24"/>
          <w:szCs w:val="22"/>
          <w:highlight w:val="none"/>
        </w:rPr>
        <w:t>，建设资金来自</w:t>
      </w:r>
      <w:r>
        <w:rPr>
          <w:rFonts w:hint="eastAsia" w:hAnsi="宋体" w:cs="宋体"/>
          <w:color w:val="auto"/>
          <w:kern w:val="0"/>
          <w:sz w:val="24"/>
          <w:szCs w:val="22"/>
          <w:highlight w:val="none"/>
          <w:u w:val="single"/>
          <w:lang w:val="en-US" w:eastAsia="zh-CN"/>
        </w:rPr>
        <w:t>争取地方政府专项债券资金及上级专项资金解决，不足部分由县级财政统筹解决</w:t>
      </w:r>
      <w:r>
        <w:rPr>
          <w:rFonts w:hint="eastAsia" w:ascii="宋体" w:hAnsi="宋体" w:eastAsia="宋体" w:cs="宋体"/>
          <w:color w:val="auto"/>
          <w:kern w:val="0"/>
          <w:sz w:val="24"/>
          <w:szCs w:val="22"/>
          <w:highlight w:val="none"/>
        </w:rPr>
        <w:t>，招标人为</w:t>
      </w:r>
      <w:r>
        <w:rPr>
          <w:rFonts w:hint="eastAsia" w:hAnsi="宋体" w:cs="宋体"/>
          <w:color w:val="auto"/>
          <w:kern w:val="0"/>
          <w:sz w:val="24"/>
          <w:szCs w:val="22"/>
          <w:highlight w:val="none"/>
          <w:u w:val="single"/>
          <w:lang w:val="en-US" w:eastAsia="zh-CN"/>
        </w:rPr>
        <w:t>翁源县翁城镇人民政府</w:t>
      </w:r>
      <w:r>
        <w:rPr>
          <w:rFonts w:hint="eastAsia" w:ascii="宋体" w:hAnsi="宋体" w:eastAsia="宋体" w:cs="宋体"/>
          <w:color w:val="auto"/>
          <w:kern w:val="0"/>
          <w:sz w:val="24"/>
          <w:szCs w:val="22"/>
          <w:highlight w:val="none"/>
        </w:rPr>
        <w:t>，招标代理机构为</w:t>
      </w:r>
      <w:r>
        <w:rPr>
          <w:rFonts w:hint="eastAsia" w:hAnsi="宋体" w:cs="宋体"/>
          <w:color w:val="auto"/>
          <w:kern w:val="0"/>
          <w:sz w:val="24"/>
          <w:szCs w:val="22"/>
          <w:highlight w:val="none"/>
          <w:u w:val="single"/>
          <w:lang w:val="en-US" w:eastAsia="zh-CN"/>
        </w:rPr>
        <w:t>汇龙工程咨询有限公司</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hAnsi="宋体" w:cs="宋体"/>
          <w:color w:val="auto"/>
          <w:sz w:val="24"/>
          <w:szCs w:val="24"/>
          <w:highlight w:val="none"/>
          <w:u w:val="single"/>
          <w:lang w:val="en-US" w:eastAsia="zh-CN"/>
        </w:rPr>
        <w:t>施工监理服务</w:t>
      </w:r>
      <w:r>
        <w:rPr>
          <w:rFonts w:hint="eastAsia" w:ascii="宋体" w:hAnsi="宋体" w:eastAsia="宋体" w:cs="宋体"/>
          <w:color w:val="auto"/>
          <w:kern w:val="0"/>
          <w:sz w:val="24"/>
          <w:szCs w:val="22"/>
          <w:highlight w:val="none"/>
        </w:rPr>
        <w:t>进行公开招标。</w:t>
      </w:r>
    </w:p>
    <w:p w14:paraId="6E939B6A">
      <w:pPr>
        <w:pStyle w:val="90"/>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highlight w:val="none"/>
        </w:rPr>
      </w:pPr>
      <w:bookmarkStart w:id="16" w:name="_Toc9487"/>
      <w:r>
        <w:rPr>
          <w:rFonts w:hint="eastAsia"/>
          <w:b/>
          <w:bCs/>
          <w:snapToGrid w:val="0"/>
          <w:color w:val="auto"/>
          <w:kern w:val="0"/>
          <w:sz w:val="24"/>
          <w:highlight w:val="none"/>
        </w:rPr>
        <w:t>1．项目概况、招标范围和标段划分、投标费用</w:t>
      </w:r>
      <w:bookmarkEnd w:id="16"/>
    </w:p>
    <w:p w14:paraId="5A9B532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项目概况</w:t>
      </w:r>
    </w:p>
    <w:p w14:paraId="457EF3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 xml:space="preserve"> 建设地点：翁源县翁城镇</w:t>
      </w:r>
    </w:p>
    <w:p w14:paraId="41FC0568">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cs="宋体"/>
          <w:b w:val="0"/>
          <w:bCs w:val="0"/>
          <w:snapToGrid w:val="0"/>
          <w:color w:val="auto"/>
          <w:kern w:val="0"/>
          <w:sz w:val="24"/>
          <w:highlight w:val="none"/>
          <w:lang w:val="en-US" w:eastAsia="zh-CN"/>
        </w:rPr>
      </w:pPr>
      <w:r>
        <w:rPr>
          <w:rFonts w:hint="eastAsia" w:ascii="宋体" w:hAnsi="宋体" w:cs="宋体"/>
          <w:b/>
          <w:bCs/>
          <w:snapToGrid w:val="0"/>
          <w:color w:val="auto"/>
          <w:kern w:val="0"/>
          <w:sz w:val="24"/>
          <w:highlight w:val="none"/>
          <w:lang w:val="en-US" w:eastAsia="zh-CN"/>
        </w:rPr>
        <w:t xml:space="preserve">1.1.2 </w:t>
      </w:r>
      <w:r>
        <w:rPr>
          <w:rFonts w:hint="eastAsia" w:ascii="宋体" w:hAnsi="宋体" w:cs="宋体"/>
          <w:b w:val="0"/>
          <w:bCs w:val="0"/>
          <w:snapToGrid w:val="0"/>
          <w:color w:val="auto"/>
          <w:kern w:val="0"/>
          <w:sz w:val="24"/>
          <w:highlight w:val="none"/>
          <w:lang w:val="en-US" w:eastAsia="zh-CN"/>
        </w:rPr>
        <w:t>建设内容：翁城镇富陂村5、17、15、18、19、20组，黄塘村1至7组，明星村9、10、13组，墨岭村3、6、12、13组，胜利村1至4、8至12组，五一村15、16组，秀丰村3至8组，沾坑村3至7组，马东6、7、8组，桂湖3组农村生活污水收集管网和资源化利用处理终端。</w:t>
      </w:r>
    </w:p>
    <w:p w14:paraId="051152AF">
      <w:pPr>
        <w:pStyle w:val="90"/>
        <w:keepNext w:val="0"/>
        <w:keepLines w:val="0"/>
        <w:pageBreakBefore w:val="0"/>
        <w:wordWrap w:val="0"/>
        <w:topLinePunct w:val="0"/>
        <w:bidi w:val="0"/>
        <w:adjustRightInd w:val="0"/>
        <w:snapToGrid w:val="0"/>
        <w:spacing w:line="500" w:lineRule="exact"/>
        <w:ind w:left="480" w:leftChars="200" w:firstLine="0" w:firstLineChars="0"/>
        <w:jc w:val="left"/>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b/>
          <w:bCs/>
          <w:snapToGrid w:val="0"/>
          <w:color w:val="auto"/>
          <w:kern w:val="0"/>
          <w:sz w:val="24"/>
          <w:highlight w:val="none"/>
        </w:rPr>
        <w:t xml:space="preserve">1.1.3 </w:t>
      </w:r>
      <w:r>
        <w:rPr>
          <w:rFonts w:hint="eastAsia" w:ascii="宋体" w:hAnsi="宋体" w:eastAsia="宋体" w:cs="宋体"/>
          <w:snapToGrid w:val="0"/>
          <w:color w:val="auto"/>
          <w:kern w:val="0"/>
          <w:sz w:val="24"/>
          <w:szCs w:val="24"/>
          <w:highlight w:val="none"/>
          <w:lang w:val="en-US" w:eastAsia="zh-CN"/>
        </w:rPr>
        <w:t>项目总投资：</w:t>
      </w:r>
      <w:r>
        <w:rPr>
          <w:rFonts w:hint="eastAsia" w:ascii="宋体" w:hAnsi="宋体" w:cs="宋体"/>
          <w:snapToGrid w:val="0"/>
          <w:color w:val="auto"/>
          <w:kern w:val="0"/>
          <w:sz w:val="24"/>
          <w:szCs w:val="24"/>
          <w:highlight w:val="none"/>
          <w:lang w:val="en-US" w:eastAsia="zh-CN"/>
        </w:rPr>
        <w:t>项目计划总投资600万元，本次招标监理费约13.2万元。</w:t>
      </w:r>
    </w:p>
    <w:p w14:paraId="737B5441">
      <w:pPr>
        <w:pStyle w:val="90"/>
        <w:keepNext w:val="0"/>
        <w:keepLines w:val="0"/>
        <w:pageBreakBefore w:val="0"/>
        <w:wordWrap w:val="0"/>
        <w:topLinePunct w:val="0"/>
        <w:bidi w:val="0"/>
        <w:adjustRightInd w:val="0"/>
        <w:snapToGrid w:val="0"/>
        <w:spacing w:line="500" w:lineRule="exact"/>
        <w:ind w:left="480" w:leftChars="200" w:firstLine="0" w:firstLineChars="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 xml:space="preserve">1.2 </w:t>
      </w:r>
      <w:r>
        <w:rPr>
          <w:rFonts w:hint="eastAsia" w:ascii="宋体" w:hAnsi="宋体" w:cs="宋体"/>
          <w:snapToGrid w:val="0"/>
          <w:color w:val="auto"/>
          <w:kern w:val="0"/>
          <w:sz w:val="24"/>
          <w:highlight w:val="none"/>
        </w:rPr>
        <w:t>招标范围和标段划分</w:t>
      </w:r>
      <w:bookmarkStart w:id="351" w:name="_GoBack"/>
      <w:bookmarkEnd w:id="351"/>
    </w:p>
    <w:p w14:paraId="5C8BB66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 xml:space="preserve"> 招标范围</w:t>
      </w:r>
    </w:p>
    <w:p w14:paraId="0F812CFE">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监理：项目建设范围内的施工监理（含施工准备阶段、施工阶段、工程竣工验收阶段、工程结算阶段及缺陷责任保修期阶段的监理服务）。</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1.2.2</w:t>
      </w:r>
      <w:r>
        <w:rPr>
          <w:rFonts w:hint="eastAsia" w:hAnsi="宋体" w:cs="宋体"/>
          <w:snapToGrid w:val="0"/>
          <w:color w:val="auto"/>
          <w:kern w:val="0"/>
          <w:szCs w:val="24"/>
          <w:highlight w:val="none"/>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1.3</w:t>
      </w:r>
      <w:r>
        <w:rPr>
          <w:rFonts w:hint="eastAsia" w:hAnsi="宋体" w:cs="宋体"/>
          <w:snapToGrid w:val="0"/>
          <w:color w:val="auto"/>
          <w:kern w:val="0"/>
          <w:szCs w:val="24"/>
          <w:highlight w:val="none"/>
        </w:rPr>
        <w:t xml:space="preserve"> 投标费用：投标人应承担所有准备和参加投标的相关费用，不论投标结果如何，招标人均无义务和责任承担这些费用。</w:t>
      </w:r>
    </w:p>
    <w:p w14:paraId="6BE91A1C">
      <w:pPr>
        <w:pStyle w:val="90"/>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highlight w:val="none"/>
        </w:rPr>
      </w:pPr>
      <w:bookmarkStart w:id="17" w:name="_Toc31535"/>
      <w:bookmarkStart w:id="18" w:name="_Toc31795"/>
      <w:r>
        <w:rPr>
          <w:rFonts w:hint="eastAsia"/>
          <w:b/>
          <w:bCs/>
          <w:snapToGrid w:val="0"/>
          <w:color w:val="auto"/>
          <w:kern w:val="0"/>
          <w:sz w:val="24"/>
          <w:highlight w:val="none"/>
        </w:rPr>
        <w:t>2．投标人资格要求</w:t>
      </w:r>
      <w:bookmarkEnd w:id="17"/>
      <w:bookmarkEnd w:id="18"/>
      <w:bookmarkStart w:id="19" w:name="_Hlt74496495"/>
      <w:bookmarkEnd w:id="19"/>
    </w:p>
    <w:p w14:paraId="229AFBAA">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2.1</w:t>
      </w:r>
      <w:r>
        <w:rPr>
          <w:rFonts w:hint="eastAsia" w:ascii="宋体" w:hAnsi="宋体" w:cs="宋体"/>
          <w:snapToGrid w:val="0"/>
          <w:color w:val="auto"/>
          <w:kern w:val="0"/>
          <w:sz w:val="24"/>
          <w:highlight w:val="none"/>
        </w:rPr>
        <w:t xml:space="preserve"> 本次招标不接受联合体投标。</w:t>
      </w:r>
    </w:p>
    <w:p w14:paraId="376870E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w:t>
      </w:r>
      <w:r>
        <w:rPr>
          <w:rFonts w:hint="eastAsia" w:ascii="宋体" w:hAnsi="宋体" w:cs="宋体"/>
          <w:snapToGrid w:val="0"/>
          <w:color w:val="auto"/>
          <w:kern w:val="0"/>
          <w:sz w:val="24"/>
          <w:highlight w:val="none"/>
        </w:rPr>
        <w:t xml:space="preserve"> 资格资质要求</w:t>
      </w:r>
    </w:p>
    <w:p w14:paraId="296608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2.2.1</w:t>
      </w:r>
      <w:r>
        <w:rPr>
          <w:rFonts w:hint="eastAsia" w:ascii="宋体" w:hAnsi="宋体" w:cs="宋体"/>
          <w:snapToGrid w:val="0"/>
          <w:color w:val="auto"/>
          <w:kern w:val="0"/>
          <w:sz w:val="24"/>
          <w:highlight w:val="none"/>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2.2.2</w:t>
      </w:r>
      <w:r>
        <w:rPr>
          <w:rFonts w:hint="eastAsia" w:hAnsi="宋体" w:cs="宋体"/>
          <w:snapToGrid w:val="0"/>
          <w:color w:val="auto"/>
          <w:kern w:val="0"/>
          <w:szCs w:val="24"/>
          <w:highlight w:val="none"/>
        </w:rPr>
        <w:t xml:space="preserve"> </w:t>
      </w:r>
      <w:r>
        <w:rPr>
          <w:rFonts w:hint="eastAsia" w:ascii="宋体" w:hAnsi="宋体" w:eastAsia="宋体" w:cs="宋体"/>
          <w:color w:val="auto"/>
          <w:szCs w:val="24"/>
          <w:highlight w:val="none"/>
        </w:rPr>
        <w:t>投标人须具备以下资质之一：①工程监理综合资质；②</w:t>
      </w:r>
      <w:r>
        <w:rPr>
          <w:rFonts w:hint="eastAsia" w:hAnsi="宋体" w:cs="宋体"/>
          <w:color w:val="auto"/>
          <w:szCs w:val="24"/>
          <w:highlight w:val="none"/>
          <w:lang w:val="en-US" w:eastAsia="zh-CN"/>
        </w:rPr>
        <w:t>市政公用</w:t>
      </w:r>
      <w:r>
        <w:rPr>
          <w:rFonts w:hint="eastAsia" w:ascii="宋体" w:hAnsi="宋体" w:eastAsia="宋体" w:cs="宋体"/>
          <w:color w:val="auto"/>
          <w:szCs w:val="24"/>
          <w:highlight w:val="none"/>
        </w:rPr>
        <w:t>工程监理乙级资质及以上（含</w:t>
      </w:r>
      <w:r>
        <w:rPr>
          <w:rFonts w:hint="eastAsia" w:hAnsi="宋体" w:cs="宋体"/>
          <w:color w:val="auto"/>
          <w:szCs w:val="24"/>
          <w:highlight w:val="none"/>
          <w:lang w:val="en-US" w:eastAsia="zh-CN"/>
        </w:rPr>
        <w:t>乙</w:t>
      </w:r>
      <w:r>
        <w:rPr>
          <w:rFonts w:hint="eastAsia" w:ascii="宋体" w:hAnsi="宋体" w:eastAsia="宋体" w:cs="宋体"/>
          <w:color w:val="auto"/>
          <w:szCs w:val="24"/>
          <w:highlight w:val="none"/>
        </w:rPr>
        <w:t>级）资质</w:t>
      </w:r>
      <w:r>
        <w:rPr>
          <w:rFonts w:hint="eastAsia" w:hAnsi="宋体" w:cs="宋体"/>
          <w:snapToGrid w:val="0"/>
          <w:color w:val="auto"/>
          <w:kern w:val="0"/>
          <w:szCs w:val="24"/>
          <w:highlight w:val="none"/>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hAnsi="宋体" w:cs="宋体"/>
          <w:b/>
          <w:bCs/>
          <w:snapToGrid w:val="0"/>
          <w:color w:val="auto"/>
          <w:kern w:val="0"/>
          <w:szCs w:val="24"/>
          <w:highlight w:val="none"/>
        </w:rPr>
        <w:t>2.2.3</w:t>
      </w:r>
      <w:r>
        <w:rPr>
          <w:rFonts w:hint="eastAsia" w:hAnsi="宋体" w:cs="宋体"/>
          <w:snapToGrid w:val="0"/>
          <w:color w:val="auto"/>
          <w:kern w:val="0"/>
          <w:szCs w:val="24"/>
          <w:highlight w:val="none"/>
        </w:rPr>
        <w:t xml:space="preserve"> </w:t>
      </w:r>
      <w:r>
        <w:rPr>
          <w:rFonts w:hint="eastAsia" w:hAnsi="宋体" w:cs="宋体"/>
          <w:color w:val="auto"/>
          <w:szCs w:val="24"/>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3EE323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w:t>
      </w:r>
      <w:r>
        <w:rPr>
          <w:rFonts w:hint="eastAsia" w:ascii="宋体" w:hAnsi="宋体" w:cs="宋体"/>
          <w:snapToGrid w:val="0"/>
          <w:color w:val="auto"/>
          <w:kern w:val="0"/>
          <w:sz w:val="24"/>
          <w:highlight w:val="none"/>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ascii="宋体" w:hAnsi="宋体" w:cs="宋体"/>
          <w:b/>
          <w:bCs/>
          <w:snapToGrid w:val="0"/>
          <w:color w:val="auto"/>
          <w:kern w:val="0"/>
          <w:sz w:val="24"/>
          <w:highlight w:val="none"/>
        </w:rPr>
        <w:t>2.3.1</w:t>
      </w:r>
      <w:r>
        <w:rPr>
          <w:rFonts w:hint="eastAsia" w:ascii="宋体" w:hAnsi="宋体" w:cs="宋体"/>
          <w:snapToGrid w:val="0"/>
          <w:color w:val="auto"/>
          <w:kern w:val="0"/>
          <w:sz w:val="24"/>
          <w:highlight w:val="none"/>
        </w:rPr>
        <w:t xml:space="preserve"> </w:t>
      </w:r>
      <w:r>
        <w:rPr>
          <w:rFonts w:hint="eastAsia" w:hAnsi="宋体" w:cs="宋体"/>
          <w:color w:val="auto"/>
          <w:szCs w:val="24"/>
          <w:highlight w:val="none"/>
        </w:rPr>
        <w:t>拟派总监理工程师为</w:t>
      </w:r>
      <w:r>
        <w:rPr>
          <w:rFonts w:hint="eastAsia" w:hAnsi="宋体" w:cs="宋体"/>
          <w:color w:val="auto"/>
          <w:szCs w:val="24"/>
          <w:highlight w:val="none"/>
          <w:lang w:val="en-US" w:eastAsia="zh-CN"/>
        </w:rPr>
        <w:t>市政公用</w:t>
      </w:r>
      <w:r>
        <w:rPr>
          <w:rFonts w:hint="eastAsia" w:hAnsi="宋体" w:cs="宋体"/>
          <w:color w:val="auto"/>
          <w:szCs w:val="24"/>
          <w:highlight w:val="none"/>
        </w:rPr>
        <w:t>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1B937DB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729B3FCF">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2.3.2</w:t>
      </w:r>
      <w:r>
        <w:rPr>
          <w:rFonts w:hint="eastAsia" w:ascii="宋体" w:hAnsi="宋体" w:cs="宋体"/>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51D5C150">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w:t>
      </w:r>
      <w:r>
        <w:rPr>
          <w:rFonts w:hint="eastAsia" w:ascii="宋体" w:hAnsi="宋体" w:cs="宋体"/>
          <w:snapToGrid w:val="0"/>
          <w:color w:val="auto"/>
          <w:kern w:val="0"/>
          <w:sz w:val="24"/>
          <w:highlight w:val="none"/>
        </w:rPr>
        <w:t xml:space="preserve"> 禁止投标条款</w:t>
      </w:r>
    </w:p>
    <w:p w14:paraId="7D7AD0E4">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2.4.1</w:t>
      </w:r>
      <w:r>
        <w:rPr>
          <w:rFonts w:hint="eastAsia" w:ascii="宋体" w:hAnsi="宋体" w:cs="宋体"/>
          <w:snapToGrid w:val="0"/>
          <w:color w:val="auto"/>
          <w:kern w:val="0"/>
          <w:sz w:val="24"/>
          <w:highlight w:val="none"/>
        </w:rPr>
        <w:t xml:space="preserve"> 投标人不得存在下列情形之一：</w:t>
      </w:r>
    </w:p>
    <w:p w14:paraId="23B2DC3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（1）为招标人不具有独立法人资格的附属机构（单位）；</w:t>
      </w:r>
    </w:p>
    <w:p w14:paraId="7B77E29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（2）与招标人存在利害关系且可能影响招标公正性；</w:t>
      </w:r>
    </w:p>
    <w:p w14:paraId="66A8637F">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（3）与本招标项目的其他投标人为同一个单位负责人；</w:t>
      </w:r>
    </w:p>
    <w:p w14:paraId="6445557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（4）与本招标项目的其他投标人存在控股、管理关系；</w:t>
      </w:r>
    </w:p>
    <w:p w14:paraId="66EBD7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（5）为本招标项目的代建人；</w:t>
      </w:r>
    </w:p>
    <w:p w14:paraId="2102A470">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（6）为本招标项目的招标代理机构；</w:t>
      </w:r>
    </w:p>
    <w:p w14:paraId="22A7EB6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（7）与本招标项目的代建人或招标代理机构同为一个法定代表人；</w:t>
      </w:r>
    </w:p>
    <w:p w14:paraId="3FC11BF5">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（8）与本招标项目的代建人或招标代理机构存在控股或参股关系；</w:t>
      </w:r>
    </w:p>
    <w:p w14:paraId="12857A0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（9）与本招标项目的施工承包人以及建筑材料、建筑构配件和设备供应商有隶属关系或者其他利害关系；</w:t>
      </w:r>
    </w:p>
    <w:p w14:paraId="4A6FC44A">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（10）被依法暂停或者取消投标资格；</w:t>
      </w:r>
    </w:p>
    <w:p w14:paraId="68E70B2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（11）被责令停产停业、暂扣或者吊销许可证、暂扣或者吊销执照；</w:t>
      </w:r>
    </w:p>
    <w:p w14:paraId="75517A3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（12）进入清算程序，或被宣告破产，或其他丧失履约能力的情形；</w:t>
      </w:r>
    </w:p>
    <w:p w14:paraId="40C303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（13）在最近三年内发生重大监理质量问题（以相关行业主管部门的行政处罚决定或司法机关出具的有关法律文书为准）；</w:t>
      </w:r>
    </w:p>
    <w:p w14:paraId="331A83DA">
      <w:pPr>
        <w:pStyle w:val="90"/>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rPr>
        <w:t xml:space="preserve"> （14）</w:t>
      </w:r>
      <w:r>
        <w:rPr>
          <w:rFonts w:hint="eastAsia" w:ascii="宋体" w:hAnsi="宋体" w:cs="宋体"/>
          <w:color w:val="auto"/>
          <w:kern w:val="0"/>
          <w:sz w:val="24"/>
          <w:highlight w:val="none"/>
        </w:rPr>
        <w:t>被“信用中国”网站（https://www.creditchina.gov.cn）发布的《法人和非法人组织公共信用信息报告》列为严重失信主体名单的</w:t>
      </w:r>
      <w:r>
        <w:rPr>
          <w:rFonts w:hint="eastAsia" w:ascii="宋体" w:hAnsi="宋体" w:cs="宋体"/>
          <w:snapToGrid w:val="0"/>
          <w:color w:val="auto"/>
          <w:kern w:val="0"/>
          <w:sz w:val="24"/>
          <w:highlight w:val="none"/>
        </w:rPr>
        <w:t>。</w:t>
      </w:r>
    </w:p>
    <w:p w14:paraId="6D2A9BC1">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2.4.2</w:t>
      </w:r>
      <w:r>
        <w:rPr>
          <w:rFonts w:hint="eastAsia" w:ascii="宋体" w:hAnsi="宋体" w:cs="宋体"/>
          <w:snapToGrid w:val="0"/>
          <w:color w:val="auto"/>
          <w:kern w:val="0"/>
          <w:sz w:val="24"/>
          <w:highlight w:val="none"/>
        </w:rPr>
        <w:t xml:space="preserve"> 招标人拒绝以下名单中的单位参加本次投标：</w:t>
      </w:r>
    </w:p>
    <w:tbl>
      <w:tblPr>
        <w:tblStyle w:val="31"/>
        <w:tblW w:w="7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3788"/>
        <w:gridCol w:w="2966"/>
      </w:tblGrid>
      <w:tr w14:paraId="7B93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5" w:type="dxa"/>
            <w:noWrap w:val="0"/>
            <w:vAlign w:val="center"/>
          </w:tcPr>
          <w:p w14:paraId="7C4E5093">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788" w:type="dxa"/>
            <w:noWrap w:val="0"/>
            <w:vAlign w:val="center"/>
          </w:tcPr>
          <w:p w14:paraId="748980DE">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16C0E44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157B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5" w:type="dxa"/>
            <w:noWrap w:val="0"/>
            <w:vAlign w:val="center"/>
          </w:tcPr>
          <w:p w14:paraId="63115B68">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788" w:type="dxa"/>
            <w:noWrap w:val="0"/>
            <w:vAlign w:val="center"/>
          </w:tcPr>
          <w:p w14:paraId="0789885E">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翁源县翁城镇人民政府</w:t>
            </w:r>
          </w:p>
        </w:tc>
        <w:tc>
          <w:tcPr>
            <w:tcW w:w="2966" w:type="dxa"/>
            <w:noWrap w:val="0"/>
            <w:vAlign w:val="center"/>
          </w:tcPr>
          <w:p w14:paraId="2EA5670A">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本项目的</w:t>
            </w:r>
            <w:r>
              <w:rPr>
                <w:rFonts w:hint="eastAsia" w:ascii="宋体" w:hAnsi="宋体" w:eastAsia="宋体" w:cs="宋体"/>
                <w:color w:val="auto"/>
                <w:sz w:val="24"/>
                <w:szCs w:val="24"/>
                <w:highlight w:val="none"/>
              </w:rPr>
              <w:t>招标人</w:t>
            </w:r>
          </w:p>
        </w:tc>
      </w:tr>
      <w:tr w14:paraId="3897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5" w:type="dxa"/>
            <w:noWrap w:val="0"/>
            <w:vAlign w:val="center"/>
          </w:tcPr>
          <w:p w14:paraId="1FEAC9D2">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788" w:type="dxa"/>
            <w:noWrap w:val="0"/>
            <w:vAlign w:val="center"/>
          </w:tcPr>
          <w:p w14:paraId="11646BD1">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汇龙工程咨询有限公司</w:t>
            </w:r>
          </w:p>
        </w:tc>
        <w:tc>
          <w:tcPr>
            <w:tcW w:w="2966" w:type="dxa"/>
            <w:noWrap w:val="0"/>
            <w:vAlign w:val="center"/>
          </w:tcPr>
          <w:p w14:paraId="19E0BDE6">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为本项目的招标代理机构</w:t>
            </w:r>
          </w:p>
        </w:tc>
      </w:tr>
      <w:tr w14:paraId="5145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5" w:type="dxa"/>
            <w:noWrap w:val="0"/>
            <w:vAlign w:val="center"/>
          </w:tcPr>
          <w:p w14:paraId="323AC5AD">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3788" w:type="dxa"/>
            <w:noWrap w:val="0"/>
            <w:vAlign w:val="center"/>
          </w:tcPr>
          <w:p w14:paraId="4F2D5F8B">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ind w:firstLine="240" w:firstLineChars="100"/>
              <w:jc w:val="both"/>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广东省国际工程咨询有限公司</w:t>
            </w:r>
          </w:p>
        </w:tc>
        <w:tc>
          <w:tcPr>
            <w:tcW w:w="2966" w:type="dxa"/>
            <w:noWrap w:val="0"/>
            <w:vAlign w:val="center"/>
          </w:tcPr>
          <w:p w14:paraId="294ADFF8">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为本项目的可研编制单位</w:t>
            </w:r>
          </w:p>
        </w:tc>
      </w:tr>
    </w:tbl>
    <w:p w14:paraId="436A391F">
      <w:pPr>
        <w:pStyle w:val="90"/>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2.5</w:t>
      </w:r>
      <w:r>
        <w:rPr>
          <w:rFonts w:hint="eastAsia" w:ascii="宋体" w:hAnsi="宋体" w:cs="宋体"/>
          <w:snapToGrid w:val="0"/>
          <w:color w:val="auto"/>
          <w:kern w:val="0"/>
          <w:sz w:val="24"/>
          <w:highlight w:val="none"/>
        </w:rPr>
        <w:t xml:space="preserve"> 其他要求</w:t>
      </w:r>
    </w:p>
    <w:p w14:paraId="574A12A8">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90"/>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highlight w:val="none"/>
        </w:rPr>
      </w:pPr>
      <w:bookmarkStart w:id="20" w:name="_Toc12683"/>
      <w:r>
        <w:rPr>
          <w:rFonts w:hint="eastAsia" w:ascii="宋体" w:hAnsi="宋体" w:cs="宋体"/>
          <w:b/>
          <w:bCs/>
          <w:snapToGrid w:val="0"/>
          <w:color w:val="auto"/>
          <w:kern w:val="0"/>
          <w:sz w:val="24"/>
          <w:highlight w:val="none"/>
        </w:rPr>
        <w:t>3．获取招标文件</w:t>
      </w:r>
      <w:bookmarkEnd w:id="20"/>
    </w:p>
    <w:p w14:paraId="1DF04FBD">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highlight w:val="none"/>
          <w:shd w:val="clear" w:color="auto" w:fill="FFFFFF"/>
        </w:rPr>
      </w:pPr>
      <w:r>
        <w:rPr>
          <w:rFonts w:hint="eastAsia" w:ascii="宋体" w:hAnsi="宋体" w:cs="宋体"/>
          <w:snapToGrid w:val="0"/>
          <w:color w:val="auto"/>
          <w:kern w:val="0"/>
          <w:sz w:val="24"/>
          <w:highlight w:val="none"/>
        </w:rPr>
        <w:t xml:space="preserve">3.1 </w:t>
      </w:r>
      <w:r>
        <w:rPr>
          <w:rFonts w:hint="eastAsia" w:ascii="宋体" w:hAnsi="宋体" w:cs="宋体"/>
          <w:color w:val="auto"/>
          <w:sz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8"/>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highlight w:val="none"/>
        </w:rPr>
      </w:pPr>
      <w:r>
        <w:rPr>
          <w:rFonts w:hint="eastAsia"/>
          <w:snapToGrid w:val="0"/>
          <w:color w:val="auto"/>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8"/>
        <w:keepNext w:val="0"/>
        <w:keepLines w:val="0"/>
        <w:pageBreakBefore w:val="0"/>
        <w:topLinePunct w:val="0"/>
        <w:bidi w:val="0"/>
        <w:spacing w:before="0" w:beforeAutospacing="0" w:after="0" w:afterAutospacing="0" w:line="500" w:lineRule="exact"/>
        <w:ind w:firstLine="480" w:firstLineChars="200"/>
        <w:textAlignment w:val="auto"/>
        <w:rPr>
          <w:bCs/>
          <w:color w:val="auto"/>
          <w:highlight w:val="none"/>
        </w:rPr>
      </w:pPr>
      <w:r>
        <w:rPr>
          <w:rFonts w:hint="eastAsia"/>
          <w:snapToGrid w:val="0"/>
          <w:color w:val="auto"/>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highlight w:val="none"/>
        </w:rPr>
        <w:t xml:space="preserve"> </w:t>
      </w:r>
    </w:p>
    <w:p w14:paraId="3710C64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kern w:val="0"/>
          <w:sz w:val="24"/>
          <w:highlight w:val="none"/>
        </w:rPr>
        <w:t>已入库企业的有关信息（如单位名称、基本账号、资质、人员等）发生变化的，应及时在建设工程交易系统进行相应变更。投标人未及时变更而造成的损失和后果，由投标人自行承担。</w:t>
      </w:r>
    </w:p>
    <w:p w14:paraId="5349E3D5">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 投标保证</w:t>
      </w:r>
    </w:p>
    <w:p w14:paraId="71FD51A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3.3.1 投标人须缴纳金额为人民币</w:t>
      </w:r>
      <w:r>
        <w:rPr>
          <w:rFonts w:hint="eastAsia" w:ascii="宋体" w:hAnsi="宋体" w:cs="宋体"/>
          <w:color w:val="auto"/>
          <w:sz w:val="24"/>
          <w:highlight w:val="none"/>
          <w:u w:val="single"/>
          <w:shd w:val="clear" w:color="auto" w:fill="FFFFFF"/>
          <w:lang w:val="en-US" w:eastAsia="zh-CN"/>
        </w:rPr>
        <w:t>贰仟</w:t>
      </w:r>
      <w:r>
        <w:rPr>
          <w:rFonts w:hint="eastAsia" w:ascii="宋体" w:hAnsi="宋体" w:cs="宋体"/>
          <w:color w:val="auto"/>
          <w:sz w:val="24"/>
          <w:highlight w:val="none"/>
          <w:shd w:val="clear" w:color="auto" w:fill="FFFFFF"/>
        </w:rPr>
        <w:t xml:space="preserve">元的投标保证。 </w:t>
      </w:r>
    </w:p>
    <w:p w14:paraId="081C9AA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highlight w:val="none"/>
          <w:lang w:val="en-US" w:eastAsia="zh-CN"/>
        </w:rPr>
        <w:t>见</w:t>
      </w:r>
      <w:r>
        <w:rPr>
          <w:rFonts w:hint="eastAsia" w:hAnsi="宋体" w:cs="宋体"/>
          <w:color w:val="auto"/>
          <w:highlight w:val="none"/>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highlight w:val="none"/>
        </w:rPr>
        <w:t>延长</w:t>
      </w:r>
      <w:r>
        <w:rPr>
          <w:rFonts w:hint="eastAsia" w:ascii="宋体" w:hAnsi="宋体" w:cs="宋体"/>
          <w:color w:val="auto"/>
          <w:sz w:val="24"/>
          <w:highlight w:val="none"/>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3.4</w:t>
      </w:r>
      <w:r>
        <w:rPr>
          <w:rFonts w:hint="eastAsia" w:hAnsi="宋体" w:cs="宋体"/>
          <w:snapToGrid w:val="0"/>
          <w:color w:val="auto"/>
          <w:kern w:val="0"/>
          <w:highlight w:val="none"/>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highlight w:val="none"/>
        </w:rPr>
      </w:pPr>
      <w:bookmarkStart w:id="21" w:name="_Toc16883"/>
      <w:r>
        <w:rPr>
          <w:rFonts w:hint="eastAsia" w:hAnsi="宋体" w:cs="宋体"/>
          <w:b/>
          <w:bCs/>
          <w:snapToGrid w:val="0"/>
          <w:color w:val="auto"/>
          <w:kern w:val="0"/>
          <w:highlight w:val="none"/>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4.1</w:t>
      </w:r>
      <w:r>
        <w:rPr>
          <w:rFonts w:hint="eastAsia" w:hAnsi="宋体" w:cs="宋体"/>
          <w:snapToGrid w:val="0"/>
          <w:color w:val="auto"/>
          <w:kern w:val="0"/>
          <w:highlight w:val="none"/>
        </w:rPr>
        <w:t xml:space="preserve"> 监理：本项目施工工期：180日历天；监理服务期从监理合同签订之日起计，至本工程缺陷责任保修期结束且本工程结算金额经政府主管部门审定且双方的责任义务履行完毕时止。</w:t>
      </w:r>
    </w:p>
    <w:p w14:paraId="4006A3C3">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2" w:name="_Toc10746"/>
      <w:bookmarkStart w:id="23" w:name="_Toc7476"/>
      <w:r>
        <w:rPr>
          <w:rFonts w:hint="eastAsia" w:hAnsi="宋体" w:cs="宋体"/>
          <w:b/>
          <w:snapToGrid w:val="0"/>
          <w:color w:val="auto"/>
          <w:highlight w:val="none"/>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5.1</w:t>
      </w:r>
      <w:r>
        <w:rPr>
          <w:rFonts w:hint="eastAsia" w:hAnsi="宋体" w:cs="宋体"/>
          <w:snapToGrid w:val="0"/>
          <w:color w:val="auto"/>
          <w:kern w:val="0"/>
          <w:highlight w:val="none"/>
        </w:rPr>
        <w:t xml:space="preserve"> 监理：</w:t>
      </w:r>
      <w:r>
        <w:rPr>
          <w:rFonts w:hint="eastAsia" w:hAnsi="宋体" w:cs="宋体"/>
          <w:color w:val="auto"/>
          <w:szCs w:val="24"/>
          <w:highlight w:val="none"/>
        </w:rPr>
        <w:t>工程质量达到合格或以上标准。</w:t>
      </w:r>
      <w:r>
        <w:rPr>
          <w:rFonts w:hint="eastAsia" w:hAnsi="宋体" w:cs="宋体"/>
          <w:snapToGrid w:val="0"/>
          <w:color w:val="auto"/>
          <w:kern w:val="0"/>
          <w:highlight w:val="none"/>
        </w:rPr>
        <w:t xml:space="preserve"> </w:t>
      </w:r>
    </w:p>
    <w:p w14:paraId="4CCCF34C">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4" w:name="_Toc12596"/>
      <w:bookmarkStart w:id="25" w:name="_Toc32757"/>
      <w:r>
        <w:rPr>
          <w:rFonts w:hint="eastAsia" w:hAnsi="宋体" w:cs="宋体"/>
          <w:b/>
          <w:snapToGrid w:val="0"/>
          <w:color w:val="auto"/>
          <w:highlight w:val="none"/>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6.1</w:t>
      </w:r>
      <w:r>
        <w:rPr>
          <w:rFonts w:hint="eastAsia" w:hAnsi="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6.2</w:t>
      </w:r>
      <w:r>
        <w:rPr>
          <w:rFonts w:hint="eastAsia" w:hAnsi="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highlight w:val="none"/>
        </w:rPr>
      </w:pPr>
      <w:r>
        <w:rPr>
          <w:rFonts w:hint="eastAsia" w:hAnsi="宋体" w:cs="宋体"/>
          <w:b/>
          <w:bCs/>
          <w:snapToGrid w:val="0"/>
          <w:color w:val="auto"/>
          <w:kern w:val="0"/>
          <w:highlight w:val="none"/>
        </w:rPr>
        <w:t>6.3</w:t>
      </w:r>
      <w:r>
        <w:rPr>
          <w:rFonts w:hint="eastAsia" w:hAnsi="宋体" w:cs="宋体"/>
          <w:snapToGrid w:val="0"/>
          <w:color w:val="auto"/>
          <w:kern w:val="0"/>
          <w:highlight w:val="none"/>
        </w:rPr>
        <w:t xml:space="preserve"> 现场踏勘期间的交通、食宿由投标人自行安排，费用自理。</w:t>
      </w:r>
    </w:p>
    <w:p w14:paraId="7ACE9C36">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6" w:name="_Toc25173"/>
      <w:bookmarkStart w:id="27" w:name="_Toc8198"/>
      <w:r>
        <w:rPr>
          <w:rFonts w:hint="eastAsia" w:hAnsi="宋体" w:cs="宋体"/>
          <w:b/>
          <w:snapToGrid w:val="0"/>
          <w:color w:val="auto"/>
          <w:highlight w:val="none"/>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lang w:bidi="ar"/>
        </w:rPr>
      </w:pPr>
      <w:r>
        <w:rPr>
          <w:rFonts w:hint="eastAsia" w:hAnsi="宋体" w:cs="宋体"/>
          <w:b/>
          <w:bCs/>
          <w:snapToGrid w:val="0"/>
          <w:color w:val="auto"/>
          <w:kern w:val="0"/>
          <w:highlight w:val="none"/>
        </w:rPr>
        <w:t>7.1</w:t>
      </w:r>
      <w:r>
        <w:rPr>
          <w:rFonts w:hint="eastAsia" w:hAnsi="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highlight w:val="none"/>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7.2 </w:t>
      </w:r>
      <w:r>
        <w:rPr>
          <w:rFonts w:hint="eastAsia" w:hAnsi="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7.3</w:t>
      </w:r>
      <w:r>
        <w:rPr>
          <w:rFonts w:hint="eastAsia" w:hAnsi="宋体" w:cs="宋体"/>
          <w:snapToGrid w:val="0"/>
          <w:color w:val="auto"/>
          <w:kern w:val="0"/>
          <w:highlight w:val="none"/>
        </w:rPr>
        <w:t xml:space="preserve"> 招标人对招标文件所作的答疑（或修改）公告，构成招标文件的组成部分。</w:t>
      </w:r>
    </w:p>
    <w:p w14:paraId="3906303B">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9" w:name="_Hlt92513715"/>
      <w:bookmarkEnd w:id="29"/>
      <w:bookmarkStart w:id="30" w:name="_Hlt92513711"/>
      <w:bookmarkEnd w:id="30"/>
      <w:bookmarkStart w:id="31" w:name="_Hlt69699188"/>
      <w:bookmarkEnd w:id="31"/>
      <w:bookmarkStart w:id="32" w:name="_Toc23036"/>
      <w:bookmarkStart w:id="33" w:name="_Toc11326"/>
      <w:r>
        <w:rPr>
          <w:rFonts w:hint="eastAsia" w:hAnsi="宋体" w:cs="宋体"/>
          <w:b/>
          <w:snapToGrid w:val="0"/>
          <w:color w:val="auto"/>
          <w:highlight w:val="none"/>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8.1</w:t>
      </w:r>
      <w:r>
        <w:rPr>
          <w:rFonts w:hint="eastAsia" w:hAnsi="宋体" w:cs="宋体"/>
          <w:snapToGrid w:val="0"/>
          <w:color w:val="auto"/>
          <w:kern w:val="0"/>
          <w:highlight w:val="none"/>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（5）项目所在地市场价格。</w:t>
      </w:r>
    </w:p>
    <w:p w14:paraId="729BA8FC">
      <w:pPr>
        <w:pStyle w:val="42"/>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highlight w:val="none"/>
          <w:u w:val="none"/>
        </w:rPr>
      </w:pPr>
      <w:r>
        <w:rPr>
          <w:rFonts w:hint="eastAsia" w:ascii="宋体" w:hAnsi="宋体" w:cs="宋体"/>
          <w:bCs/>
          <w:snapToGrid w:val="0"/>
          <w:color w:val="auto"/>
          <w:kern w:val="0"/>
          <w:sz w:val="24"/>
          <w:highlight w:val="none"/>
        </w:rPr>
        <w:t xml:space="preserve">   8.2</w:t>
      </w:r>
      <w:r>
        <w:rPr>
          <w:rFonts w:hint="eastAsia" w:ascii="宋体" w:hAnsi="宋体" w:cs="宋体"/>
          <w:snapToGrid w:val="0"/>
          <w:color w:val="auto"/>
          <w:kern w:val="0"/>
          <w:sz w:val="24"/>
          <w:highlight w:val="none"/>
        </w:rPr>
        <w:t xml:space="preserve"> </w:t>
      </w:r>
      <w:r>
        <w:rPr>
          <w:rFonts w:hint="eastAsia" w:ascii="宋体" w:hAnsi="宋体" w:cs="宋体"/>
          <w:b w:val="0"/>
          <w:bCs/>
          <w:snapToGrid w:val="0"/>
          <w:color w:val="auto"/>
          <w:kern w:val="0"/>
          <w:sz w:val="24"/>
          <w:highlight w:val="none"/>
        </w:rPr>
        <w:t>本次招标最高投标限价为人民币（大写）：</w:t>
      </w:r>
      <w:r>
        <w:rPr>
          <w:rFonts w:hint="eastAsia" w:ascii="宋体" w:hAnsi="宋体" w:cs="宋体"/>
          <w:b w:val="0"/>
          <w:bCs/>
          <w:snapToGrid w:val="0"/>
          <w:color w:val="auto"/>
          <w:kern w:val="0"/>
          <w:sz w:val="24"/>
          <w:highlight w:val="none"/>
          <w:lang w:val="en-US" w:eastAsia="zh-CN"/>
        </w:rPr>
        <w:t>壹拾叁万贰仟元整</w:t>
      </w:r>
      <w:r>
        <w:rPr>
          <w:rFonts w:hint="eastAsia" w:hAnsi="宋体" w:cs="宋体"/>
          <w:b w:val="0"/>
          <w:bCs/>
          <w:snapToGrid w:val="0"/>
          <w:color w:val="auto"/>
          <w:kern w:val="0"/>
          <w:sz w:val="24"/>
          <w:highlight w:val="none"/>
          <w:u w:val="none"/>
          <w:lang w:val="en-US" w:eastAsia="zh-CN"/>
        </w:rPr>
        <w:t>（小写：</w:t>
      </w:r>
      <w:r>
        <w:rPr>
          <w:rFonts w:hint="eastAsia" w:ascii="宋体" w:hAnsi="宋体" w:eastAsia="宋体" w:cs="宋体"/>
          <w:b w:val="0"/>
          <w:bCs/>
          <w:snapToGrid w:val="0"/>
          <w:color w:val="auto"/>
          <w:kern w:val="0"/>
          <w:sz w:val="24"/>
          <w:highlight w:val="none"/>
          <w:u w:val="none"/>
          <w:lang w:val="en-US" w:eastAsia="zh-CN"/>
        </w:rPr>
        <w:t>￥</w:t>
      </w:r>
      <w:r>
        <w:rPr>
          <w:rFonts w:hint="eastAsia" w:ascii="宋体" w:hAnsi="宋体" w:cs="宋体"/>
          <w:b w:val="0"/>
          <w:bCs/>
          <w:snapToGrid w:val="0"/>
          <w:color w:val="auto"/>
          <w:kern w:val="0"/>
          <w:sz w:val="24"/>
          <w:highlight w:val="none"/>
          <w:u w:val="single"/>
          <w:lang w:val="en-US" w:eastAsia="zh-CN"/>
        </w:rPr>
        <w:t>132000.00</w:t>
      </w:r>
      <w:r>
        <w:rPr>
          <w:rFonts w:hint="eastAsia" w:ascii="宋体" w:hAnsi="宋体" w:eastAsia="宋体" w:cs="宋体"/>
          <w:b w:val="0"/>
          <w:bCs/>
          <w:snapToGrid w:val="0"/>
          <w:color w:val="auto"/>
          <w:kern w:val="0"/>
          <w:sz w:val="24"/>
          <w:highlight w:val="none"/>
          <w:u w:val="none"/>
          <w:lang w:val="en-US" w:eastAsia="zh-CN"/>
        </w:rPr>
        <w:t>元）</w:t>
      </w:r>
      <w:r>
        <w:rPr>
          <w:rFonts w:hint="eastAsia" w:ascii="宋体" w:hAnsi="宋体" w:eastAsia="宋体" w:cs="宋体"/>
          <w:b w:val="0"/>
          <w:bCs/>
          <w:snapToGrid w:val="0"/>
          <w:color w:val="auto"/>
          <w:kern w:val="0"/>
          <w:sz w:val="24"/>
          <w:highlight w:val="none"/>
          <w:u w:val="none"/>
          <w:lang w:eastAsia="zh-CN"/>
        </w:rPr>
        <w:t>，监理服务费投标取费费率上限为</w:t>
      </w:r>
      <w:r>
        <w:rPr>
          <w:rFonts w:hint="eastAsia" w:ascii="宋体" w:hAnsi="宋体" w:cs="宋体"/>
          <w:b w:val="0"/>
          <w:bCs/>
          <w:snapToGrid w:val="0"/>
          <w:color w:val="auto"/>
          <w:kern w:val="0"/>
          <w:sz w:val="24"/>
          <w:highlight w:val="none"/>
          <w:u w:val="single"/>
          <w:lang w:val="en-US" w:eastAsia="zh-CN"/>
        </w:rPr>
        <w:t>2.64%</w:t>
      </w:r>
      <w:r>
        <w:rPr>
          <w:rFonts w:hint="eastAsia" w:ascii="宋体" w:hAnsi="宋体" w:eastAsia="宋体" w:cs="宋体"/>
          <w:b w:val="0"/>
          <w:bCs/>
          <w:snapToGrid w:val="0"/>
          <w:color w:val="auto"/>
          <w:kern w:val="0"/>
          <w:sz w:val="24"/>
          <w:highlight w:val="none"/>
          <w:u w:val="none"/>
        </w:rPr>
        <w:t>。</w:t>
      </w:r>
    </w:p>
    <w:p w14:paraId="08F85732">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34" w:name="_Toc7437"/>
      <w:bookmarkStart w:id="35" w:name="_Toc2193"/>
      <w:r>
        <w:rPr>
          <w:rFonts w:hint="eastAsia" w:hAnsi="宋体" w:cs="宋体"/>
          <w:b/>
          <w:snapToGrid w:val="0"/>
          <w:color w:val="auto"/>
          <w:highlight w:val="none"/>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9.1</w:t>
      </w:r>
      <w:r>
        <w:rPr>
          <w:rFonts w:hint="eastAsia" w:hAnsi="宋体" w:cs="宋体"/>
          <w:snapToGrid w:val="0"/>
          <w:color w:val="auto"/>
          <w:kern w:val="0"/>
          <w:highlight w:val="none"/>
        </w:rPr>
        <w:t xml:space="preserve"> 本次招标采用填报</w:t>
      </w:r>
      <w:r>
        <w:rPr>
          <w:rFonts w:hint="eastAsia" w:hAnsi="宋体" w:cs="宋体"/>
          <w:snapToGrid w:val="0"/>
          <w:color w:val="auto"/>
          <w:kern w:val="0"/>
          <w:highlight w:val="none"/>
          <w:u w:val="single"/>
        </w:rPr>
        <w:t xml:space="preserve"> 投标报价及取费费率 </w:t>
      </w:r>
      <w:r>
        <w:rPr>
          <w:rFonts w:hint="eastAsia" w:hAnsi="宋体" w:cs="宋体"/>
          <w:snapToGrid w:val="0"/>
          <w:color w:val="auto"/>
          <w:kern w:val="0"/>
          <w:highlight w:val="none"/>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9.2</w:t>
      </w:r>
      <w:r>
        <w:rPr>
          <w:rFonts w:hint="eastAsia" w:hAnsi="宋体" w:cs="宋体"/>
          <w:snapToGrid w:val="0"/>
          <w:color w:val="auto"/>
          <w:kern w:val="0"/>
          <w:highlight w:val="none"/>
        </w:rPr>
        <w:t xml:space="preserve"> 所有报价均以人民币“元”为单位，并保留两位小数。投标取费费率=投标总价÷建安工程费暂定价×100%，并保留</w:t>
      </w:r>
      <w:r>
        <w:rPr>
          <w:rFonts w:hint="eastAsia" w:hAnsi="宋体" w:cs="宋体"/>
          <w:snapToGrid w:val="0"/>
          <w:color w:val="auto"/>
          <w:kern w:val="0"/>
          <w:highlight w:val="none"/>
          <w:lang w:val="en-US" w:eastAsia="zh-CN"/>
        </w:rPr>
        <w:t>三</w:t>
      </w:r>
      <w:r>
        <w:rPr>
          <w:rFonts w:hint="eastAsia" w:hAnsi="宋体" w:cs="宋体"/>
          <w:snapToGrid w:val="0"/>
          <w:color w:val="auto"/>
          <w:kern w:val="0"/>
          <w:highlight w:val="none"/>
        </w:rPr>
        <w:t>位小数。</w:t>
      </w:r>
      <w:r>
        <w:rPr>
          <w:rFonts w:hint="eastAsia" w:hAnsi="宋体" w:cs="宋体"/>
          <w:b w:val="0"/>
          <w:bCs w:val="0"/>
          <w:snapToGrid w:val="0"/>
          <w:color w:val="auto"/>
          <w:kern w:val="0"/>
          <w:highlight w:val="none"/>
        </w:rPr>
        <w:t>本项目的建安工程费暂定价为人民币</w:t>
      </w:r>
      <w:r>
        <w:rPr>
          <w:rFonts w:hint="eastAsia" w:hAnsi="宋体" w:cs="宋体"/>
          <w:b w:val="0"/>
          <w:bCs w:val="0"/>
          <w:snapToGrid w:val="0"/>
          <w:color w:val="auto"/>
          <w:kern w:val="0"/>
          <w:highlight w:val="none"/>
          <w:u w:val="single"/>
          <w:lang w:val="en-US" w:eastAsia="zh-CN"/>
        </w:rPr>
        <w:t>500</w:t>
      </w:r>
      <w:r>
        <w:rPr>
          <w:rFonts w:hint="eastAsia" w:hAnsi="宋体" w:cs="宋体"/>
          <w:b w:val="0"/>
          <w:bCs w:val="0"/>
          <w:snapToGrid w:val="0"/>
          <w:color w:val="auto"/>
          <w:kern w:val="0"/>
          <w:highlight w:val="none"/>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highlight w:val="none"/>
        </w:rPr>
      </w:pPr>
      <w:r>
        <w:rPr>
          <w:rFonts w:hint="eastAsia" w:hAnsi="宋体" w:cs="宋体"/>
          <w:b/>
          <w:bCs/>
          <w:snapToGrid w:val="0"/>
          <w:color w:val="auto"/>
          <w:kern w:val="0"/>
          <w:highlight w:val="none"/>
        </w:rPr>
        <w:t xml:space="preserve">9.3 </w:t>
      </w:r>
      <w:r>
        <w:rPr>
          <w:rFonts w:hint="eastAsia" w:hAnsi="宋体" w:cs="宋体"/>
          <w:b w:val="0"/>
          <w:bCs w:val="0"/>
          <w:snapToGrid w:val="0"/>
          <w:color w:val="auto"/>
          <w:kern w:val="0"/>
          <w:highlight w:val="none"/>
        </w:rPr>
        <w:t>监理服务费结算价在项目的合同价范围内按实结算，即：以施工</w:t>
      </w:r>
      <w:r>
        <w:rPr>
          <w:rFonts w:hint="eastAsia" w:hAnsi="宋体" w:cs="宋体"/>
          <w:b w:val="0"/>
          <w:bCs w:val="0"/>
          <w:snapToGrid w:val="0"/>
          <w:color w:val="auto"/>
          <w:kern w:val="0"/>
          <w:highlight w:val="none"/>
          <w:lang w:val="en-US" w:eastAsia="zh-CN"/>
        </w:rPr>
        <w:t>财审预</w:t>
      </w:r>
      <w:r>
        <w:rPr>
          <w:rFonts w:hint="eastAsia" w:hAnsi="宋体" w:cs="宋体"/>
          <w:b w:val="0"/>
          <w:bCs w:val="0"/>
          <w:snapToGrid w:val="0"/>
          <w:color w:val="auto"/>
          <w:kern w:val="0"/>
          <w:highlight w:val="none"/>
        </w:rPr>
        <w:t>算价为基数乘以监理人中标取费费率计算，若监理服务费结算总价超过签约合同价，则按签约合同价包干结算；若监理服务费结算总价未超过签约合同价，则按以施工</w:t>
      </w:r>
      <w:r>
        <w:rPr>
          <w:rFonts w:hint="eastAsia" w:hAnsi="宋体" w:cs="宋体"/>
          <w:b w:val="0"/>
          <w:bCs w:val="0"/>
          <w:snapToGrid w:val="0"/>
          <w:color w:val="auto"/>
          <w:kern w:val="0"/>
          <w:highlight w:val="none"/>
          <w:lang w:val="en-US" w:eastAsia="zh-CN"/>
        </w:rPr>
        <w:t>预</w:t>
      </w:r>
      <w:r>
        <w:rPr>
          <w:rFonts w:hint="eastAsia" w:hAnsi="宋体" w:cs="宋体"/>
          <w:b w:val="0"/>
          <w:bCs w:val="0"/>
          <w:snapToGrid w:val="0"/>
          <w:color w:val="auto"/>
          <w:kern w:val="0"/>
          <w:highlight w:val="none"/>
        </w:rPr>
        <w:t>算价为基数乘以监理人中标取费费率计算的结算价进行结算。</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ascii="宋体" w:hAnsi="宋体" w:eastAsia="宋体" w:cs="宋体"/>
          <w:b/>
          <w:bCs/>
          <w:snapToGrid w:val="0"/>
          <w:color w:val="auto"/>
          <w:kern w:val="0"/>
          <w:highlight w:val="none"/>
          <w:lang w:val="en-US" w:eastAsia="zh-CN"/>
        </w:rPr>
        <w:t>9.4</w:t>
      </w:r>
      <w:r>
        <w:rPr>
          <w:rFonts w:hint="eastAsia" w:hAnsi="宋体" w:cs="宋体"/>
          <w:snapToGrid w:val="0"/>
          <w:color w:val="auto"/>
          <w:kern w:val="0"/>
          <w:szCs w:val="24"/>
          <w:highlight w:val="none"/>
          <w:lang w:val="en-US" w:eastAsia="zh-CN"/>
        </w:rPr>
        <w:t xml:space="preserve"> </w:t>
      </w:r>
      <w:r>
        <w:rPr>
          <w:rFonts w:hint="eastAsia" w:hAnsi="宋体" w:cs="宋体"/>
          <w:snapToGrid w:val="0"/>
          <w:color w:val="auto"/>
          <w:kern w:val="0"/>
          <w:szCs w:val="24"/>
          <w:highlight w:val="none"/>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5 </w:t>
      </w:r>
      <w:r>
        <w:rPr>
          <w:rFonts w:hint="eastAsia" w:hAnsi="宋体" w:cs="宋体"/>
          <w:snapToGrid w:val="0"/>
          <w:color w:val="auto"/>
          <w:kern w:val="0"/>
          <w:szCs w:val="24"/>
          <w:highlight w:val="none"/>
        </w:rPr>
        <w:t>投标总价应包括国家规定的增值税税金。本次招标增值税税金按</w:t>
      </w:r>
      <w:r>
        <w:rPr>
          <w:rFonts w:hint="eastAsia" w:hAnsi="宋体" w:cs="宋体"/>
          <w:snapToGrid w:val="0"/>
          <w:color w:val="auto"/>
          <w:kern w:val="0"/>
          <w:szCs w:val="24"/>
          <w:highlight w:val="none"/>
          <w:u w:val="single"/>
        </w:rPr>
        <w:t xml:space="preserve"> 一般 </w:t>
      </w:r>
      <w:r>
        <w:rPr>
          <w:rFonts w:hint="eastAsia" w:hAnsi="宋体" w:cs="宋体"/>
          <w:snapToGrid w:val="0"/>
          <w:color w:val="auto"/>
          <w:kern w:val="0"/>
          <w:szCs w:val="24"/>
          <w:highlight w:val="none"/>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6 </w:t>
      </w:r>
      <w:r>
        <w:rPr>
          <w:rFonts w:hint="eastAsia" w:ascii="Times New Roman"/>
          <w:snapToGrid w:val="0"/>
          <w:color w:val="auto"/>
          <w:kern w:val="0"/>
          <w:highlight w:val="none"/>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7 </w:t>
      </w:r>
      <w:r>
        <w:rPr>
          <w:rFonts w:hint="eastAsia" w:hAnsi="宋体" w:cs="宋体"/>
          <w:snapToGrid w:val="0"/>
          <w:color w:val="auto"/>
          <w:kern w:val="0"/>
          <w:szCs w:val="24"/>
          <w:highlight w:val="none"/>
        </w:rPr>
        <w:t>投标人应充分了解招标项目的总体情况以及影响投标报价的其他要素。</w:t>
      </w:r>
      <w:bookmarkStart w:id="37" w:name="_（十）投标文件的编制、包装、密封"/>
      <w:bookmarkEnd w:id="37"/>
    </w:p>
    <w:p w14:paraId="182D9B17">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highlight w:val="none"/>
        </w:rPr>
      </w:pPr>
      <w:bookmarkStart w:id="38" w:name="_Toc684"/>
      <w:bookmarkStart w:id="39" w:name="_Toc4002"/>
      <w:r>
        <w:rPr>
          <w:rFonts w:hint="eastAsia" w:hAnsi="宋体" w:cs="宋体"/>
          <w:b/>
          <w:snapToGrid w:val="0"/>
          <w:color w:val="auto"/>
          <w:szCs w:val="24"/>
          <w:highlight w:val="none"/>
        </w:rPr>
        <w:t>10．投标文件的编制</w:t>
      </w:r>
      <w:bookmarkStart w:id="40" w:name="_Hlt69332370"/>
      <w:bookmarkEnd w:id="40"/>
      <w:bookmarkStart w:id="41" w:name="_Hlt69208262"/>
      <w:bookmarkEnd w:id="41"/>
      <w:r>
        <w:rPr>
          <w:rFonts w:hint="eastAsia" w:hAnsi="宋体" w:cs="宋体"/>
          <w:b/>
          <w:snapToGrid w:val="0"/>
          <w:color w:val="auto"/>
          <w:szCs w:val="24"/>
          <w:highlight w:val="none"/>
        </w:rPr>
        <w:t>要求</w:t>
      </w:r>
      <w:bookmarkEnd w:id="38"/>
      <w:bookmarkEnd w:id="39"/>
      <w:bookmarkStart w:id="42" w:name="_Hlt74497202"/>
      <w:bookmarkEnd w:id="42"/>
      <w:bookmarkStart w:id="43" w:name="_Hlt74495594"/>
      <w:bookmarkEnd w:id="43"/>
      <w:bookmarkStart w:id="44" w:name="_Hlt78768224"/>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highlight w:val="none"/>
        </w:rPr>
      </w:pPr>
      <w:r>
        <w:rPr>
          <w:rFonts w:hint="eastAsia" w:hAnsi="宋体" w:cs="宋体"/>
          <w:b/>
          <w:bCs/>
          <w:snapToGrid w:val="0"/>
          <w:color w:val="auto"/>
          <w:kern w:val="0"/>
          <w:szCs w:val="24"/>
          <w:highlight w:val="none"/>
        </w:rPr>
        <w:t>10.1</w:t>
      </w:r>
      <w:r>
        <w:rPr>
          <w:rFonts w:hint="eastAsia" w:hAnsi="宋体" w:cs="宋体"/>
          <w:bCs/>
          <w:snapToGrid w:val="0"/>
          <w:color w:val="auto"/>
          <w:kern w:val="0"/>
          <w:szCs w:val="24"/>
          <w:highlight w:val="none"/>
        </w:rPr>
        <w:t xml:space="preserve"> 一般要求</w:t>
      </w:r>
    </w:p>
    <w:p w14:paraId="35DD415F">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bookmarkStart w:id="45" w:name="_Hlt74496890"/>
      <w:bookmarkEnd w:id="45"/>
      <w:r>
        <w:rPr>
          <w:rFonts w:hint="eastAsia" w:hAnsi="宋体" w:cs="宋体"/>
          <w:snapToGrid w:val="0"/>
          <w:color w:val="auto"/>
          <w:kern w:val="0"/>
          <w:szCs w:val="24"/>
          <w:highlight w:val="none"/>
        </w:rPr>
        <w:t>投标文件应按第五章 投标文件格式规定的内容，投标人提交的投标文件应当使用招标文件所提供的投标文件全部格式。</w:t>
      </w:r>
    </w:p>
    <w:p w14:paraId="467E50B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10.1.1</w:t>
      </w:r>
      <w:r>
        <w:rPr>
          <w:rFonts w:hint="eastAsia" w:hAnsi="宋体" w:cs="宋体"/>
          <w:snapToGrid w:val="0"/>
          <w:color w:val="auto"/>
          <w:kern w:val="0"/>
          <w:szCs w:val="24"/>
          <w:highlight w:val="none"/>
        </w:rPr>
        <w:t>投标人必须响应招标文件，并在充分理解招标文件的基础上编制投标文件。因投标文件不符合招标文件的要求而造成的损失和后果，由投标人自行承担。</w:t>
      </w:r>
    </w:p>
    <w:p w14:paraId="59E3425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szCs w:val="24"/>
          <w:highlight w:val="none"/>
        </w:rPr>
        <w:t xml:space="preserve"> 投标文件需按以下要求签字、盖章：</w:t>
      </w:r>
    </w:p>
    <w:p w14:paraId="756F27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10.1.3.1</w:t>
      </w:r>
      <w:r>
        <w:rPr>
          <w:rFonts w:hint="eastAsia" w:hAnsi="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10.1.3.2</w:t>
      </w:r>
      <w:r>
        <w:rPr>
          <w:rFonts w:hint="eastAsia" w:hAnsi="宋体" w:cs="宋体"/>
          <w:snapToGrid w:val="0"/>
          <w:color w:val="auto"/>
          <w:kern w:val="0"/>
          <w:szCs w:val="24"/>
          <w:highlight w:val="none"/>
        </w:rPr>
        <w:t xml:space="preserve"> 投标文件封套、封面、组成内容中凡要求录入投标人名称且注明“盖单位章”处盖单位法人公章（电子印章）。</w:t>
      </w:r>
    </w:p>
    <w:p w14:paraId="024441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10.1.3.3</w:t>
      </w:r>
      <w:r>
        <w:rPr>
          <w:rFonts w:hint="eastAsia" w:hAnsi="宋体" w:cs="宋体"/>
          <w:snapToGrid w:val="0"/>
          <w:color w:val="auto"/>
          <w:kern w:val="0"/>
          <w:szCs w:val="24"/>
          <w:highlight w:val="none"/>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kern w:val="0"/>
          <w:szCs w:val="24"/>
          <w:highlight w:val="none"/>
        </w:rPr>
      </w:pPr>
      <w:bookmarkStart w:id="46" w:name="_Toc257031159"/>
      <w:bookmarkStart w:id="47" w:name="_Toc274313880"/>
      <w:r>
        <w:rPr>
          <w:rFonts w:hint="eastAsia" w:hAnsi="宋体" w:cs="宋体"/>
          <w:b/>
          <w:bCs/>
          <w:snapToGrid w:val="0"/>
          <w:color w:val="auto"/>
          <w:kern w:val="0"/>
          <w:szCs w:val="24"/>
          <w:highlight w:val="none"/>
        </w:rPr>
        <w:t>10.2</w:t>
      </w:r>
      <w:r>
        <w:rPr>
          <w:rFonts w:hint="eastAsia" w:hAnsi="宋体" w:cs="宋体"/>
          <w:bCs/>
          <w:snapToGrid w:val="0"/>
          <w:color w:val="auto"/>
          <w:kern w:val="0"/>
          <w:szCs w:val="24"/>
          <w:highlight w:val="none"/>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highlight w:val="none"/>
          <w:u w:val="single"/>
        </w:rPr>
      </w:pP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商务标书</w:t>
      </w:r>
      <w:r>
        <w:rPr>
          <w:rFonts w:hint="eastAsia" w:hAnsi="宋体" w:cs="宋体"/>
          <w:snapToGrid w:val="0"/>
          <w:color w:val="auto"/>
          <w:kern w:val="0"/>
          <w:szCs w:val="24"/>
          <w:highlight w:val="none"/>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（14）详细评审阶段要求提供的评审资料（详见本节第</w:t>
      </w:r>
      <w:r>
        <w:rPr>
          <w:rFonts w:hint="eastAsia" w:hAnsi="宋体" w:cs="宋体"/>
          <w:b/>
          <w:bCs/>
          <w:snapToGrid w:val="0"/>
          <w:color w:val="auto"/>
          <w:kern w:val="0"/>
          <w:szCs w:val="24"/>
          <w:highlight w:val="none"/>
        </w:rPr>
        <w:t>15.5.1</w:t>
      </w:r>
      <w:r>
        <w:rPr>
          <w:rFonts w:hint="eastAsia" w:hAnsi="宋体" w:cs="宋体"/>
          <w:snapToGrid w:val="0"/>
          <w:color w:val="auto"/>
          <w:kern w:val="0"/>
          <w:szCs w:val="24"/>
          <w:highlight w:val="none"/>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10.2.2</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目中所列出的商务标书组成内容中，第（1）至第（13）项所有投标人均应提供。</w:t>
      </w:r>
      <w:r>
        <w:rPr>
          <w:rFonts w:hint="eastAsia" w:hAnsi="宋体" w:cs="宋体"/>
          <w:b/>
          <w:bCs/>
          <w:snapToGrid w:val="0"/>
          <w:color w:val="auto"/>
          <w:kern w:val="0"/>
          <w:szCs w:val="24"/>
          <w:highlight w:val="none"/>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10.2.3</w:t>
      </w:r>
      <w:r>
        <w:rPr>
          <w:rFonts w:hint="eastAsia" w:hAnsi="宋体" w:cs="宋体"/>
          <w:snapToGrid w:val="0"/>
          <w:color w:val="auto"/>
          <w:kern w:val="0"/>
          <w:szCs w:val="24"/>
          <w:highlight w:val="none"/>
        </w:rPr>
        <w:t xml:space="preserve"> 商务标书的组成内容按本节第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bCs/>
          <w:snapToGrid w:val="0"/>
          <w:color w:val="auto"/>
          <w:kern w:val="0"/>
          <w:szCs w:val="24"/>
          <w:highlight w:val="none"/>
        </w:rPr>
        <w:t>10.3</w:t>
      </w:r>
      <w:r>
        <w:rPr>
          <w:rFonts w:hint="eastAsia" w:hAnsi="宋体" w:cs="宋体"/>
          <w:bCs/>
          <w:snapToGrid w:val="0"/>
          <w:color w:val="auto"/>
          <w:kern w:val="0"/>
          <w:szCs w:val="24"/>
          <w:highlight w:val="none"/>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snapToGrid w:val="0"/>
          <w:color w:val="auto"/>
          <w:kern w:val="0"/>
          <w:szCs w:val="24"/>
          <w:highlight w:val="none"/>
        </w:rPr>
        <w:t>10.3.1</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的编制依据包括且不限于</w:t>
      </w:r>
      <w:r>
        <w:rPr>
          <w:rFonts w:hint="eastAsia" w:hAnsi="宋体" w:cs="宋体"/>
          <w:bCs/>
          <w:snapToGrid w:val="0"/>
          <w:color w:val="auto"/>
          <w:kern w:val="0"/>
          <w:szCs w:val="24"/>
          <w:highlight w:val="none"/>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（1）招标文件及</w:t>
      </w:r>
      <w:r>
        <w:rPr>
          <w:rFonts w:hint="eastAsia" w:hAnsi="宋体" w:cs="宋体"/>
          <w:snapToGrid w:val="0"/>
          <w:color w:val="auto"/>
          <w:kern w:val="0"/>
          <w:szCs w:val="24"/>
          <w:highlight w:val="none"/>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snapToGrid w:val="0"/>
          <w:color w:val="auto"/>
          <w:kern w:val="0"/>
          <w:szCs w:val="24"/>
          <w:highlight w:val="none"/>
        </w:rPr>
        <w:t>10.3.2</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10.3.3</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目中所列出的</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10.3.4</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的组成内容按本节第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目规定的顺序整理、编排后，逐页（页码起始从封面开始）连续标记页码。</w:t>
      </w:r>
    </w:p>
    <w:p w14:paraId="79A97868">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48" w:name="_Toc2864"/>
      <w:bookmarkStart w:id="49" w:name="_Toc1986"/>
      <w:r>
        <w:rPr>
          <w:rFonts w:hint="eastAsia" w:hAnsi="宋体" w:cs="宋体"/>
          <w:b/>
          <w:snapToGrid w:val="0"/>
          <w:color w:val="auto"/>
          <w:szCs w:val="24"/>
          <w:highlight w:val="none"/>
        </w:rPr>
        <w:t>11．</w:t>
      </w:r>
      <w:bookmarkEnd w:id="48"/>
      <w:r>
        <w:rPr>
          <w:rFonts w:hint="eastAsia" w:hAnsi="宋体" w:cs="宋体"/>
          <w:b/>
          <w:snapToGrid w:val="0"/>
          <w:color w:val="auto"/>
          <w:szCs w:val="24"/>
          <w:highlight w:val="none"/>
        </w:rPr>
        <w:t>电子投标</w:t>
      </w:r>
      <w:bookmarkEnd w:id="49"/>
    </w:p>
    <w:p w14:paraId="72F1BB7A">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highlight w:val="none"/>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11.2</w:t>
      </w:r>
      <w:r>
        <w:rPr>
          <w:rFonts w:hint="eastAsia" w:ascii="宋体" w:hAnsi="宋体" w:cs="宋体"/>
          <w:snapToGrid w:val="0"/>
          <w:color w:val="auto"/>
          <w:kern w:val="0"/>
          <w:sz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11.3 </w:t>
      </w:r>
      <w:r>
        <w:rPr>
          <w:rFonts w:hint="eastAsia" w:hAnsi="宋体" w:cs="宋体"/>
          <w:snapToGrid w:val="0"/>
          <w:color w:val="auto"/>
          <w:kern w:val="0"/>
          <w:szCs w:val="24"/>
          <w:highlight w:val="none"/>
        </w:rPr>
        <w:t>电子投标解密失败及突发情况的补救</w:t>
      </w:r>
    </w:p>
    <w:p w14:paraId="55067ABC">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11.3.1</w:t>
      </w:r>
      <w:r>
        <w:rPr>
          <w:rFonts w:hint="eastAsia" w:ascii="宋体" w:hAnsi="宋体" w:cs="宋体"/>
          <w:snapToGrid w:val="0"/>
          <w:color w:val="auto"/>
          <w:kern w:val="0"/>
          <w:sz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11.3.2</w:t>
      </w:r>
      <w:r>
        <w:rPr>
          <w:rFonts w:hint="eastAsia" w:ascii="宋体" w:hAnsi="宋体" w:cs="宋体"/>
          <w:snapToGrid w:val="0"/>
          <w:color w:val="auto"/>
          <w:kern w:val="0"/>
          <w:sz w:val="24"/>
          <w:highlight w:val="none"/>
        </w:rPr>
        <w:t>补救方案：</w:t>
      </w:r>
    </w:p>
    <w:p w14:paraId="0B52C661">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（3）除发生上述情况外，开标评标均以投标人通过交易平台网上提交的电子投标文件为准。</w:t>
      </w:r>
    </w:p>
    <w:p w14:paraId="07C6E646">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50" w:name="_Toc4888"/>
      <w:r>
        <w:rPr>
          <w:rFonts w:hint="eastAsia" w:hAnsi="宋体" w:cs="宋体"/>
          <w:b/>
          <w:snapToGrid w:val="0"/>
          <w:color w:val="auto"/>
          <w:szCs w:val="24"/>
          <w:highlight w:val="none"/>
        </w:rPr>
        <w:t>12. 投标文件的提交</w:t>
      </w:r>
      <w:bookmarkEnd w:id="50"/>
    </w:p>
    <w:p w14:paraId="63A3794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在电子投标截止时间前，投标人通过全国公共资源交易平台（广东省·韶关市）提交已加密投标文件。逾期提交的电子投标文件，全国公共资源交易平台（广东省·韶关市）将予以拒收。</w:t>
      </w:r>
    </w:p>
    <w:p w14:paraId="7CF91D7D">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12.2</w:t>
      </w:r>
      <w:r>
        <w:rPr>
          <w:rFonts w:hint="eastAsia" w:ascii="宋体" w:hAnsi="宋体" w:cs="宋体"/>
          <w:snapToGrid w:val="0"/>
          <w:color w:val="auto"/>
          <w:kern w:val="0"/>
          <w:sz w:val="24"/>
          <w:highlight w:val="none"/>
        </w:rPr>
        <w:t>投标文件提交截止时间（同电子投标截止时间）：见本章第二节“重要事项时间地点一览表”。</w:t>
      </w:r>
    </w:p>
    <w:p w14:paraId="348B16E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12.3</w:t>
      </w:r>
      <w:r>
        <w:rPr>
          <w:rFonts w:hint="eastAsia" w:ascii="宋体" w:hAnsi="宋体" w:cs="宋体"/>
          <w:snapToGrid w:val="0"/>
          <w:color w:val="auto"/>
          <w:kern w:val="0"/>
          <w:sz w:val="24"/>
          <w:highlight w:val="none"/>
        </w:rPr>
        <w:t>代理机构对因不可抗力事件造成的投标文件的损坏、丢失的，不承担责任。</w:t>
      </w:r>
      <w:r>
        <w:rPr>
          <w:rFonts w:hint="eastAsia" w:ascii="宋体" w:hAnsi="宋体" w:cs="宋体"/>
          <w:b/>
          <w:bCs/>
          <w:snapToGrid w:val="0"/>
          <w:color w:val="auto"/>
          <w:kern w:val="0"/>
          <w:sz w:val="24"/>
          <w:highlight w:val="none"/>
        </w:rPr>
        <w:t xml:space="preserve">  </w:t>
      </w:r>
    </w:p>
    <w:p w14:paraId="16456DE3">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 xml:space="preserve">12.4 </w:t>
      </w:r>
      <w:r>
        <w:rPr>
          <w:rFonts w:hint="eastAsia" w:ascii="宋体" w:hAnsi="宋体" w:cs="宋体"/>
          <w:snapToGrid w:val="0"/>
          <w:color w:val="auto"/>
          <w:kern w:val="0"/>
          <w:sz w:val="24"/>
          <w:highlight w:val="none"/>
        </w:rPr>
        <w:t>投标人法定代表人或其委托代理人（以下简称“投标人代表”）应在指定的时间和地点递交以下的资料</w:t>
      </w:r>
      <w:r>
        <w:rPr>
          <w:rFonts w:hint="eastAsia" w:ascii="宋体" w:hAnsi="宋体" w:cs="宋体"/>
          <w:b/>
          <w:bCs/>
          <w:snapToGrid w:val="0"/>
          <w:color w:val="auto"/>
          <w:kern w:val="0"/>
          <w:sz w:val="24"/>
          <w:highlight w:val="none"/>
        </w:rPr>
        <w:t>（如有）</w:t>
      </w:r>
      <w:r>
        <w:rPr>
          <w:rFonts w:hint="eastAsia" w:ascii="宋体" w:hAnsi="宋体" w:cs="宋体"/>
          <w:snapToGrid w:val="0"/>
          <w:color w:val="auto"/>
          <w:kern w:val="0"/>
          <w:sz w:val="24"/>
          <w:highlight w:val="none"/>
        </w:rPr>
        <w:t>：招标文件要求提交的用于评审的证书、证件、证明原件（附一式</w:t>
      </w:r>
      <w:r>
        <w:rPr>
          <w:rFonts w:hint="eastAsia" w:ascii="宋体" w:hAnsi="宋体" w:cs="宋体"/>
          <w:snapToGrid w:val="0"/>
          <w:color w:val="auto"/>
          <w:kern w:val="0"/>
          <w:sz w:val="24"/>
          <w:highlight w:val="none"/>
          <w:u w:val="single"/>
        </w:rPr>
        <w:t xml:space="preserve"> 两 </w:t>
      </w:r>
      <w:r>
        <w:rPr>
          <w:rFonts w:hint="eastAsia" w:ascii="宋体" w:hAnsi="宋体" w:cs="宋体"/>
          <w:snapToGrid w:val="0"/>
          <w:color w:val="auto"/>
          <w:kern w:val="0"/>
          <w:sz w:val="24"/>
          <w:highlight w:val="none"/>
        </w:rPr>
        <w:t>份清单）。</w:t>
      </w:r>
    </w:p>
    <w:p w14:paraId="513CE89F">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12.5</w:t>
      </w:r>
      <w:r>
        <w:rPr>
          <w:rFonts w:hint="eastAsia" w:ascii="宋体" w:hAnsi="宋体" w:cs="宋体"/>
          <w:snapToGrid w:val="0"/>
          <w:color w:val="auto"/>
          <w:kern w:val="0"/>
          <w:sz w:val="24"/>
          <w:highlight w:val="none"/>
        </w:rPr>
        <w:t>出现下述情形之一，属于未成功提交投标文件，按无效投标处理：</w:t>
      </w:r>
    </w:p>
    <w:p w14:paraId="06E3DFD5">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rPr>
        <w:t>（1）至电子投标截止时间时，投标文件未完整上传或未提交投标</w:t>
      </w:r>
      <w:r>
        <w:rPr>
          <w:rFonts w:hint="eastAsia" w:ascii="宋体" w:hAnsi="宋体" w:cs="宋体"/>
          <w:snapToGrid w:val="0"/>
          <w:color w:val="auto"/>
          <w:kern w:val="0"/>
          <w:sz w:val="24"/>
          <w:highlight w:val="none"/>
          <w:lang w:eastAsia="zh-CN"/>
        </w:rPr>
        <w:t>；</w:t>
      </w:r>
    </w:p>
    <w:p w14:paraId="393C44A8">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（2）解密失败且在规定时间内未重新提交投标文件的；</w:t>
      </w:r>
    </w:p>
    <w:p w14:paraId="1C2ECEAF">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w:t>
      </w:r>
      <w:r>
        <w:rPr>
          <w:rFonts w:hint="eastAsia" w:ascii="宋体" w:hAnsi="宋体" w:cs="宋体"/>
          <w:snapToGrid w:val="0"/>
          <w:color w:val="auto"/>
          <w:kern w:val="0"/>
          <w:sz w:val="24"/>
          <w:highlight w:val="none"/>
          <w:lang w:val="en-US" w:eastAsia="zh-CN"/>
        </w:rPr>
        <w:t>3</w:t>
      </w:r>
      <w:r>
        <w:rPr>
          <w:rFonts w:hint="eastAsia" w:ascii="宋体" w:hAnsi="宋体" w:cs="宋体"/>
          <w:snapToGrid w:val="0"/>
          <w:color w:val="auto"/>
          <w:kern w:val="0"/>
          <w:sz w:val="24"/>
          <w:highlight w:val="none"/>
        </w:rPr>
        <w:t>）投标文件损坏或格式不正确的。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1" w:name="_Toc739"/>
      <w:r>
        <w:rPr>
          <w:rFonts w:hint="eastAsia" w:hAnsi="宋体" w:cs="宋体"/>
          <w:b/>
          <w:snapToGrid w:val="0"/>
          <w:color w:val="auto"/>
          <w:kern w:val="0"/>
          <w:szCs w:val="24"/>
          <w:highlight w:val="none"/>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2" w:name="_Toc30542"/>
      <w:r>
        <w:rPr>
          <w:rFonts w:hint="eastAsia" w:hAnsi="宋体" w:cs="宋体"/>
          <w:b/>
          <w:snapToGrid w:val="0"/>
          <w:color w:val="auto"/>
          <w:kern w:val="0"/>
          <w:szCs w:val="24"/>
          <w:highlight w:val="none"/>
        </w:rPr>
        <w:t>14．开标</w:t>
      </w:r>
      <w:bookmarkEnd w:id="52"/>
    </w:p>
    <w:p w14:paraId="36A9A77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14.1.1</w:t>
      </w:r>
      <w:r>
        <w:rPr>
          <w:rFonts w:hint="eastAsia" w:ascii="宋体" w:hAnsi="宋体" w:cs="宋体"/>
          <w:snapToGrid w:val="0"/>
          <w:color w:val="auto"/>
          <w:kern w:val="0"/>
          <w:sz w:val="24"/>
          <w:highlight w:val="none"/>
        </w:rPr>
        <w:t xml:space="preserve"> 开标时间和地点：见本章第二节“重要事项时间地点一览表”。</w:t>
      </w:r>
    </w:p>
    <w:p w14:paraId="4500A2D1">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14.2</w:t>
      </w:r>
      <w:r>
        <w:rPr>
          <w:rFonts w:hint="eastAsia" w:hAnsi="宋体" w:cs="宋体"/>
          <w:snapToGrid w:val="0"/>
          <w:color w:val="auto"/>
          <w:kern w:val="0"/>
          <w:szCs w:val="24"/>
          <w:highlight w:val="none"/>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14.3</w:t>
      </w: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14.4</w:t>
      </w:r>
      <w:r>
        <w:rPr>
          <w:rFonts w:hint="eastAsia" w:hAnsi="宋体" w:cs="宋体"/>
          <w:snapToGrid w:val="0"/>
          <w:color w:val="auto"/>
          <w:kern w:val="0"/>
          <w:highlight w:val="none"/>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highlight w:val="none"/>
        </w:rPr>
      </w:pPr>
      <w:bookmarkStart w:id="53" w:name="_Hlt127093805"/>
      <w:bookmarkEnd w:id="53"/>
      <w:bookmarkStart w:id="54" w:name="_Toc8989"/>
      <w:r>
        <w:rPr>
          <w:rFonts w:hint="eastAsia" w:hAnsi="宋体" w:cs="宋体"/>
          <w:b/>
          <w:snapToGrid w:val="0"/>
          <w:color w:val="auto"/>
          <w:kern w:val="0"/>
          <w:highlight w:val="none"/>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15.1</w:t>
      </w:r>
      <w:r>
        <w:rPr>
          <w:rFonts w:hint="eastAsia" w:hAnsi="宋体" w:cs="宋体"/>
          <w:bCs/>
          <w:snapToGrid w:val="0"/>
          <w:color w:val="auto"/>
          <w:kern w:val="0"/>
          <w:highlight w:val="none"/>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b/>
          <w:bCs/>
          <w:snapToGrid w:val="0"/>
          <w:color w:val="auto"/>
          <w:kern w:val="0"/>
          <w:highlight w:val="none"/>
        </w:rPr>
        <w:t>15.1.1</w:t>
      </w:r>
      <w:r>
        <w:rPr>
          <w:rFonts w:hint="eastAsia" w:hAnsi="宋体" w:cs="宋体"/>
          <w:snapToGrid w:val="0"/>
          <w:color w:val="auto"/>
          <w:kern w:val="0"/>
          <w:highlight w:val="none"/>
        </w:rPr>
        <w:t xml:space="preserve"> 评标委员会由</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人组成，其中招标人代表</w:t>
      </w:r>
      <w:r>
        <w:rPr>
          <w:rFonts w:hint="eastAsia" w:hAnsi="宋体" w:cs="宋体"/>
          <w:snapToGrid w:val="0"/>
          <w:color w:val="auto"/>
          <w:kern w:val="0"/>
          <w:highlight w:val="none"/>
          <w:u w:val="single"/>
          <w:lang w:val="en-US" w:eastAsia="zh-CN"/>
        </w:rPr>
        <w:t>0</w:t>
      </w:r>
      <w:r>
        <w:rPr>
          <w:rFonts w:hint="eastAsia" w:hAnsi="宋体" w:cs="宋体"/>
          <w:snapToGrid w:val="0"/>
          <w:color w:val="auto"/>
          <w:kern w:val="0"/>
          <w:highlight w:val="none"/>
        </w:rPr>
        <w:t>人，专家</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highlight w:val="none"/>
        </w:rPr>
        <w:t>中随机抽取，其中技术类专家</w:t>
      </w:r>
      <w:r>
        <w:rPr>
          <w:rFonts w:hint="eastAsia" w:hAnsi="宋体" w:cs="宋体"/>
          <w:snapToGrid w:val="0"/>
          <w:color w:val="auto"/>
          <w:kern w:val="0"/>
          <w:highlight w:val="none"/>
          <w:u w:val="single"/>
        </w:rPr>
        <w:t xml:space="preserve">3 </w:t>
      </w:r>
      <w:r>
        <w:rPr>
          <w:rFonts w:hint="eastAsia" w:hAnsi="宋体" w:cs="宋体"/>
          <w:snapToGrid w:val="0"/>
          <w:color w:val="auto"/>
          <w:kern w:val="0"/>
          <w:highlight w:val="none"/>
        </w:rPr>
        <w:t>人，经济类专家</w:t>
      </w:r>
      <w:r>
        <w:rPr>
          <w:rFonts w:hint="eastAsia" w:hAnsi="宋体" w:cs="宋体"/>
          <w:snapToGrid w:val="0"/>
          <w:color w:val="auto"/>
          <w:kern w:val="0"/>
          <w:highlight w:val="none"/>
          <w:u w:val="single"/>
        </w:rPr>
        <w:t xml:space="preserve"> 2</w:t>
      </w:r>
      <w:r>
        <w:rPr>
          <w:rFonts w:hint="eastAsia" w:hAnsi="宋体" w:cs="宋体"/>
          <w:snapToGrid w:val="0"/>
          <w:color w:val="auto"/>
          <w:kern w:val="0"/>
          <w:highlight w:val="none"/>
        </w:rPr>
        <w:t>人。评标委员会设负责人，由评标委员会成员推举产生。评标委员会负责人与评标委员会的其他成员有同等的表决权。</w:t>
      </w:r>
    </w:p>
    <w:p w14:paraId="67907CE9">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highlight w:val="none"/>
        </w:rPr>
        <w:t>15.1.2</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sz w:val="24"/>
          <w:szCs w:val="24"/>
          <w:highlight w:val="none"/>
        </w:rPr>
        <w:t>评标委员会应认真、公正、诚实、廉洁地履行职责。有下列情形之一的，不得担任评标委员会成员：</w:t>
      </w:r>
    </w:p>
    <w:p w14:paraId="27E80291">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34708A36">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2AE6C8FB">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508B469C">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3B95A3BD">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272B304C">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hAnsi="宋体" w:cs="宋体"/>
          <w:b/>
          <w:bCs/>
          <w:snapToGrid w:val="0"/>
          <w:color w:val="auto"/>
          <w:kern w:val="0"/>
          <w:sz w:val="24"/>
          <w:szCs w:val="24"/>
          <w:highlight w:val="none"/>
          <w:lang w:val="en-US" w:eastAsia="zh-CN"/>
        </w:rPr>
        <w:t>5</w:t>
      </w: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08BA1F03">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hAnsi="宋体" w:cs="宋体"/>
          <w:b/>
          <w:bCs/>
          <w:snapToGrid w:val="0"/>
          <w:color w:val="auto"/>
          <w:kern w:val="0"/>
          <w:sz w:val="24"/>
          <w:szCs w:val="24"/>
          <w:highlight w:val="none"/>
          <w:lang w:val="en-US" w:eastAsia="zh-CN"/>
        </w:rPr>
        <w:t>5</w:t>
      </w:r>
      <w:r>
        <w:rPr>
          <w:rFonts w:hint="eastAsia" w:ascii="宋体" w:hAnsi="宋体" w:eastAsia="宋体" w:cs="宋体"/>
          <w:b/>
          <w:bCs/>
          <w:snapToGrid w:val="0"/>
          <w:color w:val="auto"/>
          <w:kern w:val="0"/>
          <w:sz w:val="24"/>
          <w:szCs w:val="24"/>
          <w:highlight w:val="none"/>
        </w:rPr>
        <w:t>.1.4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3E2AB94B">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hAnsi="宋体" w:cs="宋体"/>
          <w:b/>
          <w:bCs/>
          <w:snapToGrid w:val="0"/>
          <w:color w:val="auto"/>
          <w:kern w:val="0"/>
          <w:sz w:val="24"/>
          <w:szCs w:val="24"/>
          <w:highlight w:val="none"/>
          <w:lang w:val="en-US" w:eastAsia="zh-CN"/>
        </w:rPr>
        <w:t>5</w:t>
      </w:r>
      <w:r>
        <w:rPr>
          <w:rFonts w:hint="eastAsia" w:ascii="宋体" w:hAnsi="宋体" w:eastAsia="宋体" w:cs="宋体"/>
          <w:b/>
          <w:bCs/>
          <w:snapToGrid w:val="0"/>
          <w:color w:val="auto"/>
          <w:kern w:val="0"/>
          <w:sz w:val="24"/>
          <w:szCs w:val="24"/>
          <w:highlight w:val="none"/>
        </w:rPr>
        <w:t>.1.5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2</w:t>
      </w:r>
      <w:r>
        <w:rPr>
          <w:rFonts w:hint="eastAsia" w:hAnsi="宋体" w:cs="宋体"/>
          <w:bCs/>
          <w:snapToGrid w:val="0"/>
          <w:color w:val="auto"/>
          <w:kern w:val="0"/>
          <w:szCs w:val="22"/>
          <w:highlight w:val="none"/>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highlight w:val="none"/>
        </w:rPr>
      </w:pPr>
      <w:r>
        <w:rPr>
          <w:rFonts w:hint="eastAsia" w:hAnsi="宋体" w:cs="宋体"/>
          <w:snapToGrid w:val="0"/>
          <w:color w:val="auto"/>
          <w:kern w:val="0"/>
          <w:highlight w:val="none"/>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3</w:t>
      </w:r>
      <w:r>
        <w:rPr>
          <w:rFonts w:hint="eastAsia" w:hAnsi="宋体" w:cs="宋体"/>
          <w:bCs/>
          <w:snapToGrid w:val="0"/>
          <w:color w:val="auto"/>
          <w:kern w:val="0"/>
          <w:szCs w:val="22"/>
          <w:highlight w:val="none"/>
        </w:rPr>
        <w:t xml:space="preserve"> 评审范围：</w:t>
      </w:r>
      <w:r>
        <w:rPr>
          <w:rFonts w:hint="eastAsia" w:hAnsi="宋体" w:cs="宋体"/>
          <w:snapToGrid w:val="0"/>
          <w:color w:val="auto"/>
          <w:kern w:val="0"/>
          <w:highlight w:val="none"/>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snapToGrid w:val="0"/>
          <w:color w:val="auto"/>
          <w:kern w:val="0"/>
          <w:highlight w:val="none"/>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.1</w:t>
      </w:r>
      <w:r>
        <w:rPr>
          <w:rFonts w:hint="eastAsia" w:hAnsi="宋体" w:cs="宋体"/>
          <w:snapToGrid w:val="0"/>
          <w:color w:val="auto"/>
          <w:kern w:val="0"/>
          <w:highlight w:val="none"/>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w:t>
      </w:r>
      <w:r>
        <w:rPr>
          <w:rFonts w:hint="eastAsia" w:ascii="宋体" w:hAnsi="宋体" w:eastAsia="宋体" w:cs="宋体"/>
          <w:snapToGrid w:val="0"/>
          <w:color w:val="auto"/>
          <w:kern w:val="0"/>
          <w:sz w:val="24"/>
          <w:szCs w:val="24"/>
          <w:highlight w:val="none"/>
        </w:rPr>
        <w:t>投标人是否符合本章第三节第</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.4条“禁止投标条款”规定。如果“禁止投标条款”包括失信惩戒的，投标人信用信息的获取采用现场实时查询的方式实施。由评标委员会成员登录信用中国网站（https://www.creditchina.gov.cn）进行查询。</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.2</w:t>
      </w:r>
      <w:r>
        <w:rPr>
          <w:rFonts w:hint="eastAsia" w:hAnsi="宋体" w:cs="宋体"/>
          <w:snapToGrid w:val="0"/>
          <w:color w:val="auto"/>
          <w:kern w:val="0"/>
          <w:highlight w:val="none"/>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.3</w:t>
      </w:r>
      <w:r>
        <w:rPr>
          <w:rFonts w:hint="eastAsia" w:hAnsi="宋体" w:cs="宋体"/>
          <w:snapToGrid w:val="0"/>
          <w:color w:val="auto"/>
          <w:kern w:val="0"/>
          <w:highlight w:val="none"/>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.4</w:t>
      </w:r>
      <w:r>
        <w:rPr>
          <w:rFonts w:hint="eastAsia" w:hAnsi="宋体" w:cs="宋体"/>
          <w:snapToGrid w:val="0"/>
          <w:color w:val="auto"/>
          <w:kern w:val="0"/>
          <w:highlight w:val="none"/>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初步评审阶段各个环节否决投标的全部条件，在本章第四节“否决投标条件”第</w:t>
      </w:r>
      <w:r>
        <w:rPr>
          <w:rFonts w:hint="eastAsia" w:hAnsi="宋体" w:cs="宋体"/>
          <w:b/>
          <w:bCs/>
          <w:snapToGrid w:val="0"/>
          <w:color w:val="auto"/>
          <w:kern w:val="0"/>
          <w:highlight w:val="none"/>
        </w:rPr>
        <w:t>1</w:t>
      </w:r>
      <w:r>
        <w:rPr>
          <w:rFonts w:hint="eastAsia" w:hAnsi="宋体" w:cs="宋体"/>
          <w:snapToGrid w:val="0"/>
          <w:color w:val="auto"/>
          <w:kern w:val="0"/>
          <w:highlight w:val="none"/>
        </w:rPr>
        <w:t>条至第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w:t>
      </w:r>
      <w:r>
        <w:rPr>
          <w:rFonts w:hint="eastAsia" w:hAnsi="宋体" w:cs="宋体"/>
          <w:b/>
          <w:bCs/>
          <w:snapToGrid w:val="0"/>
          <w:color w:val="auto"/>
          <w:kern w:val="0"/>
          <w:highlight w:val="none"/>
          <w:lang w:val="en-US" w:eastAsia="zh-CN"/>
        </w:rPr>
        <w:t>5</w:t>
      </w:r>
      <w:r>
        <w:rPr>
          <w:rFonts w:hint="eastAsia" w:hAnsi="宋体" w:cs="宋体"/>
          <w:snapToGrid w:val="0"/>
          <w:color w:val="auto"/>
          <w:kern w:val="0"/>
          <w:highlight w:val="none"/>
        </w:rPr>
        <w:t xml:space="preserve"> 详细评审</w:t>
      </w:r>
      <w:bookmarkStart w:id="55" w:name="_Hlt121629839"/>
      <w:r>
        <w:rPr>
          <w:rFonts w:hint="eastAsia" w:hAnsi="宋体" w:cs="宋体"/>
          <w:snapToGrid w:val="0"/>
          <w:color w:val="auto"/>
          <w:kern w:val="0"/>
          <w:highlight w:val="none"/>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.1</w:t>
      </w:r>
      <w:r>
        <w:rPr>
          <w:rFonts w:hint="eastAsia" w:hAnsi="宋体" w:cs="宋体"/>
          <w:bCs/>
          <w:snapToGrid w:val="0"/>
          <w:color w:val="auto"/>
          <w:kern w:val="0"/>
          <w:highlight w:val="none"/>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评审内容分为商务、技术和投标报价三大部分，综合得分满分为100分。其中，商务满分为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50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分，技术满分为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30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分，投标报价部分满分为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2</w:t>
      </w:r>
      <w:r>
        <w:rPr>
          <w:rFonts w:hint="eastAsia" w:hAnsi="宋体" w:cs="宋体"/>
          <w:snapToGrid w:val="0"/>
          <w:color w:val="auto"/>
          <w:kern w:val="0"/>
          <w:highlight w:val="none"/>
          <w:u w:val="single"/>
        </w:rPr>
        <w:t xml:space="preserve">0 </w:t>
      </w:r>
      <w:r>
        <w:rPr>
          <w:rFonts w:hint="eastAsia" w:hAnsi="宋体" w:cs="宋体"/>
          <w:snapToGrid w:val="0"/>
          <w:color w:val="auto"/>
          <w:kern w:val="0"/>
          <w:highlight w:val="none"/>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snapToGrid w:val="0"/>
          <w:color w:val="auto"/>
          <w:kern w:val="0"/>
          <w:highlight w:val="none"/>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（1）商务得分M</w:t>
      </w:r>
      <w:r>
        <w:rPr>
          <w:rFonts w:hint="eastAsia" w:hAnsi="宋体" w:cs="宋体"/>
          <w:snapToGrid w:val="0"/>
          <w:color w:val="auto"/>
          <w:kern w:val="0"/>
          <w:highlight w:val="none"/>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（2）技术得分M</w:t>
      </w:r>
      <w:r>
        <w:rPr>
          <w:rFonts w:hint="eastAsia" w:hAnsi="宋体" w:cs="宋体"/>
          <w:snapToGrid w:val="0"/>
          <w:color w:val="auto"/>
          <w:kern w:val="0"/>
          <w:highlight w:val="none"/>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（3）投标报价得分M</w:t>
      </w:r>
      <w:r>
        <w:rPr>
          <w:rFonts w:hint="eastAsia" w:hAnsi="宋体" w:cs="宋体"/>
          <w:snapToGrid w:val="0"/>
          <w:color w:val="auto"/>
          <w:kern w:val="0"/>
          <w:highlight w:val="none"/>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b．采用内插法计算某投标人的投标报价得分M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0.2</w:t>
      </w:r>
      <w:r>
        <w:rPr>
          <w:rFonts w:hint="eastAsia" w:hAnsi="宋体" w:cs="宋体"/>
          <w:snapToGrid w:val="0"/>
          <w:color w:val="auto"/>
          <w:kern w:val="0"/>
          <w:highlight w:val="none"/>
        </w:rPr>
        <w:t>分, 每低于评标基准价一个百分点扣0.</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highlight w:val="none"/>
        </w:rPr>
      </w:pP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E为扣分因子。当Di＞D时，E＝</w:t>
      </w:r>
      <w:r>
        <w:rPr>
          <w:rFonts w:hint="eastAsia" w:hAnsi="宋体" w:cs="宋体"/>
          <w:snapToGrid w:val="0"/>
          <w:color w:val="auto"/>
          <w:kern w:val="0"/>
          <w:highlight w:val="none"/>
          <w:lang w:val="en-US" w:eastAsia="zh-CN"/>
        </w:rPr>
        <w:t>0.2</w:t>
      </w:r>
      <w:r>
        <w:rPr>
          <w:rFonts w:hint="eastAsia" w:hAnsi="宋体" w:cs="宋体"/>
          <w:snapToGrid w:val="0"/>
          <w:color w:val="auto"/>
          <w:kern w:val="0"/>
          <w:highlight w:val="none"/>
        </w:rPr>
        <w:t>；当Di＜D时，E＝</w:t>
      </w:r>
      <w:r>
        <w:rPr>
          <w:rFonts w:hint="eastAsia" w:hAnsi="宋体" w:cs="宋体"/>
          <w:snapToGrid w:val="0"/>
          <w:color w:val="auto"/>
          <w:kern w:val="0"/>
          <w:highlight w:val="none"/>
          <w:lang w:val="en-US" w:eastAsia="zh-CN"/>
        </w:rPr>
        <w:t>0.1</w:t>
      </w:r>
      <w:r>
        <w:rPr>
          <w:rFonts w:hint="eastAsia" w:hAnsi="宋体" w:cs="宋体"/>
          <w:snapToGrid w:val="0"/>
          <w:color w:val="auto"/>
          <w:kern w:val="0"/>
          <w:highlight w:val="none"/>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highlight w:val="none"/>
        </w:rPr>
      </w:pPr>
      <w:r>
        <w:rPr>
          <w:rFonts w:hint="eastAsia" w:hAnsi="宋体" w:cs="宋体"/>
          <w:snapToGrid w:val="0"/>
          <w:color w:val="auto"/>
          <w:kern w:val="0"/>
          <w:highlight w:val="none"/>
        </w:rPr>
        <w:t>M＝M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r>
        <w:rPr>
          <w:rFonts w:hint="eastAsia" w:hAnsi="宋体" w:cs="宋体"/>
          <w:snapToGrid w:val="0"/>
          <w:color w:val="auto"/>
          <w:kern w:val="0"/>
          <w:highlight w:val="none"/>
        </w:rPr>
        <w:t>式中：M为综合得分，M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为商务得分，M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为技术得分，M</w:t>
      </w:r>
      <w:r>
        <w:rPr>
          <w:rFonts w:hint="eastAsia" w:hAnsi="宋体" w:cs="宋体"/>
          <w:snapToGrid w:val="0"/>
          <w:color w:val="auto"/>
          <w:kern w:val="0"/>
          <w:highlight w:val="none"/>
          <w:vertAlign w:val="subscript"/>
        </w:rPr>
        <w:t>3</w:t>
      </w:r>
      <w:r>
        <w:rPr>
          <w:rFonts w:hint="eastAsia" w:ascii="Times New Roman"/>
          <w:snapToGrid w:val="0"/>
          <w:color w:val="auto"/>
          <w:kern w:val="0"/>
          <w:highlight w:val="none"/>
        </w:rPr>
        <w:t>为投标报价得分。</w:t>
      </w:r>
    </w:p>
    <w:p w14:paraId="54DFCA09">
      <w:pPr>
        <w:bidi w:val="0"/>
        <w:rPr>
          <w:rFonts w:hint="eastAsia"/>
          <w:color w:val="auto"/>
          <w:highlight w:val="none"/>
          <w:lang w:val="en-US" w:eastAsia="zh-CN"/>
        </w:rPr>
      </w:pPr>
      <w:bookmarkStart w:id="56" w:name="_Toc31548"/>
      <w:bookmarkStart w:id="57" w:name="_Toc6276"/>
    </w:p>
    <w:p w14:paraId="17C17EA4">
      <w:pPr>
        <w:bidi w:val="0"/>
        <w:rPr>
          <w:rFonts w:hint="eastAsia"/>
          <w:color w:val="auto"/>
          <w:highlight w:val="none"/>
          <w:lang w:val="en-US" w:eastAsia="zh-CN"/>
        </w:rPr>
      </w:pPr>
    </w:p>
    <w:p w14:paraId="427AFC8D">
      <w:pPr>
        <w:pStyle w:val="15"/>
        <w:rPr>
          <w:rFonts w:hint="eastAsia"/>
          <w:color w:val="auto"/>
          <w:highlight w:val="none"/>
          <w:lang w:val="en-US" w:eastAsia="zh-CN"/>
        </w:rPr>
      </w:pPr>
    </w:p>
    <w:p w14:paraId="54D8FB5C">
      <w:pPr>
        <w:pStyle w:val="15"/>
        <w:rPr>
          <w:rFonts w:hint="eastAsia"/>
          <w:color w:val="auto"/>
          <w:highlight w:val="none"/>
          <w:lang w:val="en-US" w:eastAsia="zh-CN"/>
        </w:rPr>
      </w:pPr>
    </w:p>
    <w:p w14:paraId="1BACE770">
      <w:pPr>
        <w:pStyle w:val="15"/>
        <w:rPr>
          <w:rFonts w:hint="eastAsia"/>
          <w:color w:val="auto"/>
          <w:highlight w:val="none"/>
          <w:lang w:val="en-US" w:eastAsia="zh-CN"/>
        </w:rPr>
      </w:pPr>
    </w:p>
    <w:p w14:paraId="2D341B2A">
      <w:pPr>
        <w:pStyle w:val="15"/>
        <w:rPr>
          <w:rFonts w:hint="eastAsia"/>
          <w:color w:val="auto"/>
          <w:highlight w:val="none"/>
          <w:lang w:val="en-US" w:eastAsia="zh-CN"/>
        </w:rPr>
      </w:pPr>
    </w:p>
    <w:p w14:paraId="2A926E05">
      <w:pPr>
        <w:pStyle w:val="15"/>
        <w:rPr>
          <w:rFonts w:hint="eastAsia"/>
          <w:color w:val="auto"/>
          <w:highlight w:val="none"/>
          <w:lang w:val="en-US" w:eastAsia="zh-CN"/>
        </w:rPr>
      </w:pPr>
    </w:p>
    <w:p w14:paraId="3EE47724">
      <w:pPr>
        <w:pStyle w:val="15"/>
        <w:rPr>
          <w:rFonts w:hint="eastAsia"/>
          <w:color w:val="auto"/>
          <w:highlight w:val="none"/>
          <w:lang w:val="en-US" w:eastAsia="zh-CN"/>
        </w:rPr>
      </w:pPr>
    </w:p>
    <w:p w14:paraId="31B39A5A">
      <w:pPr>
        <w:pStyle w:val="15"/>
        <w:rPr>
          <w:rFonts w:hint="eastAsia"/>
          <w:color w:val="auto"/>
          <w:highlight w:val="none"/>
          <w:lang w:val="en-US" w:eastAsia="zh-CN"/>
        </w:rPr>
      </w:pPr>
    </w:p>
    <w:p w14:paraId="35B0C4BF">
      <w:pPr>
        <w:pStyle w:val="15"/>
        <w:rPr>
          <w:rFonts w:hint="eastAsia"/>
          <w:color w:val="auto"/>
          <w:highlight w:val="none"/>
          <w:lang w:val="en-US" w:eastAsia="zh-CN"/>
        </w:rPr>
      </w:pPr>
    </w:p>
    <w:p w14:paraId="1EA72311">
      <w:pPr>
        <w:pStyle w:val="15"/>
        <w:rPr>
          <w:rFonts w:hint="eastAsia"/>
          <w:color w:val="auto"/>
          <w:highlight w:val="none"/>
          <w:lang w:val="en-US" w:eastAsia="zh-CN"/>
        </w:rPr>
      </w:pPr>
    </w:p>
    <w:p w14:paraId="50AF885B">
      <w:pPr>
        <w:pStyle w:val="15"/>
        <w:rPr>
          <w:rFonts w:hint="eastAsia"/>
          <w:color w:val="auto"/>
          <w:highlight w:val="none"/>
          <w:lang w:val="en-US" w:eastAsia="zh-CN"/>
        </w:rPr>
      </w:pPr>
    </w:p>
    <w:p w14:paraId="7314E11C">
      <w:pPr>
        <w:pStyle w:val="15"/>
        <w:rPr>
          <w:rFonts w:hint="eastAsia"/>
          <w:color w:val="auto"/>
          <w:highlight w:val="none"/>
          <w:lang w:val="en-US" w:eastAsia="zh-CN"/>
        </w:rPr>
      </w:pPr>
    </w:p>
    <w:p w14:paraId="7F0B3434">
      <w:pPr>
        <w:pStyle w:val="15"/>
        <w:rPr>
          <w:rFonts w:hint="eastAsia"/>
          <w:color w:val="auto"/>
          <w:highlight w:val="none"/>
          <w:lang w:val="en-US" w:eastAsia="zh-CN"/>
        </w:rPr>
      </w:pPr>
    </w:p>
    <w:p w14:paraId="3AB2D6D2">
      <w:pPr>
        <w:pStyle w:val="15"/>
        <w:rPr>
          <w:rFonts w:hint="eastAsia"/>
          <w:color w:val="auto"/>
          <w:highlight w:val="none"/>
          <w:lang w:val="en-US" w:eastAsia="zh-CN"/>
        </w:rPr>
      </w:pPr>
    </w:p>
    <w:p w14:paraId="62789936">
      <w:pPr>
        <w:pStyle w:val="15"/>
        <w:rPr>
          <w:rFonts w:hint="eastAsia"/>
          <w:color w:val="auto"/>
          <w:highlight w:val="none"/>
          <w:lang w:val="en-US" w:eastAsia="zh-CN"/>
        </w:rPr>
      </w:pPr>
    </w:p>
    <w:p w14:paraId="76829804">
      <w:pPr>
        <w:pStyle w:val="15"/>
        <w:rPr>
          <w:rFonts w:hint="eastAsia"/>
          <w:color w:val="auto"/>
          <w:highlight w:val="none"/>
          <w:lang w:val="en-US" w:eastAsia="zh-CN"/>
        </w:rPr>
      </w:pPr>
    </w:p>
    <w:p w14:paraId="442A2ABB">
      <w:pPr>
        <w:pStyle w:val="15"/>
        <w:rPr>
          <w:rFonts w:hint="eastAsia"/>
          <w:color w:val="auto"/>
          <w:highlight w:val="none"/>
          <w:lang w:val="en-US" w:eastAsia="zh-CN"/>
        </w:rPr>
      </w:pPr>
    </w:p>
    <w:p w14:paraId="0096D610">
      <w:pPr>
        <w:bidi w:val="0"/>
        <w:rPr>
          <w:rFonts w:hint="eastAsia"/>
          <w:color w:val="auto"/>
          <w:highlight w:val="none"/>
          <w:lang w:val="en-US" w:eastAsia="zh-CN"/>
        </w:rPr>
      </w:pPr>
    </w:p>
    <w:p w14:paraId="4CAC7FD8">
      <w:pPr>
        <w:pStyle w:val="15"/>
        <w:rPr>
          <w:rFonts w:hint="eastAsia"/>
          <w:color w:val="auto"/>
          <w:highlight w:val="none"/>
          <w:lang w:val="en-US" w:eastAsia="zh-CN"/>
        </w:rPr>
      </w:pPr>
    </w:p>
    <w:p w14:paraId="4E64145C">
      <w:pPr>
        <w:pStyle w:val="15"/>
        <w:rPr>
          <w:rFonts w:hint="eastAsia"/>
          <w:color w:val="auto"/>
          <w:highlight w:val="none"/>
          <w:lang w:val="en-US" w:eastAsia="zh-CN"/>
        </w:rPr>
      </w:pPr>
    </w:p>
    <w:p w14:paraId="36C78AF5">
      <w:pPr>
        <w:bidi w:val="0"/>
        <w:rPr>
          <w:rFonts w:hint="eastAsia"/>
          <w:color w:val="auto"/>
          <w:highlight w:val="none"/>
          <w:lang w:val="en-US" w:eastAsia="zh-CN"/>
        </w:rPr>
      </w:pPr>
    </w:p>
    <w:p w14:paraId="7F15CD77">
      <w:pPr>
        <w:pStyle w:val="15"/>
        <w:rPr>
          <w:rFonts w:hint="eastAsia"/>
          <w:color w:val="auto"/>
          <w:highlight w:val="none"/>
          <w:lang w:val="en-US" w:eastAsia="zh-CN"/>
        </w:rPr>
      </w:pPr>
    </w:p>
    <w:p w14:paraId="086905B1">
      <w:pPr>
        <w:pStyle w:val="5"/>
        <w:rPr>
          <w:rFonts w:ascii="宋体" w:hAnsi="宋体" w:cs="宋体"/>
          <w:color w:val="auto"/>
          <w:sz w:val="24"/>
          <w:highlight w:val="none"/>
        </w:rPr>
      </w:pPr>
      <w:bookmarkStart w:id="58" w:name="_Toc30952"/>
      <w:bookmarkStart w:id="59" w:name="_Toc18221"/>
      <w:bookmarkStart w:id="60" w:name="_Toc29993"/>
      <w:bookmarkStart w:id="61" w:name="_Toc31720"/>
      <w:r>
        <w:rPr>
          <w:rFonts w:hint="eastAsia" w:ascii="宋体" w:hAnsi="宋体" w:eastAsia="宋体" w:cs="宋体"/>
          <w:b/>
          <w:bCs/>
          <w:color w:val="auto"/>
          <w:sz w:val="32"/>
          <w:szCs w:val="22"/>
          <w:highlight w:val="none"/>
        </w:rPr>
        <w:t>表1 综合评分表</w:t>
      </w:r>
      <w:bookmarkEnd w:id="56"/>
      <w:bookmarkEnd w:id="57"/>
      <w:bookmarkEnd w:id="58"/>
      <w:bookmarkEnd w:id="59"/>
      <w:bookmarkEnd w:id="60"/>
      <w:bookmarkEnd w:id="61"/>
    </w:p>
    <w:tbl>
      <w:tblPr>
        <w:tblStyle w:val="31"/>
        <w:tblW w:w="9362" w:type="dxa"/>
        <w:jc w:val="center"/>
        <w:tblLayout w:type="fixed"/>
        <w:tblCellMar>
          <w:top w:w="0" w:type="dxa"/>
          <w:left w:w="108" w:type="dxa"/>
          <w:bottom w:w="0" w:type="dxa"/>
          <w:right w:w="108" w:type="dxa"/>
        </w:tblCellMar>
      </w:tblPr>
      <w:tblGrid>
        <w:gridCol w:w="1404"/>
        <w:gridCol w:w="4480"/>
        <w:gridCol w:w="3478"/>
      </w:tblGrid>
      <w:tr w14:paraId="68A7A069">
        <w:tblPrEx>
          <w:tblCellMar>
            <w:top w:w="0" w:type="dxa"/>
            <w:left w:w="108" w:type="dxa"/>
            <w:bottom w:w="0" w:type="dxa"/>
            <w:right w:w="108" w:type="dxa"/>
          </w:tblCellMar>
        </w:tblPrEx>
        <w:trPr>
          <w:trHeight w:val="62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09064003">
            <w:pPr>
              <w:pStyle w:val="11"/>
              <w:tabs>
                <w:tab w:val="left" w:pos="1354"/>
                <w:tab w:val="left" w:pos="1459"/>
                <w:tab w:val="center" w:pos="3902"/>
                <w:tab w:val="right" w:pos="7805"/>
              </w:tabs>
              <w:adjustRightInd w:val="0"/>
              <w:snapToGrid w:val="0"/>
              <w:spacing w:after="0" w:line="360" w:lineRule="exac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商务部分，满分：</w:t>
            </w:r>
            <w:r>
              <w:rPr>
                <w:rFonts w:hint="eastAsia" w:asciiTheme="minorEastAsia" w:hAnsiTheme="minorEastAsia" w:eastAsiaTheme="minorEastAsia" w:cstheme="minorEastAsia"/>
                <w:snapToGrid w:val="0"/>
                <w:kern w:val="0"/>
                <w:sz w:val="24"/>
                <w:szCs w:val="24"/>
                <w:u w:val="single"/>
              </w:rPr>
              <w:t>50</w:t>
            </w:r>
            <w:r>
              <w:rPr>
                <w:rFonts w:hint="eastAsia" w:asciiTheme="minorEastAsia" w:hAnsiTheme="minorEastAsia" w:eastAsiaTheme="minorEastAsia" w:cstheme="minorEastAsia"/>
                <w:snapToGrid w:val="0"/>
                <w:kern w:val="0"/>
                <w:sz w:val="24"/>
                <w:szCs w:val="24"/>
              </w:rPr>
              <w:t>分。</w:t>
            </w:r>
          </w:p>
        </w:tc>
      </w:tr>
      <w:tr w14:paraId="2952462D">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A714148">
            <w:pPr>
              <w:pStyle w:val="11"/>
              <w:tabs>
                <w:tab w:val="left" w:pos="1354"/>
                <w:tab w:val="left" w:pos="1459"/>
                <w:tab w:val="center" w:pos="3902"/>
                <w:tab w:val="right" w:pos="7805"/>
              </w:tabs>
              <w:adjustRightInd w:val="0"/>
              <w:snapToGrid w:val="0"/>
              <w:spacing w:after="0"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评分因素</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791146B">
            <w:pPr>
              <w:pStyle w:val="11"/>
              <w:tabs>
                <w:tab w:val="left" w:pos="1354"/>
                <w:tab w:val="left" w:pos="1459"/>
                <w:tab w:val="center" w:pos="3902"/>
                <w:tab w:val="right" w:pos="7805"/>
              </w:tabs>
              <w:adjustRightInd w:val="0"/>
              <w:snapToGrid w:val="0"/>
              <w:spacing w:after="0"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评分标准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77181E5B">
            <w:pPr>
              <w:pStyle w:val="11"/>
              <w:tabs>
                <w:tab w:val="left" w:pos="1354"/>
                <w:tab w:val="left" w:pos="1459"/>
                <w:tab w:val="center" w:pos="3902"/>
                <w:tab w:val="right" w:pos="7805"/>
              </w:tabs>
              <w:adjustRightInd w:val="0"/>
              <w:snapToGrid w:val="0"/>
              <w:spacing w:after="0"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备注</w:t>
            </w:r>
          </w:p>
        </w:tc>
      </w:tr>
      <w:tr w14:paraId="550EB92D">
        <w:tblPrEx>
          <w:tblCellMar>
            <w:top w:w="0" w:type="dxa"/>
            <w:left w:w="108" w:type="dxa"/>
            <w:bottom w:w="0" w:type="dxa"/>
            <w:right w:w="108" w:type="dxa"/>
          </w:tblCellMar>
        </w:tblPrEx>
        <w:trPr>
          <w:trHeight w:val="79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7AFF55B">
            <w:pPr>
              <w:pStyle w:val="11"/>
              <w:adjustRightInd w:val="0"/>
              <w:snapToGrid w:val="0"/>
              <w:spacing w:after="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监理业绩</w:t>
            </w:r>
          </w:p>
          <w:p w14:paraId="52A85C4C">
            <w:pPr>
              <w:pStyle w:val="11"/>
              <w:adjustRightInd w:val="0"/>
              <w:snapToGrid w:val="0"/>
              <w:spacing w:after="0"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56085E81">
            <w:pPr>
              <w:spacing w:line="360" w:lineRule="exact"/>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color w:val="000000"/>
                <w:sz w:val="24"/>
                <w:szCs w:val="24"/>
              </w:rPr>
              <w:t>投标人</w:t>
            </w: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年1月1日至今</w:t>
            </w:r>
            <w:r>
              <w:rPr>
                <w:rFonts w:hint="eastAsia" w:asciiTheme="minorEastAsia" w:hAnsiTheme="minorEastAsia" w:eastAsiaTheme="minorEastAsia" w:cstheme="minorEastAsia"/>
                <w:sz w:val="24"/>
                <w:szCs w:val="24"/>
                <w:lang w:val="en-US" w:eastAsia="zh-CN"/>
              </w:rPr>
              <w:t>承担</w:t>
            </w:r>
            <w:r>
              <w:rPr>
                <w:rFonts w:hint="eastAsia" w:asciiTheme="minorEastAsia" w:hAnsiTheme="minorEastAsia" w:eastAsiaTheme="minorEastAsia" w:cstheme="minorEastAsia"/>
                <w:sz w:val="24"/>
                <w:szCs w:val="24"/>
              </w:rPr>
              <w:t>过总投资</w:t>
            </w:r>
            <w:r>
              <w:rPr>
                <w:rFonts w:hint="eastAsia" w:asciiTheme="minorEastAsia" w:hAnsiTheme="minorEastAsia" w:eastAsiaTheme="minorEastAsia" w:cstheme="minorEastAsia"/>
                <w:sz w:val="24"/>
                <w:szCs w:val="24"/>
                <w:lang w:val="en-US" w:eastAsia="zh-CN"/>
              </w:rPr>
              <w:t>50</w:t>
            </w:r>
            <w:r>
              <w:rPr>
                <w:rFonts w:hint="eastAsia" w:asciiTheme="minorEastAsia" w:hAnsiTheme="minorEastAsia" w:eastAsiaTheme="minorEastAsia" w:cstheme="minorEastAsia"/>
                <w:sz w:val="24"/>
                <w:szCs w:val="24"/>
              </w:rPr>
              <w:t>0万元及以上质量合格的市政工程监理项目的，每个得</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分，本项最高得</w:t>
            </w:r>
            <w:r>
              <w:rPr>
                <w:rFonts w:hint="eastAsia" w:asciiTheme="minorEastAsia" w:hAnsiTheme="minorEastAsia" w:eastAsiaTheme="minorEastAsia" w:cstheme="minorEastAsia"/>
                <w:sz w:val="24"/>
                <w:szCs w:val="24"/>
                <w:lang w:val="en-US" w:eastAsia="zh-CN"/>
              </w:rPr>
              <w:t>18</w:t>
            </w:r>
            <w:r>
              <w:rPr>
                <w:rFonts w:hint="eastAsia" w:asciiTheme="minorEastAsia" w:hAnsiTheme="minorEastAsia" w:eastAsiaTheme="minorEastAsia" w:cstheme="minorEastAsia"/>
                <w:sz w:val="24"/>
                <w:szCs w:val="24"/>
              </w:rPr>
              <w:t>分。</w:t>
            </w:r>
          </w:p>
          <w:p w14:paraId="00C5C48C">
            <w:pPr>
              <w:spacing w:line="360" w:lineRule="exact"/>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2、其他情形的，不予计分。</w:t>
            </w:r>
          </w:p>
          <w:p w14:paraId="6E18AC70">
            <w:pPr>
              <w:pStyle w:val="30"/>
              <w:spacing w:line="360" w:lineRule="exact"/>
              <w:ind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说明：本项最高得1</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3D13C6F6">
            <w:pPr>
              <w:spacing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1.须提供公开发布的中标结果截图、中标通知书、监理合同彩色扫描件并加盖单位公章。</w:t>
            </w:r>
          </w:p>
          <w:p w14:paraId="1A4B52A1">
            <w:pPr>
              <w:spacing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2.项目业绩认定时间以</w:t>
            </w:r>
            <w:r>
              <w:rPr>
                <w:rFonts w:hint="eastAsia" w:asciiTheme="minorEastAsia" w:hAnsiTheme="minorEastAsia" w:eastAsiaTheme="minorEastAsia" w:cstheme="minorEastAsia"/>
                <w:sz w:val="24"/>
                <w:szCs w:val="24"/>
                <w:lang w:val="en-US" w:eastAsia="zh-CN"/>
              </w:rPr>
              <w:t>合同签订</w:t>
            </w:r>
            <w:r>
              <w:rPr>
                <w:rFonts w:hint="eastAsia" w:asciiTheme="minorEastAsia" w:hAnsiTheme="minorEastAsia" w:eastAsiaTheme="minorEastAsia" w:cstheme="minorEastAsia"/>
                <w:sz w:val="24"/>
                <w:szCs w:val="24"/>
              </w:rPr>
              <w:t>时间为准。</w:t>
            </w:r>
          </w:p>
          <w:p w14:paraId="176D60DD">
            <w:pPr>
              <w:spacing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3.未提供证明材料或材料不齐全，业绩不符合评分标准和备注规定的，不予计分。</w:t>
            </w:r>
          </w:p>
        </w:tc>
      </w:tr>
      <w:tr w14:paraId="17C921F8">
        <w:tblPrEx>
          <w:tblCellMar>
            <w:top w:w="0" w:type="dxa"/>
            <w:left w:w="108" w:type="dxa"/>
            <w:bottom w:w="0" w:type="dxa"/>
            <w:right w:w="108" w:type="dxa"/>
          </w:tblCellMar>
        </w:tblPrEx>
        <w:trPr>
          <w:trHeight w:val="847" w:hRule="atLeast"/>
          <w:jc w:val="center"/>
        </w:trPr>
        <w:tc>
          <w:tcPr>
            <w:tcW w:w="1404" w:type="dxa"/>
            <w:tcBorders>
              <w:top w:val="single" w:color="auto" w:sz="4" w:space="0"/>
              <w:left w:val="single" w:color="auto" w:sz="4" w:space="0"/>
              <w:right w:val="single" w:color="auto" w:sz="4" w:space="0"/>
            </w:tcBorders>
            <w:noWrap w:val="0"/>
            <w:vAlign w:val="center"/>
          </w:tcPr>
          <w:p w14:paraId="490626BB">
            <w:pPr>
              <w:spacing w:line="3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其他监理</w:t>
            </w:r>
          </w:p>
          <w:p w14:paraId="4D8D8498">
            <w:pPr>
              <w:spacing w:line="3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人员配备</w:t>
            </w:r>
          </w:p>
          <w:p w14:paraId="1409DA97">
            <w:pPr>
              <w:spacing w:line="3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F479FF6">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1、市政</w:t>
            </w:r>
            <w:r>
              <w:rPr>
                <w:rFonts w:hint="eastAsia" w:asciiTheme="minorEastAsia" w:hAnsiTheme="minorEastAsia" w:eastAsiaTheme="minorEastAsia" w:cstheme="minorEastAsia"/>
                <w:color w:val="000000"/>
                <w:sz w:val="24"/>
                <w:szCs w:val="24"/>
              </w:rPr>
              <w:t>专业监理工程师：具有全国注册监理工程师（</w:t>
            </w:r>
            <w:r>
              <w:rPr>
                <w:rFonts w:hint="eastAsia" w:asciiTheme="minorEastAsia" w:hAnsiTheme="minorEastAsia" w:eastAsiaTheme="minorEastAsia" w:cstheme="minorEastAsia"/>
                <w:color w:val="000000"/>
                <w:sz w:val="24"/>
                <w:szCs w:val="24"/>
                <w:lang w:val="en-US" w:eastAsia="zh-CN"/>
              </w:rPr>
              <w:t>市政公用</w:t>
            </w:r>
            <w:r>
              <w:rPr>
                <w:rFonts w:hint="eastAsia" w:asciiTheme="minorEastAsia" w:hAnsiTheme="minorEastAsia" w:eastAsiaTheme="minorEastAsia" w:cstheme="minorEastAsia"/>
                <w:color w:val="000000"/>
                <w:sz w:val="24"/>
                <w:szCs w:val="24"/>
              </w:rPr>
              <w:t>工程）得</w:t>
            </w: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分；</w:t>
            </w:r>
            <w:r>
              <w:rPr>
                <w:rFonts w:hint="eastAsia" w:asciiTheme="minorEastAsia" w:hAnsiTheme="minorEastAsia" w:eastAsiaTheme="minorEastAsia" w:cstheme="minorEastAsia"/>
                <w:color w:val="000000"/>
                <w:sz w:val="24"/>
                <w:szCs w:val="24"/>
                <w:lang w:val="en-US" w:eastAsia="zh-CN"/>
              </w:rPr>
              <w:t>市政类高级及以上职称加5分</w:t>
            </w:r>
            <w:r>
              <w:rPr>
                <w:rFonts w:hint="eastAsia" w:asciiTheme="minorEastAsia" w:hAnsiTheme="minorEastAsia" w:eastAsiaTheme="minorEastAsia" w:cstheme="minorEastAsia"/>
                <w:color w:val="000000"/>
                <w:sz w:val="24"/>
                <w:szCs w:val="24"/>
              </w:rPr>
              <w:t xml:space="preserve">。本项最高得 </w:t>
            </w: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分。</w:t>
            </w:r>
          </w:p>
          <w:p w14:paraId="1613AD0E">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、其他情形的，不予计分。</w:t>
            </w:r>
          </w:p>
          <w:p w14:paraId="70B35DF1">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说明：本项最高得</w:t>
            </w: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分。</w:t>
            </w:r>
          </w:p>
        </w:tc>
        <w:tc>
          <w:tcPr>
            <w:tcW w:w="3478" w:type="dxa"/>
            <w:tcBorders>
              <w:top w:val="single" w:color="auto" w:sz="4" w:space="0"/>
              <w:left w:val="single" w:color="auto" w:sz="4" w:space="0"/>
              <w:right w:val="single" w:color="auto" w:sz="4" w:space="0"/>
            </w:tcBorders>
            <w:noWrap w:val="0"/>
            <w:vAlign w:val="center"/>
          </w:tcPr>
          <w:p w14:paraId="6BB0B6A4">
            <w:pPr>
              <w:spacing w:line="36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1.须提供相关证书彩色扫描件并加盖单位公章。</w:t>
            </w:r>
          </w:p>
          <w:p w14:paraId="42527CA1">
            <w:pPr>
              <w:spacing w:line="36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2.证书不在有效期内的，不予计分。</w:t>
            </w:r>
          </w:p>
          <w:p w14:paraId="7ED42983">
            <w:pPr>
              <w:spacing w:line="360" w:lineRule="exact"/>
              <w:jc w:val="left"/>
              <w:rPr>
                <w:rFonts w:hint="default" w:eastAsiaTheme="minorEastAsia"/>
                <w:lang w:val="en-US" w:eastAsia="zh-CN"/>
              </w:rPr>
            </w:pPr>
            <w:r>
              <w:rPr>
                <w:rFonts w:hint="eastAsia" w:asciiTheme="minorEastAsia" w:hAnsiTheme="minorEastAsia" w:eastAsiaTheme="minorEastAsia" w:cstheme="minorEastAsia"/>
                <w:color w:val="000000"/>
                <w:sz w:val="24"/>
                <w:szCs w:val="24"/>
                <w:lang w:val="en-US" w:eastAsia="zh-CN"/>
              </w:rPr>
              <w:t>3.在本单位缴纳社保的证明（至少一个月，其中必须有2026年05月）彩色扫描件。</w:t>
            </w:r>
          </w:p>
        </w:tc>
      </w:tr>
      <w:tr w14:paraId="49A282CF">
        <w:tblPrEx>
          <w:tblCellMar>
            <w:top w:w="0" w:type="dxa"/>
            <w:left w:w="108" w:type="dxa"/>
            <w:bottom w:w="0" w:type="dxa"/>
            <w:right w:w="108" w:type="dxa"/>
          </w:tblCellMar>
        </w:tblPrEx>
        <w:trPr>
          <w:trHeight w:val="1260" w:hRule="atLeast"/>
          <w:jc w:val="center"/>
        </w:trPr>
        <w:tc>
          <w:tcPr>
            <w:tcW w:w="1404" w:type="dxa"/>
            <w:vMerge w:val="restart"/>
            <w:tcBorders>
              <w:top w:val="single" w:color="auto" w:sz="4" w:space="0"/>
              <w:left w:val="single" w:color="auto" w:sz="4" w:space="0"/>
              <w:right w:val="single" w:color="auto" w:sz="4" w:space="0"/>
            </w:tcBorders>
            <w:noWrap w:val="0"/>
            <w:vAlign w:val="center"/>
          </w:tcPr>
          <w:p w14:paraId="46B23471">
            <w:pPr>
              <w:spacing w:line="360" w:lineRule="exact"/>
              <w:ind w:left="24" w:leftChars="10" w:right="24" w:rightChars="1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企业信用综合情况</w:t>
            </w:r>
          </w:p>
          <w:p w14:paraId="6B211C9D">
            <w:pPr>
              <w:spacing w:line="360" w:lineRule="exact"/>
              <w:ind w:left="24" w:leftChars="10" w:right="24" w:rightChars="10"/>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12</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744D9716">
            <w:pPr>
              <w:widowControl/>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1、投标人202</w:t>
            </w: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年1月1日至今获得过地市级或以上税务行政主管部门评为“A级纳税人”称号的，得</w:t>
            </w:r>
            <w:r>
              <w:rPr>
                <w:rFonts w:hint="eastAsia" w:asciiTheme="minorEastAsia" w:hAnsiTheme="minorEastAsia" w:eastAsiaTheme="minorEastAsia" w:cstheme="minorEastAsia"/>
                <w:color w:val="000000"/>
                <w:sz w:val="24"/>
                <w:szCs w:val="24"/>
                <w:u w:val="single"/>
                <w:lang w:val="en-US" w:eastAsia="zh-CN"/>
              </w:rPr>
              <w:t>6</w:t>
            </w:r>
            <w:r>
              <w:rPr>
                <w:rFonts w:hint="eastAsia" w:asciiTheme="minorEastAsia" w:hAnsiTheme="minorEastAsia" w:eastAsiaTheme="minorEastAsia" w:cstheme="minorEastAsia"/>
                <w:color w:val="000000"/>
                <w:sz w:val="24"/>
                <w:szCs w:val="24"/>
              </w:rPr>
              <w:t>分。</w:t>
            </w:r>
          </w:p>
          <w:p w14:paraId="092551F7">
            <w:pPr>
              <w:widowControl/>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2、其他情形的，不予计分。</w:t>
            </w:r>
          </w:p>
          <w:p w14:paraId="69D81E50">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说明：本项最高得</w:t>
            </w:r>
            <w:r>
              <w:rPr>
                <w:rFonts w:hint="eastAsia" w:asciiTheme="minorEastAsia" w:hAnsiTheme="minorEastAsia" w:eastAsiaTheme="minorEastAsia" w:cstheme="minorEastAsia"/>
                <w:color w:val="000000"/>
                <w:sz w:val="24"/>
                <w:szCs w:val="24"/>
                <w:lang w:val="en-US" w:eastAsia="zh-CN"/>
              </w:rPr>
              <w:t>6</w:t>
            </w:r>
            <w:r>
              <w:rPr>
                <w:rFonts w:hint="eastAsia" w:asciiTheme="minorEastAsia" w:hAnsiTheme="minorEastAsia" w:eastAsiaTheme="minorEastAsia" w:cstheme="minorEastAsia"/>
                <w:color w:val="000000"/>
                <w:sz w:val="24"/>
                <w:szCs w:val="24"/>
              </w:rPr>
              <w:t>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2550C19B">
            <w:pPr>
              <w:spacing w:line="36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1.须提供企业纳税信用A级纳税人相应证书或证明材料彩色扫描件或提供国家税务总局纳税信用A级纳税人查询截图并加盖单位公章，否则不得分。</w:t>
            </w:r>
          </w:p>
          <w:p w14:paraId="2D741711">
            <w:pPr>
              <w:spacing w:line="36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2.只计算投标人自身（不计算投标人的分公司、子公司及分支机构）。</w:t>
            </w:r>
          </w:p>
        </w:tc>
      </w:tr>
      <w:tr w14:paraId="35C4E632">
        <w:tblPrEx>
          <w:tblCellMar>
            <w:top w:w="0" w:type="dxa"/>
            <w:left w:w="108" w:type="dxa"/>
            <w:bottom w:w="0" w:type="dxa"/>
            <w:right w:w="108" w:type="dxa"/>
          </w:tblCellMar>
        </w:tblPrEx>
        <w:trPr>
          <w:trHeight w:val="1260" w:hRule="atLeast"/>
          <w:jc w:val="center"/>
        </w:trPr>
        <w:tc>
          <w:tcPr>
            <w:tcW w:w="1404" w:type="dxa"/>
            <w:vMerge w:val="continue"/>
            <w:tcBorders>
              <w:left w:val="single" w:color="auto" w:sz="4" w:space="0"/>
              <w:bottom w:val="single" w:color="auto" w:sz="4" w:space="0"/>
              <w:right w:val="single" w:color="auto" w:sz="4" w:space="0"/>
            </w:tcBorders>
            <w:noWrap w:val="0"/>
            <w:vAlign w:val="center"/>
          </w:tcPr>
          <w:p w14:paraId="464E2D1C">
            <w:pPr>
              <w:spacing w:line="360" w:lineRule="exact"/>
              <w:ind w:left="24" w:leftChars="10" w:right="24" w:rightChars="10"/>
              <w:jc w:val="center"/>
              <w:rPr>
                <w:rFonts w:hint="eastAsia" w:asciiTheme="minorEastAsia" w:hAnsiTheme="minorEastAsia" w:eastAsiaTheme="minorEastAsia" w:cstheme="minorEastAsia"/>
                <w:snapToGrid w:val="0"/>
                <w:kern w:val="0"/>
                <w:sz w:val="24"/>
                <w:szCs w:val="24"/>
              </w:rPr>
            </w:pP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A64730A">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投标人202</w:t>
            </w: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年1月1日至今，投标人获得过企业信用等级证书并在有效期内的：</w:t>
            </w:r>
          </w:p>
          <w:p w14:paraId="42A906E6">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1、AAA级的得</w:t>
            </w:r>
            <w:r>
              <w:rPr>
                <w:rFonts w:hint="eastAsia" w:asciiTheme="minorEastAsia" w:hAnsiTheme="minorEastAsia" w:eastAsiaTheme="minorEastAsia" w:cstheme="minorEastAsia"/>
                <w:color w:val="000000"/>
                <w:sz w:val="24"/>
                <w:szCs w:val="24"/>
                <w:lang w:val="en-US" w:eastAsia="zh-CN"/>
              </w:rPr>
              <w:t>6</w:t>
            </w:r>
            <w:r>
              <w:rPr>
                <w:rFonts w:hint="eastAsia" w:asciiTheme="minorEastAsia" w:hAnsiTheme="minorEastAsia" w:eastAsiaTheme="minorEastAsia" w:cstheme="minorEastAsia"/>
                <w:color w:val="000000"/>
                <w:sz w:val="24"/>
                <w:szCs w:val="24"/>
              </w:rPr>
              <w:t>分；</w:t>
            </w:r>
          </w:p>
          <w:p w14:paraId="1A2E46D6">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2、AA级的得</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分；</w:t>
            </w:r>
          </w:p>
          <w:p w14:paraId="19C49E94">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3、A级的得</w:t>
            </w: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分。</w:t>
            </w:r>
          </w:p>
          <w:p w14:paraId="54A49B84">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rPr>
              <w:t>、其他情形的，不予计分。</w:t>
            </w:r>
          </w:p>
          <w:p w14:paraId="1471D465">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说明：本项最高得</w:t>
            </w:r>
            <w:r>
              <w:rPr>
                <w:rFonts w:hint="eastAsia" w:asciiTheme="minorEastAsia" w:hAnsiTheme="minorEastAsia" w:eastAsiaTheme="minorEastAsia" w:cstheme="minorEastAsia"/>
                <w:color w:val="000000"/>
                <w:sz w:val="24"/>
                <w:szCs w:val="24"/>
                <w:lang w:val="en-US" w:eastAsia="zh-CN"/>
              </w:rPr>
              <w:t>6</w:t>
            </w:r>
            <w:r>
              <w:rPr>
                <w:rFonts w:hint="eastAsia" w:asciiTheme="minorEastAsia" w:hAnsiTheme="minorEastAsia" w:eastAsiaTheme="minorEastAsia" w:cstheme="minorEastAsia"/>
                <w:color w:val="000000"/>
                <w:sz w:val="24"/>
                <w:szCs w:val="24"/>
              </w:rPr>
              <w:t>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2682E376">
            <w:pPr>
              <w:spacing w:line="36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1.须提供有效期内的认证证书彩色扫描件并加盖单位公章。</w:t>
            </w:r>
          </w:p>
          <w:p w14:paraId="7C5ECB2E">
            <w:pPr>
              <w:pStyle w:val="42"/>
              <w:spacing w:line="36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val="0"/>
                <w:color w:val="000000"/>
                <w:sz w:val="24"/>
                <w:szCs w:val="24"/>
              </w:rPr>
              <w:t>2.证书不在有效期内的，不予计分。</w:t>
            </w:r>
          </w:p>
        </w:tc>
      </w:tr>
      <w:tr w14:paraId="3E0287D3">
        <w:tblPrEx>
          <w:tblCellMar>
            <w:top w:w="0" w:type="dxa"/>
            <w:left w:w="108" w:type="dxa"/>
            <w:bottom w:w="0" w:type="dxa"/>
            <w:right w:w="108" w:type="dxa"/>
          </w:tblCellMar>
        </w:tblPrEx>
        <w:trPr>
          <w:trHeight w:val="282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A278890">
            <w:pPr>
              <w:pStyle w:val="11"/>
              <w:adjustRightInd w:val="0"/>
              <w:snapToGrid w:val="0"/>
              <w:spacing w:after="0" w:line="36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企业管理</w:t>
            </w:r>
          </w:p>
          <w:p w14:paraId="609B5EE6">
            <w:pPr>
              <w:pStyle w:val="11"/>
              <w:adjustRightInd w:val="0"/>
              <w:snapToGrid w:val="0"/>
              <w:spacing w:after="0" w:line="36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体系认证</w:t>
            </w:r>
          </w:p>
          <w:p w14:paraId="3481DDDE">
            <w:pPr>
              <w:adjustRightInd w:val="0"/>
              <w:snapToGrid w:val="0"/>
              <w:spacing w:line="36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（10分）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0F0D2D68">
            <w:pPr>
              <w:spacing w:line="360" w:lineRule="exact"/>
              <w:ind w:firstLine="480" w:firstLineChars="2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kern w:val="2"/>
                <w:sz w:val="24"/>
                <w:szCs w:val="24"/>
                <w:lang w:val="en-US" w:eastAsia="zh-CN" w:bidi="ar-SA"/>
              </w:rPr>
              <w:t>企业获得企</w:t>
            </w:r>
            <w:r>
              <w:rPr>
                <w:rFonts w:hint="eastAsia" w:asciiTheme="minorEastAsia" w:hAnsiTheme="minorEastAsia" w:eastAsiaTheme="minorEastAsia" w:cstheme="minorEastAsia"/>
                <w:color w:val="000000"/>
                <w:sz w:val="24"/>
                <w:szCs w:val="24"/>
                <w:lang w:val="en-US" w:eastAsia="zh-CN"/>
              </w:rPr>
              <w:t>业质量管理体系、职业健康安全管理体系、环境管理体系证书、信息安全管理体系认证并在有效期内；</w:t>
            </w:r>
          </w:p>
          <w:p w14:paraId="050E7EA5">
            <w:pPr>
              <w:spacing w:line="360" w:lineRule="exact"/>
              <w:ind w:firstLine="480" w:firstLineChars="2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1、获得以上4项认证证书的，得10分；</w:t>
            </w:r>
          </w:p>
          <w:p w14:paraId="0494DCDA">
            <w:pPr>
              <w:spacing w:line="360" w:lineRule="exact"/>
              <w:ind w:firstLine="480" w:firstLineChars="2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2、获得其中3项认证证书的，得7分；</w:t>
            </w:r>
          </w:p>
          <w:p w14:paraId="25D9F6F2">
            <w:pPr>
              <w:spacing w:line="360" w:lineRule="exact"/>
              <w:ind w:firstLine="480" w:firstLineChars="2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3、获得其中2项认证证书的，得4分；</w:t>
            </w:r>
          </w:p>
          <w:p w14:paraId="5BFD8A44">
            <w:pPr>
              <w:spacing w:line="360" w:lineRule="exact"/>
              <w:ind w:firstLine="480" w:firstLineChars="2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4、获得其中1项认证证书的，得1分；</w:t>
            </w:r>
          </w:p>
          <w:p w14:paraId="37126617">
            <w:pPr>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其他情形的，不予计分。</w:t>
            </w:r>
          </w:p>
          <w:p w14:paraId="20C15B11">
            <w:pPr>
              <w:spacing w:line="360" w:lineRule="exact"/>
              <w:ind w:firstLine="480" w:firstLineChars="20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说明:本项最高得1</w:t>
            </w:r>
            <w:r>
              <w:rPr>
                <w:rFonts w:hint="eastAsia" w:asciiTheme="minorEastAsia" w:hAnsiTheme="minorEastAsia" w:eastAsiaTheme="minorEastAsia" w:cstheme="minorEastAsia"/>
                <w:color w:val="000000"/>
                <w:kern w:val="2"/>
                <w:sz w:val="24"/>
                <w:szCs w:val="24"/>
                <w:lang w:val="en-US" w:eastAsia="zh-CN" w:bidi="ar-SA"/>
              </w:rPr>
              <w:t>0分。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2004E213">
            <w:pPr>
              <w:spacing w:line="36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1．须提供在有效期内的体系认证证书彩色扫描件并加盖单位公章。</w:t>
            </w:r>
          </w:p>
          <w:p w14:paraId="0607817F">
            <w:pPr>
              <w:spacing w:line="36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2．证书不在有效期内的，不予计分。</w:t>
            </w:r>
          </w:p>
        </w:tc>
      </w:tr>
      <w:tr w14:paraId="112C21C7">
        <w:tblPrEx>
          <w:tblCellMar>
            <w:top w:w="0" w:type="dxa"/>
            <w:left w:w="108" w:type="dxa"/>
            <w:bottom w:w="0" w:type="dxa"/>
            <w:right w:w="108" w:type="dxa"/>
          </w:tblCellMar>
        </w:tblPrEx>
        <w:trPr>
          <w:trHeight w:val="96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BDF3E6D">
            <w:pPr>
              <w:pStyle w:val="11"/>
              <w:adjustRightInd w:val="0"/>
              <w:snapToGrid w:val="0"/>
              <w:spacing w:after="0" w:line="240" w:lineRule="auto"/>
              <w:jc w:val="lef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技术部分（监理大纲），满分：</w:t>
            </w:r>
            <w:r>
              <w:rPr>
                <w:rFonts w:hint="eastAsia" w:asciiTheme="minorEastAsia" w:hAnsiTheme="minorEastAsia" w:eastAsiaTheme="minorEastAsia" w:cstheme="minorEastAsia"/>
                <w:snapToGrid w:val="0"/>
                <w:kern w:val="0"/>
                <w:sz w:val="24"/>
                <w:szCs w:val="24"/>
                <w:u w:val="single"/>
                <w:lang w:val="en-US" w:eastAsia="zh-CN"/>
              </w:rPr>
              <w:t>3</w:t>
            </w:r>
            <w:r>
              <w:rPr>
                <w:rFonts w:hint="eastAsia" w:asciiTheme="minorEastAsia" w:hAnsiTheme="minorEastAsia" w:eastAsiaTheme="minorEastAsia" w:cstheme="minorEastAsia"/>
                <w:snapToGrid w:val="0"/>
                <w:kern w:val="0"/>
                <w:sz w:val="24"/>
                <w:szCs w:val="24"/>
                <w:u w:val="single"/>
              </w:rPr>
              <w:t>0</w:t>
            </w:r>
            <w:r>
              <w:rPr>
                <w:rFonts w:hint="eastAsia" w:asciiTheme="minorEastAsia" w:hAnsiTheme="minorEastAsia" w:eastAsiaTheme="minorEastAsia" w:cstheme="minorEastAsia"/>
                <w:snapToGrid w:val="0"/>
                <w:kern w:val="0"/>
                <w:sz w:val="24"/>
                <w:szCs w:val="24"/>
              </w:rPr>
              <w:t>分。</w:t>
            </w:r>
          </w:p>
        </w:tc>
      </w:tr>
      <w:tr w14:paraId="132DB810">
        <w:tblPrEx>
          <w:tblCellMar>
            <w:top w:w="0" w:type="dxa"/>
            <w:left w:w="108" w:type="dxa"/>
            <w:bottom w:w="0" w:type="dxa"/>
            <w:right w:w="108" w:type="dxa"/>
          </w:tblCellMar>
        </w:tblPrEx>
        <w:trPr>
          <w:trHeight w:val="829"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7F28BEF">
            <w:pPr>
              <w:pStyle w:val="11"/>
              <w:adjustRightInd w:val="0"/>
              <w:snapToGrid w:val="0"/>
              <w:spacing w:after="0" w:line="240" w:lineRule="auto"/>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评分因素</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4D760616">
            <w:pPr>
              <w:pStyle w:val="11"/>
              <w:adjustRightInd w:val="0"/>
              <w:snapToGrid w:val="0"/>
              <w:spacing w:after="0" w:line="240" w:lineRule="auto"/>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评分标准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532E20C0">
            <w:pPr>
              <w:pStyle w:val="11"/>
              <w:adjustRightInd w:val="0"/>
              <w:snapToGrid w:val="0"/>
              <w:spacing w:after="0" w:line="240" w:lineRule="auto"/>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备注</w:t>
            </w:r>
          </w:p>
        </w:tc>
      </w:tr>
      <w:tr w14:paraId="7E8BD116">
        <w:tblPrEx>
          <w:tblCellMar>
            <w:top w:w="0" w:type="dxa"/>
            <w:left w:w="108" w:type="dxa"/>
            <w:bottom w:w="0" w:type="dxa"/>
            <w:right w:w="108" w:type="dxa"/>
          </w:tblCellMar>
        </w:tblPrEx>
        <w:trPr>
          <w:trHeight w:val="1875"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9948B8F">
            <w:pPr>
              <w:pStyle w:val="10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监理依据</w:t>
            </w:r>
          </w:p>
          <w:p w14:paraId="7C89C9D6">
            <w:pPr>
              <w:pStyle w:val="10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及工作目标</w:t>
            </w:r>
          </w:p>
          <w:p w14:paraId="7DD6B3E0">
            <w:pPr>
              <w:spacing w:line="24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3E289A0">
            <w:pPr>
              <w:spacing w:line="240" w:lineRule="auto"/>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【优】得该项评分因素分值的90%～100%（含90%）。</w:t>
            </w:r>
          </w:p>
          <w:p w14:paraId="216F7C64">
            <w:pPr>
              <w:spacing w:line="240" w:lineRule="auto"/>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【良】得该项评分因素分值的80%～90%（含80%）。</w:t>
            </w:r>
          </w:p>
          <w:p w14:paraId="60E0CDB3">
            <w:pPr>
              <w:spacing w:line="240" w:lineRule="auto"/>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【中】得该项评分因素分值的70%～80%（含70%）。</w:t>
            </w:r>
          </w:p>
          <w:p w14:paraId="64A6583B">
            <w:pPr>
              <w:spacing w:line="240" w:lineRule="auto"/>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0F52E935">
            <w:pPr>
              <w:pStyle w:val="112"/>
              <w:adjustRightInd w:val="0"/>
              <w:snapToGrid w:val="0"/>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要求依据全面、适用；目标清晰、正确；针对性强。</w:t>
            </w:r>
          </w:p>
        </w:tc>
      </w:tr>
      <w:tr w14:paraId="3C26808C">
        <w:tblPrEx>
          <w:tblCellMar>
            <w:top w:w="0" w:type="dxa"/>
            <w:left w:w="108" w:type="dxa"/>
            <w:bottom w:w="0" w:type="dxa"/>
            <w:right w:w="108" w:type="dxa"/>
          </w:tblCellMar>
        </w:tblPrEx>
        <w:trPr>
          <w:trHeight w:val="104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B65E06A">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工程质量</w:t>
            </w:r>
          </w:p>
          <w:p w14:paraId="61DE37D2">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监理措施</w:t>
            </w:r>
          </w:p>
          <w:p w14:paraId="220266D2">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44BCCE6C">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【优】得该项评分因素分值的90%～100%（含90%）。</w:t>
            </w:r>
          </w:p>
          <w:p w14:paraId="6EA50248">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【良】得该项评分因素分值的80%～90%（含80%）。</w:t>
            </w:r>
          </w:p>
          <w:p w14:paraId="4CC150A6">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【中】得该项评分因素分值的70%～80%（含70%）。</w:t>
            </w:r>
          </w:p>
          <w:p w14:paraId="6025F522">
            <w:pPr>
              <w:pStyle w:val="112"/>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【差】得该项评分因素分值的60%～70%（含60%）。</w:t>
            </w:r>
          </w:p>
        </w:tc>
        <w:tc>
          <w:tcPr>
            <w:tcW w:w="3478" w:type="dxa"/>
            <w:vMerge w:val="restart"/>
            <w:tcBorders>
              <w:top w:val="single" w:color="auto" w:sz="4" w:space="0"/>
              <w:left w:val="single" w:color="auto" w:sz="4" w:space="0"/>
              <w:right w:val="single" w:color="auto" w:sz="4" w:space="0"/>
            </w:tcBorders>
            <w:noWrap w:val="0"/>
            <w:vAlign w:val="center"/>
          </w:tcPr>
          <w:p w14:paraId="05DDC00F">
            <w:pPr>
              <w:pStyle w:val="112"/>
              <w:adjustRightInd w:val="0"/>
              <w:snapToGrid w:val="0"/>
              <w:jc w:val="lef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要求目标正确、方法可行、预控和动态管理措施具体、针对性强。脱离本工程实际、机械照搬照抄规范和技术标准的，不能得满分。</w:t>
            </w:r>
          </w:p>
        </w:tc>
      </w:tr>
      <w:tr w14:paraId="5FADA294">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C863F85">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工程进度</w:t>
            </w:r>
          </w:p>
          <w:p w14:paraId="4166ECE0">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监理措施</w:t>
            </w:r>
          </w:p>
          <w:p w14:paraId="0D196B5E">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44133BB">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【优】得该项评分因素分值的90%～100%（含90%）。</w:t>
            </w:r>
          </w:p>
          <w:p w14:paraId="7EFAA33E">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【良】得该项评分因素分值的80%～90%（含80%）。</w:t>
            </w:r>
          </w:p>
          <w:p w14:paraId="5B329B00">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【中】得该项评分因素分值的70%～80%（含70%）。</w:t>
            </w:r>
          </w:p>
          <w:p w14:paraId="4F81ADAC">
            <w:pPr>
              <w:pStyle w:val="112"/>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【差】得该项评分因素分值的60%～70%（含60%）。</w:t>
            </w:r>
          </w:p>
        </w:tc>
        <w:tc>
          <w:tcPr>
            <w:tcW w:w="3478" w:type="dxa"/>
            <w:vMerge w:val="continue"/>
            <w:tcBorders>
              <w:left w:val="single" w:color="auto" w:sz="4" w:space="0"/>
              <w:right w:val="single" w:color="auto" w:sz="4" w:space="0"/>
            </w:tcBorders>
            <w:noWrap w:val="0"/>
            <w:vAlign w:val="center"/>
          </w:tcPr>
          <w:p w14:paraId="011FE867">
            <w:pPr>
              <w:pStyle w:val="112"/>
              <w:adjustRightInd w:val="0"/>
              <w:snapToGrid w:val="0"/>
              <w:rPr>
                <w:rFonts w:hint="eastAsia" w:asciiTheme="minorEastAsia" w:hAnsiTheme="minorEastAsia" w:eastAsiaTheme="minorEastAsia" w:cstheme="minorEastAsia"/>
                <w:snapToGrid w:val="0"/>
                <w:kern w:val="0"/>
                <w:sz w:val="24"/>
                <w:szCs w:val="24"/>
              </w:rPr>
            </w:pPr>
          </w:p>
        </w:tc>
      </w:tr>
      <w:tr w14:paraId="0F40243F">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1155DB1">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工程造价</w:t>
            </w:r>
          </w:p>
          <w:p w14:paraId="7BEBCD89">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监理措施</w:t>
            </w:r>
          </w:p>
          <w:p w14:paraId="3D7D4367">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811E95E">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【优】得该项评分因素分值的90%～100%（含90%）。</w:t>
            </w:r>
          </w:p>
          <w:p w14:paraId="599FA4B7">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【良】得该项评分因素分值的80%～90%（含80%）。</w:t>
            </w:r>
          </w:p>
          <w:p w14:paraId="2875D10F">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【中】得该项评分因素分值的70%～80%（含70%）。</w:t>
            </w:r>
          </w:p>
          <w:p w14:paraId="6090F8B2">
            <w:pPr>
              <w:pStyle w:val="112"/>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【差】得该项评分因素分值的60%～70%（含60%）。</w:t>
            </w:r>
          </w:p>
        </w:tc>
        <w:tc>
          <w:tcPr>
            <w:tcW w:w="3478" w:type="dxa"/>
            <w:vMerge w:val="continue"/>
            <w:tcBorders>
              <w:left w:val="single" w:color="auto" w:sz="4" w:space="0"/>
              <w:right w:val="single" w:color="auto" w:sz="4" w:space="0"/>
            </w:tcBorders>
            <w:noWrap w:val="0"/>
            <w:vAlign w:val="center"/>
          </w:tcPr>
          <w:p w14:paraId="66CAA682">
            <w:pPr>
              <w:pStyle w:val="112"/>
              <w:adjustRightInd w:val="0"/>
              <w:snapToGrid w:val="0"/>
              <w:rPr>
                <w:rFonts w:hint="eastAsia" w:asciiTheme="minorEastAsia" w:hAnsiTheme="minorEastAsia" w:eastAsiaTheme="minorEastAsia" w:cstheme="minorEastAsia"/>
                <w:snapToGrid w:val="0"/>
                <w:kern w:val="0"/>
                <w:sz w:val="24"/>
                <w:szCs w:val="24"/>
              </w:rPr>
            </w:pPr>
          </w:p>
        </w:tc>
      </w:tr>
      <w:tr w14:paraId="4ACBF1AC">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FB69B1D">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安全防护</w:t>
            </w:r>
          </w:p>
          <w:p w14:paraId="0B31A114">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监理措施</w:t>
            </w:r>
          </w:p>
          <w:p w14:paraId="3FAE01C3">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174A613">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【优】得该项评分因素分值的90%～100%（含90%）。</w:t>
            </w:r>
          </w:p>
          <w:p w14:paraId="2EBBAFC7">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【良】得该项评分因素分值的80%～90%（含80%）。</w:t>
            </w:r>
          </w:p>
          <w:p w14:paraId="72A18702">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【中】得该项评分因素分值的70%～80%（含70%）。</w:t>
            </w:r>
          </w:p>
          <w:p w14:paraId="03799602">
            <w:pPr>
              <w:pStyle w:val="112"/>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【差】得该项评分因素分值的60%～70%（含60%）。</w:t>
            </w:r>
          </w:p>
        </w:tc>
        <w:tc>
          <w:tcPr>
            <w:tcW w:w="3478" w:type="dxa"/>
            <w:vMerge w:val="continue"/>
            <w:tcBorders>
              <w:left w:val="single" w:color="auto" w:sz="4" w:space="0"/>
              <w:right w:val="single" w:color="auto" w:sz="4" w:space="0"/>
            </w:tcBorders>
            <w:noWrap w:val="0"/>
            <w:vAlign w:val="center"/>
          </w:tcPr>
          <w:p w14:paraId="52140825">
            <w:pPr>
              <w:pStyle w:val="112"/>
              <w:adjustRightInd w:val="0"/>
              <w:snapToGrid w:val="0"/>
              <w:rPr>
                <w:rFonts w:hint="eastAsia" w:asciiTheme="minorEastAsia" w:hAnsiTheme="minorEastAsia" w:eastAsiaTheme="minorEastAsia" w:cstheme="minorEastAsia"/>
                <w:snapToGrid w:val="0"/>
                <w:kern w:val="0"/>
                <w:sz w:val="24"/>
                <w:szCs w:val="24"/>
              </w:rPr>
            </w:pPr>
          </w:p>
        </w:tc>
      </w:tr>
      <w:tr w14:paraId="40CFFF3D">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2B05776">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绿色施工、文明施工监理措施</w:t>
            </w:r>
          </w:p>
          <w:p w14:paraId="0922C1FA">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703CB120">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【优】得该项评分因素分值的90%～100%（含90%）。</w:t>
            </w:r>
          </w:p>
          <w:p w14:paraId="3D7A7629">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【良】得该项评分因素分值的80%～90%（含80%）。</w:t>
            </w:r>
          </w:p>
          <w:p w14:paraId="6322D3B4">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【中】得该项评分因素分值的70%～80%（含70%）。</w:t>
            </w:r>
          </w:p>
          <w:p w14:paraId="6D126D7A">
            <w:pPr>
              <w:pStyle w:val="112"/>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【差】得该项评分因素分值的60%～70%（含60%）。</w:t>
            </w:r>
          </w:p>
        </w:tc>
        <w:tc>
          <w:tcPr>
            <w:tcW w:w="3478" w:type="dxa"/>
            <w:vMerge w:val="continue"/>
            <w:tcBorders>
              <w:left w:val="single" w:color="auto" w:sz="4" w:space="0"/>
              <w:bottom w:val="single" w:color="auto" w:sz="4" w:space="0"/>
              <w:right w:val="single" w:color="auto" w:sz="4" w:space="0"/>
            </w:tcBorders>
            <w:noWrap w:val="0"/>
            <w:vAlign w:val="center"/>
          </w:tcPr>
          <w:p w14:paraId="4443F6BC">
            <w:pPr>
              <w:pStyle w:val="112"/>
              <w:adjustRightInd w:val="0"/>
              <w:snapToGrid w:val="0"/>
              <w:rPr>
                <w:rFonts w:hint="eastAsia" w:asciiTheme="minorEastAsia" w:hAnsiTheme="minorEastAsia" w:eastAsiaTheme="minorEastAsia" w:cstheme="minorEastAsia"/>
                <w:snapToGrid w:val="0"/>
                <w:kern w:val="0"/>
                <w:sz w:val="24"/>
                <w:szCs w:val="24"/>
              </w:rPr>
            </w:pPr>
          </w:p>
        </w:tc>
      </w:tr>
      <w:tr w14:paraId="7E216E33">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8CFE43C">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合同、信息</w:t>
            </w:r>
          </w:p>
          <w:p w14:paraId="7BC9D551">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管理方案</w:t>
            </w:r>
          </w:p>
          <w:p w14:paraId="0AF0D61A">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D4790AA">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【优】得该项评分因素分值的90%～100%（含90%）。</w:t>
            </w:r>
          </w:p>
          <w:p w14:paraId="2EA44F01">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【良】得该项评分因素分值的80%～90%（含80%）。</w:t>
            </w:r>
          </w:p>
          <w:p w14:paraId="72BFCECE">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【中】得该项评分因素分值的70%～80%（含70%）。</w:t>
            </w:r>
          </w:p>
          <w:p w14:paraId="679D3CC5">
            <w:pPr>
              <w:pStyle w:val="112"/>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430003AF">
            <w:pPr>
              <w:pStyle w:val="112"/>
              <w:adjustRightInd w:val="0"/>
              <w:snapToGrid w:val="0"/>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要求各项制度规范清晰，方法科学合理，措施及时有效，针对性强。能够切实防范和处理合同纠纷，提升监理工作效能。</w:t>
            </w:r>
          </w:p>
        </w:tc>
      </w:tr>
      <w:tr w14:paraId="38E9F190">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0FCE68D">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组织协调</w:t>
            </w:r>
          </w:p>
          <w:p w14:paraId="4EC9B3B5">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内容及措施</w:t>
            </w:r>
          </w:p>
          <w:p w14:paraId="38882F78">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7F45891A">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【优】得该项评分因素分值的90%～100%（含90%）。</w:t>
            </w:r>
          </w:p>
          <w:p w14:paraId="2B816F28">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【良】得该项评分因素分值的80%～90%（含80%）。</w:t>
            </w:r>
          </w:p>
          <w:p w14:paraId="696CEFA6">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【中】得该项评分因素分值的70%～80%（含70%）。</w:t>
            </w:r>
          </w:p>
          <w:p w14:paraId="0AA7B8AB">
            <w:pPr>
              <w:pStyle w:val="112"/>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0A3357AF">
            <w:pPr>
              <w:pStyle w:val="112"/>
              <w:adjustRightInd w:val="0"/>
              <w:snapToGrid w:val="0"/>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要求各项制度规范清晰，方法科学合理，措施及时有效，针对性强。能够高效收集、协调、处理、反馈各方各类问题。</w:t>
            </w:r>
          </w:p>
        </w:tc>
      </w:tr>
      <w:tr w14:paraId="391FE3D6">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326F7EB">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监理工作重点、难点分析</w:t>
            </w:r>
          </w:p>
          <w:p w14:paraId="331D0B6A">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DFCFC8A">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【优】得该项评分因素分值的90%～100%（含90%）。</w:t>
            </w:r>
          </w:p>
          <w:p w14:paraId="21BAFEF1">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【良】得该项评分因素分值的80%～90%（含80%）。</w:t>
            </w:r>
          </w:p>
          <w:p w14:paraId="43E37DA8">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【中】得该项评分因素分值的70%～80%（含70%）。</w:t>
            </w:r>
          </w:p>
          <w:p w14:paraId="2DEFA276">
            <w:pPr>
              <w:pStyle w:val="112"/>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15FF0F43">
            <w:pPr>
              <w:pStyle w:val="112"/>
              <w:adjustRightInd w:val="0"/>
              <w:snapToGrid w:val="0"/>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要求方法可行、措施具体、针对性强。</w:t>
            </w:r>
          </w:p>
        </w:tc>
      </w:tr>
      <w:tr w14:paraId="22A0A75C">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2A50DAA">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合理化建议</w:t>
            </w:r>
          </w:p>
          <w:p w14:paraId="341324E8">
            <w:pPr>
              <w:pStyle w:val="12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FB67367">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【优】得该项评分因素分值的90%～100%（含90%）。</w:t>
            </w:r>
          </w:p>
          <w:p w14:paraId="74773E3E">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【良】得该项评分因素分值的80%～90%（含80%）。</w:t>
            </w:r>
          </w:p>
          <w:p w14:paraId="4459D8AB">
            <w:pPr>
              <w:pStyle w:val="13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【中】得该项评分因素分值的70%～80%（含70%）。</w:t>
            </w:r>
          </w:p>
          <w:p w14:paraId="7BC720A0">
            <w:pPr>
              <w:pStyle w:val="112"/>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7244E1E0">
            <w:pPr>
              <w:pStyle w:val="112"/>
              <w:adjustRightInd w:val="0"/>
              <w:snapToGrid w:val="0"/>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要求方法可行、措施具体、针对性强。</w:t>
            </w:r>
          </w:p>
        </w:tc>
      </w:tr>
      <w:tr w14:paraId="30A03639">
        <w:tblPrEx>
          <w:tblCellMar>
            <w:top w:w="0" w:type="dxa"/>
            <w:left w:w="108" w:type="dxa"/>
            <w:bottom w:w="0" w:type="dxa"/>
            <w:right w:w="108" w:type="dxa"/>
          </w:tblCellMar>
        </w:tblPrEx>
        <w:trPr>
          <w:trHeight w:val="62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201BA1A5">
            <w:pPr>
              <w:pStyle w:val="112"/>
              <w:adjustRightInd w:val="0"/>
              <w:snapToGrid w:val="0"/>
              <w:spacing w:line="360" w:lineRule="exac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投标报价部分，满分：</w:t>
            </w:r>
            <w:r>
              <w:rPr>
                <w:rFonts w:hint="eastAsia" w:asciiTheme="minorEastAsia" w:hAnsiTheme="minorEastAsia" w:eastAsiaTheme="minorEastAsia" w:cstheme="minorEastAsia"/>
                <w:snapToGrid w:val="0"/>
                <w:kern w:val="0"/>
                <w:sz w:val="24"/>
                <w:szCs w:val="24"/>
                <w:u w:val="single"/>
                <w:lang w:val="en-US" w:eastAsia="zh-CN"/>
              </w:rPr>
              <w:t>2</w:t>
            </w:r>
            <w:r>
              <w:rPr>
                <w:rFonts w:hint="eastAsia" w:asciiTheme="minorEastAsia" w:hAnsiTheme="minorEastAsia" w:eastAsiaTheme="minorEastAsia" w:cstheme="minorEastAsia"/>
                <w:snapToGrid w:val="0"/>
                <w:kern w:val="0"/>
                <w:sz w:val="24"/>
                <w:szCs w:val="24"/>
                <w:u w:val="single"/>
              </w:rPr>
              <w:t>0</w:t>
            </w:r>
            <w:r>
              <w:rPr>
                <w:rFonts w:hint="eastAsia" w:asciiTheme="minorEastAsia" w:hAnsiTheme="minorEastAsia" w:eastAsiaTheme="minorEastAsia" w:cstheme="minorEastAsia"/>
                <w:snapToGrid w:val="0"/>
                <w:kern w:val="0"/>
                <w:sz w:val="24"/>
                <w:szCs w:val="24"/>
              </w:rPr>
              <w:t>分。</w:t>
            </w:r>
          </w:p>
        </w:tc>
      </w:tr>
      <w:tr w14:paraId="28838CDC">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CC3AE37">
            <w:pPr>
              <w:pStyle w:val="11"/>
              <w:adjustRightInd w:val="0"/>
              <w:snapToGrid w:val="0"/>
              <w:spacing w:after="0"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评分事项</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26D71145">
            <w:pPr>
              <w:pStyle w:val="11"/>
              <w:adjustRightInd w:val="0"/>
              <w:snapToGrid w:val="0"/>
              <w:spacing w:after="0"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评分方法</w:t>
            </w:r>
          </w:p>
        </w:tc>
      </w:tr>
      <w:tr w14:paraId="09F56F79">
        <w:tblPrEx>
          <w:tblCellMar>
            <w:top w:w="0" w:type="dxa"/>
            <w:left w:w="108" w:type="dxa"/>
            <w:bottom w:w="0" w:type="dxa"/>
            <w:right w:w="108" w:type="dxa"/>
          </w:tblCellMar>
        </w:tblPrEx>
        <w:trPr>
          <w:trHeight w:val="9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D062F44">
            <w:pPr>
              <w:pStyle w:val="128"/>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评标基准价D</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5FA93735">
            <w:pPr>
              <w:numPr>
                <w:ilvl w:val="0"/>
                <w:numId w:val="1"/>
              </w:numPr>
              <w:adjustRightInd w:val="0"/>
              <w:snapToGrid w:val="0"/>
              <w:spacing w:line="360" w:lineRule="exact"/>
              <w:ind w:firstLine="480" w:firstLineChars="200"/>
              <w:jc w:val="lef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确定最高投标限价下浮系数n：用1～21号球分别代表一个下浮系数，由评委代表从这21个号码中随机抽取</w:t>
            </w:r>
            <w:r>
              <w:rPr>
                <w:rFonts w:hint="eastAsia" w:asciiTheme="minorEastAsia" w:hAnsiTheme="minorEastAsia" w:eastAsiaTheme="minorEastAsia" w:cstheme="minorEastAsia"/>
                <w:snapToGrid w:val="0"/>
                <w:kern w:val="0"/>
                <w:sz w:val="24"/>
                <w:szCs w:val="24"/>
                <w:u w:val="single"/>
              </w:rPr>
              <w:t xml:space="preserve"> 3 </w:t>
            </w:r>
            <w:r>
              <w:rPr>
                <w:rFonts w:hint="eastAsia" w:asciiTheme="minorEastAsia" w:hAnsiTheme="minorEastAsia" w:eastAsiaTheme="minorEastAsia" w:cstheme="minorEastAsia"/>
                <w:snapToGrid w:val="0"/>
                <w:kern w:val="0"/>
                <w:sz w:val="24"/>
                <w:szCs w:val="24"/>
              </w:rPr>
              <w:t>次，抽出的号球不参与下次抽取，每次抽取1个号码，所抽取的3个号码对应下浮系数的算术平均值作为最高投标限价下浮系数n。具体号码对应的下浮系数可参考下表。</w:t>
            </w:r>
          </w:p>
          <w:p w14:paraId="5C2E3A19">
            <w:pPr>
              <w:pStyle w:val="42"/>
              <w:spacing w:line="360" w:lineRule="exact"/>
              <w:jc w:val="both"/>
              <w:rPr>
                <w:rFonts w:hint="eastAsia" w:asciiTheme="minorEastAsia" w:hAnsiTheme="minorEastAsia" w:eastAsiaTheme="minorEastAsia" w:cstheme="minorEastAsia"/>
                <w:sz w:val="24"/>
                <w:szCs w:val="24"/>
              </w:rPr>
            </w:pPr>
          </w:p>
          <w:tbl>
            <w:tblPr>
              <w:tblStyle w:val="31"/>
              <w:tblW w:w="0" w:type="auto"/>
              <w:tblInd w:w="113" w:type="dxa"/>
              <w:tblLayout w:type="fixed"/>
              <w:tblCellMar>
                <w:top w:w="0" w:type="dxa"/>
                <w:left w:w="108" w:type="dxa"/>
                <w:bottom w:w="0" w:type="dxa"/>
                <w:right w:w="108" w:type="dxa"/>
              </w:tblCellMar>
            </w:tblPr>
            <w:tblGrid>
              <w:gridCol w:w="1316"/>
              <w:gridCol w:w="747"/>
              <w:gridCol w:w="903"/>
              <w:gridCol w:w="900"/>
              <w:gridCol w:w="990"/>
              <w:gridCol w:w="750"/>
              <w:gridCol w:w="870"/>
              <w:gridCol w:w="855"/>
            </w:tblGrid>
            <w:tr w14:paraId="2C88D8B3">
              <w:tblPrEx>
                <w:tblCellMar>
                  <w:top w:w="0" w:type="dxa"/>
                  <w:left w:w="108" w:type="dxa"/>
                  <w:bottom w:w="0" w:type="dxa"/>
                  <w:right w:w="108" w:type="dxa"/>
                </w:tblCellMar>
              </w:tblPrEx>
              <w:trPr>
                <w:trHeight w:val="50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26D4AA74">
                  <w:pPr>
                    <w:adjustRightInd w:val="0"/>
                    <w:snapToGrid w:val="0"/>
                    <w:spacing w:line="360" w:lineRule="exact"/>
                    <w:jc w:val="center"/>
                    <w:rPr>
                      <w:rFonts w:hint="eastAsia" w:asciiTheme="minorEastAsia" w:hAnsiTheme="minorEastAsia" w:eastAsiaTheme="minorEastAsia" w:cstheme="minorEastAsia"/>
                      <w:b/>
                      <w:snapToGrid w:val="0"/>
                      <w:kern w:val="0"/>
                      <w:sz w:val="24"/>
                      <w:szCs w:val="24"/>
                    </w:rPr>
                  </w:pPr>
                  <w:r>
                    <w:rPr>
                      <w:rFonts w:hint="eastAsia" w:asciiTheme="minorEastAsia" w:hAnsiTheme="minorEastAsia" w:eastAsiaTheme="minorEastAsia" w:cstheme="minorEastAsia"/>
                      <w:b/>
                      <w:snapToGrid w:val="0"/>
                      <w:kern w:val="0"/>
                      <w:sz w:val="24"/>
                      <w:szCs w:val="24"/>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4E647A3D">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03BD32D0">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DCB127F">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3</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305DBB5">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415327">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1504D08">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D3D99EC">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7</w:t>
                  </w:r>
                </w:p>
              </w:tc>
            </w:tr>
            <w:tr w14:paraId="3C78D6EF">
              <w:tblPrEx>
                <w:tblCellMar>
                  <w:top w:w="0" w:type="dxa"/>
                  <w:left w:w="108" w:type="dxa"/>
                  <w:bottom w:w="0" w:type="dxa"/>
                  <w:right w:w="108" w:type="dxa"/>
                </w:tblCellMar>
              </w:tblPrEx>
              <w:trPr>
                <w:trHeight w:val="562"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224BC7AD">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5CE022E7">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0.1</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6C5E3B7A">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0.2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807B962">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0.3</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E4E4D7E">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0.4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35817B">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0.5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1CAB762D">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0.6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D01257E">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0.7</w:t>
                  </w:r>
                </w:p>
              </w:tc>
            </w:tr>
            <w:tr w14:paraId="6F1EA7D2">
              <w:tblPrEx>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79A159C4">
                  <w:pPr>
                    <w:adjustRightInd w:val="0"/>
                    <w:snapToGrid w:val="0"/>
                    <w:spacing w:line="360" w:lineRule="exact"/>
                    <w:jc w:val="center"/>
                    <w:rPr>
                      <w:rFonts w:hint="eastAsia" w:asciiTheme="minorEastAsia" w:hAnsiTheme="minorEastAsia" w:eastAsiaTheme="minorEastAsia" w:cstheme="minorEastAsia"/>
                      <w:b/>
                      <w:snapToGrid w:val="0"/>
                      <w:kern w:val="0"/>
                      <w:sz w:val="24"/>
                      <w:szCs w:val="24"/>
                    </w:rPr>
                  </w:pPr>
                  <w:r>
                    <w:rPr>
                      <w:rFonts w:hint="eastAsia" w:asciiTheme="minorEastAsia" w:hAnsiTheme="minorEastAsia" w:eastAsiaTheme="minorEastAsia" w:cstheme="minorEastAsia"/>
                      <w:b/>
                      <w:snapToGrid w:val="0"/>
                      <w:kern w:val="0"/>
                      <w:sz w:val="24"/>
                      <w:szCs w:val="24"/>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6DB3EA36">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8</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10FD8374">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806F6E9">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8305A1A">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6B0F20">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1D684A0">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13</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82F81BD">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14</w:t>
                  </w:r>
                </w:p>
              </w:tc>
            </w:tr>
            <w:tr w14:paraId="3C50F5AB">
              <w:tblPrEx>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6661EC33">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06C4BA71">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0.8</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002BD65A">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0.9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AB1649D">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F0CF0FD">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43CF00">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5BC2771">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1.3</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0285642">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1.4</w:t>
                  </w:r>
                </w:p>
              </w:tc>
            </w:tr>
            <w:tr w14:paraId="4964833A">
              <w:tblPrEx>
                <w:tblCellMar>
                  <w:top w:w="0" w:type="dxa"/>
                  <w:left w:w="108" w:type="dxa"/>
                  <w:bottom w:w="0" w:type="dxa"/>
                  <w:right w:w="108" w:type="dxa"/>
                </w:tblCellMar>
              </w:tblPrEx>
              <w:trPr>
                <w:trHeight w:val="47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1664B682">
                  <w:pPr>
                    <w:adjustRightInd w:val="0"/>
                    <w:snapToGrid w:val="0"/>
                    <w:spacing w:line="360" w:lineRule="exact"/>
                    <w:jc w:val="center"/>
                    <w:rPr>
                      <w:rFonts w:hint="eastAsia" w:asciiTheme="minorEastAsia" w:hAnsiTheme="minorEastAsia" w:eastAsiaTheme="minorEastAsia" w:cstheme="minorEastAsia"/>
                      <w:b/>
                      <w:snapToGrid w:val="0"/>
                      <w:kern w:val="0"/>
                      <w:sz w:val="24"/>
                      <w:szCs w:val="24"/>
                    </w:rPr>
                  </w:pPr>
                  <w:r>
                    <w:rPr>
                      <w:rFonts w:hint="eastAsia" w:asciiTheme="minorEastAsia" w:hAnsiTheme="minorEastAsia" w:eastAsiaTheme="minorEastAsia" w:cstheme="minorEastAsia"/>
                      <w:b/>
                      <w:snapToGrid w:val="0"/>
                      <w:kern w:val="0"/>
                      <w:sz w:val="24"/>
                      <w:szCs w:val="24"/>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3762A483">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15</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13F2492F">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1701CE3">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D1EE9BB">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8EBFD9">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14D39801">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629AD720">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21</w:t>
                  </w:r>
                </w:p>
              </w:tc>
            </w:tr>
            <w:tr w14:paraId="38B80050">
              <w:tblPrEx>
                <w:tblCellMar>
                  <w:top w:w="0" w:type="dxa"/>
                  <w:left w:w="108" w:type="dxa"/>
                  <w:bottom w:w="0" w:type="dxa"/>
                  <w:right w:w="108" w:type="dxa"/>
                </w:tblCellMar>
              </w:tblPrEx>
              <w:trPr>
                <w:trHeight w:val="60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04D336DA">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370E219A">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1.5</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2F4DA3A7">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48F8F6A">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87C69FC">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728748">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D2390D9">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4DF61E4">
                  <w:pPr>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2.1</w:t>
                  </w:r>
                </w:p>
              </w:tc>
            </w:tr>
          </w:tbl>
          <w:p w14:paraId="7A2630E1">
            <w:pPr>
              <w:adjustRightInd w:val="0"/>
              <w:snapToGrid w:val="0"/>
              <w:spacing w:line="360" w:lineRule="exact"/>
              <w:ind w:firstLine="480" w:firstLineChars="200"/>
              <w:jc w:val="lef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（2）评标基准价D＝最高投标限价×（1－n）</w:t>
            </w:r>
          </w:p>
        </w:tc>
      </w:tr>
      <w:tr w14:paraId="495D5F2D">
        <w:tblPrEx>
          <w:tblCellMar>
            <w:top w:w="0" w:type="dxa"/>
            <w:left w:w="108" w:type="dxa"/>
            <w:bottom w:w="0" w:type="dxa"/>
            <w:right w:w="108" w:type="dxa"/>
          </w:tblCellMar>
        </w:tblPrEx>
        <w:trPr>
          <w:trHeight w:val="802"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5B4E36C">
            <w:pPr>
              <w:pStyle w:val="128"/>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投标报价</w:t>
            </w:r>
          </w:p>
          <w:p w14:paraId="7DD44E6B">
            <w:pPr>
              <w:pStyle w:val="128"/>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得分M</w:t>
            </w:r>
            <w:r>
              <w:rPr>
                <w:rFonts w:hint="eastAsia" w:asciiTheme="minorEastAsia" w:hAnsiTheme="minorEastAsia" w:eastAsiaTheme="minorEastAsia" w:cstheme="minorEastAsia"/>
                <w:snapToGrid w:val="0"/>
                <w:kern w:val="0"/>
                <w:sz w:val="24"/>
                <w:szCs w:val="24"/>
                <w:vertAlign w:val="subscript"/>
              </w:rPr>
              <w:t>3</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7E451A41">
            <w:pPr>
              <w:adjustRightInd w:val="0"/>
              <w:snapToGrid w:val="0"/>
              <w:spacing w:line="360" w:lineRule="exact"/>
              <w:ind w:firstLine="480" w:firstLineChars="200"/>
              <w:jc w:val="lef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采用内插法计算某投标人的投标报价得分M</w:t>
            </w:r>
            <w:r>
              <w:rPr>
                <w:rFonts w:hint="eastAsia" w:asciiTheme="minorEastAsia" w:hAnsiTheme="minorEastAsia" w:eastAsiaTheme="minorEastAsia" w:cstheme="minorEastAsia"/>
                <w:snapToGrid w:val="0"/>
                <w:kern w:val="0"/>
                <w:sz w:val="24"/>
                <w:szCs w:val="24"/>
                <w:vertAlign w:val="subscript"/>
              </w:rPr>
              <w:t>3</w:t>
            </w:r>
            <w:r>
              <w:rPr>
                <w:rFonts w:hint="eastAsia" w:asciiTheme="minorEastAsia" w:hAnsiTheme="minorEastAsia" w:eastAsiaTheme="minorEastAsia" w:cstheme="minorEastAsia"/>
                <w:snapToGrid w:val="0"/>
                <w:kern w:val="0"/>
                <w:sz w:val="24"/>
                <w:szCs w:val="24"/>
              </w:rPr>
              <w:t>，即当投标人的投标总价等于评标基准价时得满分，每高于评标基准价一个百分点扣0.2分，每低于评标基准价一个百分点扣0.1分，扣完为止。公式如下：</w:t>
            </w:r>
          </w:p>
          <w:p w14:paraId="4801FE36">
            <w:pPr>
              <w:adjustRightInd w:val="0"/>
              <w:snapToGrid w:val="0"/>
              <w:spacing w:line="360" w:lineRule="exact"/>
              <w:ind w:firstLine="480" w:firstLineChars="200"/>
              <w:jc w:val="lef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M</w:t>
            </w:r>
            <w:r>
              <w:rPr>
                <w:rFonts w:hint="eastAsia" w:asciiTheme="minorEastAsia" w:hAnsiTheme="minorEastAsia" w:eastAsiaTheme="minorEastAsia" w:cstheme="minorEastAsia"/>
                <w:snapToGrid w:val="0"/>
                <w:kern w:val="0"/>
                <w:sz w:val="24"/>
                <w:szCs w:val="24"/>
                <w:vertAlign w:val="subscript"/>
              </w:rPr>
              <w:t>3</w:t>
            </w:r>
            <w:r>
              <w:rPr>
                <w:rFonts w:hint="eastAsia" w:asciiTheme="minorEastAsia" w:hAnsiTheme="minorEastAsia" w:eastAsiaTheme="minorEastAsia" w:cstheme="minorEastAsia"/>
                <w:snapToGrid w:val="0"/>
                <w:kern w:val="0"/>
                <w:sz w:val="24"/>
                <w:szCs w:val="24"/>
              </w:rPr>
              <w:t>＝投标报价满分－（| Di－D | ÷D）×100×E</w:t>
            </w:r>
          </w:p>
          <w:p w14:paraId="4709EADD">
            <w:pPr>
              <w:adjustRightInd w:val="0"/>
              <w:snapToGrid w:val="0"/>
              <w:spacing w:line="360" w:lineRule="exact"/>
              <w:ind w:firstLine="480" w:firstLineChars="200"/>
              <w:jc w:val="lef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式中：D为评标基准价，Di为某投标人的投标总价；E为扣分因子。当Di＞D时，E＝0.2；当Di＜D时，E＝0.1。</w:t>
            </w:r>
          </w:p>
        </w:tc>
      </w:tr>
    </w:tbl>
    <w:p w14:paraId="5A884232">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注：评分如出现小数点，则保留小数点后两位，第三位四舍五入。</w:t>
      </w:r>
    </w:p>
    <w:p w14:paraId="02D8E841">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50869EF5">
      <w:pPr>
        <w:wordWrap w:val="0"/>
        <w:adjustRightInd w:val="0"/>
        <w:snapToGrid w:val="0"/>
        <w:spacing w:line="440" w:lineRule="exact"/>
        <w:jc w:val="center"/>
        <w:rPr>
          <w:rFonts w:hint="eastAsia" w:ascii="Times New Roman"/>
          <w:b/>
          <w:bCs/>
          <w:snapToGrid w:val="0"/>
          <w:kern w:val="0"/>
        </w:rPr>
      </w:pPr>
      <w:r>
        <w:rPr>
          <w:rFonts w:hint="eastAsia" w:ascii="Times New Roman"/>
          <w:b/>
          <w:bCs/>
          <w:snapToGrid w:val="0"/>
          <w:kern w:val="0"/>
          <w:sz w:val="30"/>
        </w:rPr>
        <w:t>表2 项目监理机构其他人员需求表</w:t>
      </w:r>
    </w:p>
    <w:p w14:paraId="790C30C5">
      <w:pPr>
        <w:wordWrap w:val="0"/>
        <w:adjustRightInd w:val="0"/>
        <w:snapToGrid w:val="0"/>
        <w:spacing w:line="440" w:lineRule="exact"/>
        <w:ind w:firstLine="480" w:firstLineChars="200"/>
        <w:rPr>
          <w:rFonts w:hint="eastAsia" w:ascii="Times New Roman"/>
          <w:snapToGrid w:val="0"/>
          <w:kern w:val="0"/>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2366"/>
        <w:gridCol w:w="875"/>
        <w:gridCol w:w="4736"/>
      </w:tblGrid>
      <w:tr w14:paraId="5B11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060" w:type="dxa"/>
            <w:gridSpan w:val="4"/>
            <w:noWrap w:val="0"/>
            <w:vAlign w:val="center"/>
          </w:tcPr>
          <w:p w14:paraId="06E473EB">
            <w:pPr>
              <w:pStyle w:val="90"/>
              <w:wordWrap w:val="0"/>
              <w:adjustRightInd w:val="0"/>
              <w:snapToGrid w:val="0"/>
              <w:spacing w:line="360" w:lineRule="exact"/>
              <w:jc w:val="lef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其他监理人员（除总监理工程师外）：共</w:t>
            </w:r>
            <w:r>
              <w:rPr>
                <w:rFonts w:hint="eastAsia" w:asciiTheme="minorEastAsia" w:hAnsiTheme="minorEastAsia" w:eastAsiaTheme="minorEastAsia" w:cstheme="minorEastAsia"/>
                <w:snapToGrid w:val="0"/>
                <w:kern w:val="0"/>
                <w:sz w:val="24"/>
                <w:szCs w:val="24"/>
                <w:u w:val="single"/>
              </w:rPr>
              <w:t>1</w:t>
            </w:r>
            <w:r>
              <w:rPr>
                <w:rFonts w:hint="eastAsia" w:asciiTheme="minorEastAsia" w:hAnsiTheme="minorEastAsia" w:eastAsiaTheme="minorEastAsia" w:cstheme="minorEastAsia"/>
                <w:snapToGrid w:val="0"/>
                <w:kern w:val="0"/>
                <w:sz w:val="24"/>
                <w:szCs w:val="24"/>
              </w:rPr>
              <w:t>人</w:t>
            </w:r>
          </w:p>
        </w:tc>
      </w:tr>
      <w:tr w14:paraId="6199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exact"/>
        </w:trPr>
        <w:tc>
          <w:tcPr>
            <w:tcW w:w="1083" w:type="dxa"/>
            <w:noWrap w:val="0"/>
            <w:vAlign w:val="center"/>
          </w:tcPr>
          <w:p w14:paraId="33C96334">
            <w:pPr>
              <w:pStyle w:val="90"/>
              <w:wordWrap w:val="0"/>
              <w:adjustRightInd w:val="0"/>
              <w:snapToGrid w:val="0"/>
              <w:spacing w:line="30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职务</w:t>
            </w:r>
          </w:p>
        </w:tc>
        <w:tc>
          <w:tcPr>
            <w:tcW w:w="2366" w:type="dxa"/>
            <w:noWrap w:val="0"/>
            <w:vAlign w:val="center"/>
          </w:tcPr>
          <w:p w14:paraId="09A32389">
            <w:pPr>
              <w:pStyle w:val="90"/>
              <w:wordWrap w:val="0"/>
              <w:adjustRightInd w:val="0"/>
              <w:snapToGrid w:val="0"/>
              <w:spacing w:line="30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专业要求</w:t>
            </w:r>
          </w:p>
        </w:tc>
        <w:tc>
          <w:tcPr>
            <w:tcW w:w="875" w:type="dxa"/>
            <w:noWrap w:val="0"/>
            <w:vAlign w:val="center"/>
          </w:tcPr>
          <w:p w14:paraId="1C8AB0DA">
            <w:pPr>
              <w:pStyle w:val="90"/>
              <w:wordWrap w:val="0"/>
              <w:adjustRightInd w:val="0"/>
              <w:snapToGrid w:val="0"/>
              <w:spacing w:line="30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数量</w:t>
            </w:r>
          </w:p>
          <w:p w14:paraId="5B2056A7">
            <w:pPr>
              <w:pStyle w:val="90"/>
              <w:wordWrap w:val="0"/>
              <w:adjustRightInd w:val="0"/>
              <w:snapToGrid w:val="0"/>
              <w:spacing w:line="30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要求</w:t>
            </w:r>
          </w:p>
        </w:tc>
        <w:tc>
          <w:tcPr>
            <w:tcW w:w="4736" w:type="dxa"/>
            <w:noWrap w:val="0"/>
            <w:vAlign w:val="center"/>
          </w:tcPr>
          <w:p w14:paraId="4FE3ED71">
            <w:pPr>
              <w:pStyle w:val="90"/>
              <w:wordWrap w:val="0"/>
              <w:adjustRightInd w:val="0"/>
              <w:snapToGrid w:val="0"/>
              <w:spacing w:line="30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持证要求</w:t>
            </w:r>
          </w:p>
        </w:tc>
      </w:tr>
      <w:tr w14:paraId="2421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9" w:hRule="exact"/>
        </w:trPr>
        <w:tc>
          <w:tcPr>
            <w:tcW w:w="1083" w:type="dxa"/>
            <w:noWrap w:val="0"/>
            <w:vAlign w:val="center"/>
          </w:tcPr>
          <w:p w14:paraId="5F9D7C3A">
            <w:pPr>
              <w:pStyle w:val="90"/>
              <w:wordWrap w:val="0"/>
              <w:adjustRightInd w:val="0"/>
              <w:snapToGrid w:val="0"/>
              <w:spacing w:line="360" w:lineRule="exact"/>
              <w:jc w:val="center"/>
              <w:rPr>
                <w:rFonts w:hint="eastAsia" w:asciiTheme="minorEastAsia" w:hAnsiTheme="minorEastAsia" w:eastAsiaTheme="minorEastAsia" w:cstheme="minorEastAsia"/>
                <w:strike/>
                <w:snapToGrid w:val="0"/>
                <w:kern w:val="0"/>
                <w:sz w:val="24"/>
                <w:szCs w:val="24"/>
              </w:rPr>
            </w:pPr>
            <w:r>
              <w:rPr>
                <w:rFonts w:hint="eastAsia" w:asciiTheme="minorEastAsia" w:hAnsiTheme="minorEastAsia" w:eastAsiaTheme="minorEastAsia" w:cstheme="minorEastAsia"/>
                <w:snapToGrid w:val="0"/>
                <w:kern w:val="0"/>
                <w:sz w:val="24"/>
                <w:szCs w:val="24"/>
              </w:rPr>
              <w:t>专业监理工程师</w:t>
            </w:r>
          </w:p>
        </w:tc>
        <w:tc>
          <w:tcPr>
            <w:tcW w:w="2366" w:type="dxa"/>
            <w:noWrap w:val="0"/>
            <w:vAlign w:val="center"/>
          </w:tcPr>
          <w:p w14:paraId="40A4D5B0">
            <w:pPr>
              <w:pStyle w:val="90"/>
              <w:wordWrap w:val="0"/>
              <w:adjustRightInd w:val="0"/>
              <w:snapToGrid w:val="0"/>
              <w:spacing w:line="360" w:lineRule="exact"/>
              <w:jc w:val="center"/>
              <w:rPr>
                <w:rFonts w:hint="eastAsia" w:asciiTheme="minorEastAsia" w:hAnsiTheme="minorEastAsia" w:eastAsiaTheme="minorEastAsia" w:cstheme="minorEastAsia"/>
                <w:strike/>
                <w:snapToGrid w:val="0"/>
                <w:kern w:val="0"/>
                <w:sz w:val="24"/>
                <w:szCs w:val="24"/>
              </w:rPr>
            </w:pPr>
            <w:r>
              <w:rPr>
                <w:rFonts w:hint="eastAsia" w:asciiTheme="minorEastAsia" w:hAnsiTheme="minorEastAsia" w:eastAsiaTheme="minorEastAsia" w:cstheme="minorEastAsia"/>
                <w:snapToGrid w:val="0"/>
                <w:kern w:val="0"/>
                <w:sz w:val="24"/>
                <w:szCs w:val="24"/>
              </w:rPr>
              <w:t>市政公用工程专业</w:t>
            </w:r>
          </w:p>
        </w:tc>
        <w:tc>
          <w:tcPr>
            <w:tcW w:w="875" w:type="dxa"/>
            <w:noWrap w:val="0"/>
            <w:vAlign w:val="center"/>
          </w:tcPr>
          <w:p w14:paraId="474A6A66">
            <w:pPr>
              <w:pStyle w:val="90"/>
              <w:wordWrap w:val="0"/>
              <w:adjustRightInd w:val="0"/>
              <w:snapToGrid w:val="0"/>
              <w:spacing w:line="360" w:lineRule="exact"/>
              <w:jc w:val="center"/>
              <w:rPr>
                <w:rFonts w:hint="eastAsia" w:asciiTheme="minorEastAsia" w:hAnsiTheme="minorEastAsia" w:eastAsiaTheme="minorEastAsia" w:cstheme="minorEastAsia"/>
                <w:strike/>
                <w:snapToGrid w:val="0"/>
                <w:kern w:val="0"/>
                <w:sz w:val="24"/>
                <w:szCs w:val="24"/>
              </w:rPr>
            </w:pPr>
            <w:r>
              <w:rPr>
                <w:rFonts w:hint="eastAsia" w:asciiTheme="minorEastAsia" w:hAnsiTheme="minorEastAsia" w:eastAsiaTheme="minorEastAsia" w:cstheme="minorEastAsia"/>
                <w:snapToGrid w:val="0"/>
                <w:kern w:val="0"/>
                <w:sz w:val="24"/>
                <w:szCs w:val="24"/>
              </w:rPr>
              <w:t>1</w:t>
            </w:r>
          </w:p>
        </w:tc>
        <w:tc>
          <w:tcPr>
            <w:tcW w:w="4736" w:type="dxa"/>
            <w:noWrap w:val="0"/>
            <w:vAlign w:val="center"/>
          </w:tcPr>
          <w:p w14:paraId="54C7BB09">
            <w:pPr>
              <w:pStyle w:val="90"/>
              <w:wordWrap w:val="0"/>
              <w:adjustRightInd w:val="0"/>
              <w:snapToGrid w:val="0"/>
              <w:spacing w:line="360" w:lineRule="exac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符合以下3种情形之一均可：</w:t>
            </w:r>
          </w:p>
          <w:p w14:paraId="0592A5F4">
            <w:pPr>
              <w:pStyle w:val="90"/>
              <w:wordWrap w:val="0"/>
              <w:adjustRightInd w:val="0"/>
              <w:snapToGrid w:val="0"/>
              <w:spacing w:line="360" w:lineRule="exac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1．具备所需专业注册监理工程师执业资格，持有效的注册证书；</w:t>
            </w:r>
          </w:p>
          <w:p w14:paraId="79E4433B">
            <w:pPr>
              <w:pStyle w:val="90"/>
              <w:wordWrap w:val="0"/>
              <w:adjustRightInd w:val="0"/>
              <w:snapToGrid w:val="0"/>
              <w:spacing w:line="360" w:lineRule="exac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2．具备工程类注册执业资格，并经监理业务培训。持有效的注册证书、省级建设行政主管部门或其授权的组织（机构）颁发的岗位证书；</w:t>
            </w:r>
          </w:p>
          <w:p w14:paraId="77DC6A85">
            <w:pPr>
              <w:pStyle w:val="90"/>
              <w:wordWrap w:val="0"/>
              <w:adjustRightInd w:val="0"/>
              <w:snapToGrid w:val="0"/>
              <w:spacing w:line="360" w:lineRule="exac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3．具备中级及以上专业技术职称，并经监理业务培训。持有效的职称证书、省级建设行政主管部门或其授权的组织（机构）颁发的岗位证书。</w:t>
            </w:r>
          </w:p>
          <w:p w14:paraId="44280911">
            <w:pPr>
              <w:pStyle w:val="90"/>
              <w:wordWrap w:val="0"/>
              <w:adjustRightInd w:val="0"/>
              <w:snapToGrid w:val="0"/>
              <w:spacing w:line="360" w:lineRule="exact"/>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注：专业类别以注册证书或专业监理工程师证书或职称证书或毕业证所列明的专业为准。</w:t>
            </w:r>
          </w:p>
        </w:tc>
      </w:tr>
      <w:tr w14:paraId="2E6C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49" w:type="dxa"/>
            <w:gridSpan w:val="2"/>
            <w:noWrap w:val="0"/>
            <w:vAlign w:val="center"/>
          </w:tcPr>
          <w:p w14:paraId="444F3228">
            <w:pPr>
              <w:pStyle w:val="90"/>
              <w:wordWrap w:val="0"/>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合计</w:t>
            </w:r>
          </w:p>
        </w:tc>
        <w:tc>
          <w:tcPr>
            <w:tcW w:w="875" w:type="dxa"/>
            <w:noWrap w:val="0"/>
            <w:vAlign w:val="center"/>
          </w:tcPr>
          <w:p w14:paraId="685D52DC">
            <w:pPr>
              <w:pStyle w:val="90"/>
              <w:wordWrap w:val="0"/>
              <w:adjustRightInd w:val="0"/>
              <w:snapToGrid w:val="0"/>
              <w:spacing w:line="360" w:lineRule="exact"/>
              <w:jc w:val="center"/>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1</w:t>
            </w:r>
          </w:p>
        </w:tc>
        <w:tc>
          <w:tcPr>
            <w:tcW w:w="4736" w:type="dxa"/>
            <w:noWrap w:val="0"/>
            <w:vAlign w:val="center"/>
          </w:tcPr>
          <w:p w14:paraId="02E6504A">
            <w:pPr>
              <w:pStyle w:val="90"/>
              <w:wordWrap w:val="0"/>
              <w:adjustRightInd w:val="0"/>
              <w:snapToGrid w:val="0"/>
              <w:spacing w:line="360" w:lineRule="exact"/>
              <w:rPr>
                <w:rFonts w:hint="eastAsia" w:asciiTheme="minorEastAsia" w:hAnsiTheme="minorEastAsia" w:eastAsiaTheme="minorEastAsia" w:cstheme="minorEastAsia"/>
                <w:snapToGrid w:val="0"/>
                <w:kern w:val="0"/>
                <w:sz w:val="24"/>
                <w:szCs w:val="24"/>
              </w:rPr>
            </w:pPr>
          </w:p>
        </w:tc>
      </w:tr>
    </w:tbl>
    <w:p w14:paraId="3E67B8DA">
      <w:pPr>
        <w:wordWrap w:val="0"/>
        <w:adjustRightInd w:val="0"/>
        <w:snapToGrid w:val="0"/>
        <w:spacing w:line="440" w:lineRule="exact"/>
        <w:ind w:firstLine="480" w:firstLineChars="200"/>
        <w:rPr>
          <w:rFonts w:ascii="Times New Roman"/>
          <w:snapToGrid w:val="0"/>
          <w:color w:val="auto"/>
          <w:kern w:val="0"/>
          <w:highlight w:val="none"/>
        </w:rPr>
      </w:pPr>
      <w:r>
        <w:rPr>
          <w:rFonts w:hint="eastAsia" w:hAnsi="宋体" w:cs="宋体"/>
          <w:color w:val="auto"/>
          <w:kern w:val="0"/>
          <w:szCs w:val="24"/>
          <w:highlight w:val="none"/>
        </w:rPr>
        <w:t>注：</w:t>
      </w:r>
      <w:r>
        <w:rPr>
          <w:rFonts w:hint="eastAsia" w:ascii="宋体" w:hAnsi="宋体" w:eastAsia="宋体" w:cs="宋体"/>
          <w:color w:val="auto"/>
          <w:kern w:val="0"/>
          <w:sz w:val="24"/>
          <w:szCs w:val="24"/>
          <w:highlight w:val="none"/>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highlight w:val="none"/>
        </w:rPr>
      </w:pPr>
    </w:p>
    <w:p w14:paraId="07D9C16A">
      <w:pPr>
        <w:adjustRightInd w:val="0"/>
        <w:snapToGrid w:val="0"/>
        <w:spacing w:line="440" w:lineRule="exact"/>
        <w:ind w:firstLine="480" w:firstLineChars="200"/>
        <w:rPr>
          <w:rFonts w:hAnsi="宋体" w:cs="宋体"/>
          <w:snapToGrid w:val="0"/>
          <w:color w:val="auto"/>
          <w:kern w:val="0"/>
          <w:highlight w:val="none"/>
        </w:rPr>
      </w:pPr>
      <w:r>
        <w:rPr>
          <w:rFonts w:hint="eastAsia" w:hAnsi="宋体" w:cs="宋体"/>
          <w:snapToGrid w:val="0"/>
          <w:color w:val="auto"/>
          <w:kern w:val="0"/>
          <w:highlight w:val="none"/>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15.</w:t>
      </w: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 xml:space="preserve">.2 </w:t>
      </w:r>
      <w:r>
        <w:rPr>
          <w:rFonts w:hint="eastAsia" w:hAnsi="宋体" w:cs="宋体"/>
          <w:snapToGrid w:val="0"/>
          <w:color w:val="auto"/>
          <w:kern w:val="0"/>
          <w:szCs w:val="24"/>
          <w:highlight w:val="none"/>
        </w:rPr>
        <w:t>否决投标说明</w:t>
      </w:r>
    </w:p>
    <w:p w14:paraId="4CADBCAA">
      <w:pPr>
        <w:wordWrap w:val="0"/>
        <w:adjustRightInd w:val="0"/>
        <w:snapToGrid w:val="0"/>
        <w:spacing w:line="360" w:lineRule="auto"/>
        <w:ind w:firstLine="562"/>
        <w:rPr>
          <w:rFonts w:hAnsi="宋体" w:cs="宋体"/>
          <w:snapToGrid w:val="0"/>
          <w:color w:val="auto"/>
          <w:kern w:val="0"/>
          <w:szCs w:val="24"/>
          <w:highlight w:val="none"/>
        </w:rPr>
      </w:pPr>
      <w:r>
        <w:rPr>
          <w:rFonts w:hint="eastAsia" w:hAnsi="宋体" w:cs="宋体"/>
          <w:snapToGrid w:val="0"/>
          <w:color w:val="auto"/>
          <w:kern w:val="0"/>
          <w:szCs w:val="24"/>
          <w:highlight w:val="none"/>
        </w:rPr>
        <w:t>详细评审阶段否决投标的全部条件，在本章第四节“否决投标条件”第</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highlight w:val="none"/>
        </w:rPr>
      </w:pPr>
      <w:r>
        <w:rPr>
          <w:rFonts w:hint="eastAsia" w:hAnsi="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73CA2331">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hAnsi="宋体" w:cs="宋体"/>
          <w:b/>
          <w:snapToGrid w:val="0"/>
          <w:color w:val="auto"/>
          <w:szCs w:val="24"/>
          <w:highlight w:val="none"/>
        </w:rPr>
      </w:pPr>
      <w:bookmarkStart w:id="62" w:name="_Toc23668"/>
      <w:r>
        <w:rPr>
          <w:rFonts w:hint="eastAsia" w:hAnsi="宋体" w:cs="宋体"/>
          <w:b/>
          <w:snapToGrid w:val="0"/>
          <w:color w:val="auto"/>
          <w:szCs w:val="24"/>
          <w:highlight w:val="none"/>
        </w:rPr>
        <w:t>16．推荐中标候选人</w:t>
      </w:r>
      <w:bookmarkEnd w:id="62"/>
    </w:p>
    <w:p w14:paraId="73027949">
      <w:pPr>
        <w:wordWrap w:val="0"/>
        <w:adjustRightInd w:val="0"/>
        <w:snapToGrid w:val="0"/>
        <w:spacing w:line="360" w:lineRule="auto"/>
        <w:ind w:firstLine="482" w:firstLineChars="200"/>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 xml:space="preserve">.1 </w:t>
      </w:r>
      <w:r>
        <w:rPr>
          <w:rFonts w:hint="eastAsia" w:hAnsi="宋体" w:cs="宋体"/>
          <w:b w:val="0"/>
          <w:bCs w:val="0"/>
          <w:snapToGrid w:val="0"/>
          <w:color w:val="auto"/>
          <w:kern w:val="0"/>
          <w:szCs w:val="24"/>
          <w:highlight w:val="none"/>
        </w:rPr>
        <w:t>确定排名</w:t>
      </w:r>
    </w:p>
    <w:p w14:paraId="17101544">
      <w:pPr>
        <w:wordWrap w:val="0"/>
        <w:adjustRightInd w:val="0"/>
        <w:snapToGrid w:val="0"/>
        <w:spacing w:line="360" w:lineRule="auto"/>
        <w:ind w:firstLine="480" w:firstLineChars="200"/>
        <w:outlineLvl w:val="1"/>
        <w:rPr>
          <w:rFonts w:hint="eastAsia" w:hAnsi="宋体" w:cs="宋体"/>
          <w:b w:val="0"/>
          <w:bCs/>
          <w:snapToGrid w:val="0"/>
          <w:color w:val="auto"/>
          <w:kern w:val="0"/>
          <w:szCs w:val="24"/>
          <w:highlight w:val="none"/>
        </w:rPr>
      </w:pPr>
      <w:bookmarkStart w:id="63" w:name="_Toc28775"/>
      <w:bookmarkStart w:id="64" w:name="_Toc10038"/>
      <w:r>
        <w:rPr>
          <w:rFonts w:hint="eastAsia" w:hAnsi="宋体" w:cs="宋体"/>
          <w:b w:val="0"/>
          <w:bCs/>
          <w:snapToGrid w:val="0"/>
          <w:color w:val="auto"/>
          <w:kern w:val="0"/>
          <w:szCs w:val="24"/>
          <w:highlight w:val="none"/>
        </w:rPr>
        <w:t>评标委员会汇总、比较所有投标人的综合得分后，按照综合得分由高到低的次序排列。综合得分相等时，以投标总价低的优先；如果投标总价也相等的，由评标委员会投票确定。</w:t>
      </w:r>
      <w:bookmarkEnd w:id="63"/>
      <w:bookmarkEnd w:id="64"/>
    </w:p>
    <w:p w14:paraId="2DFB7C24">
      <w:pPr>
        <w:wordWrap w:val="0"/>
        <w:adjustRightInd w:val="0"/>
        <w:snapToGrid w:val="0"/>
        <w:spacing w:line="360" w:lineRule="auto"/>
        <w:ind w:firstLine="482" w:firstLineChars="200"/>
        <w:outlineLvl w:val="1"/>
        <w:rPr>
          <w:rFonts w:hint="eastAsia" w:hAnsi="宋体" w:cs="宋体"/>
          <w:b/>
          <w:snapToGrid w:val="0"/>
          <w:color w:val="auto"/>
          <w:kern w:val="0"/>
          <w:szCs w:val="24"/>
          <w:highlight w:val="none"/>
        </w:rPr>
      </w:pPr>
      <w:bookmarkStart w:id="65" w:name="_Toc28841"/>
      <w:bookmarkStart w:id="66" w:name="_Toc4420"/>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6</w:t>
      </w:r>
      <w:r>
        <w:rPr>
          <w:rFonts w:hint="eastAsia" w:hAnsi="宋体" w:cs="宋体"/>
          <w:b/>
          <w:snapToGrid w:val="0"/>
          <w:color w:val="auto"/>
          <w:kern w:val="0"/>
          <w:szCs w:val="24"/>
          <w:highlight w:val="none"/>
        </w:rPr>
        <w:t xml:space="preserve">.2 </w:t>
      </w:r>
      <w:r>
        <w:rPr>
          <w:rFonts w:hint="eastAsia" w:hAnsi="宋体" w:cs="宋体"/>
          <w:b w:val="0"/>
          <w:bCs/>
          <w:snapToGrid w:val="0"/>
          <w:color w:val="auto"/>
          <w:kern w:val="0"/>
          <w:szCs w:val="24"/>
          <w:highlight w:val="none"/>
        </w:rPr>
        <w:t>推荐方法</w:t>
      </w:r>
      <w:bookmarkEnd w:id="65"/>
      <w:bookmarkEnd w:id="66"/>
    </w:p>
    <w:p w14:paraId="51771E02">
      <w:pPr>
        <w:wordWrap w:val="0"/>
        <w:adjustRightInd w:val="0"/>
        <w:snapToGrid w:val="0"/>
        <w:spacing w:line="360" w:lineRule="auto"/>
        <w:ind w:firstLine="480" w:firstLineChars="200"/>
        <w:outlineLvl w:val="1"/>
        <w:rPr>
          <w:rFonts w:hint="eastAsia" w:hAnsi="宋体" w:cs="宋体"/>
          <w:b w:val="0"/>
          <w:bCs/>
          <w:snapToGrid w:val="0"/>
          <w:color w:val="auto"/>
          <w:kern w:val="0"/>
          <w:szCs w:val="24"/>
          <w:highlight w:val="none"/>
        </w:rPr>
      </w:pPr>
      <w:bookmarkStart w:id="67" w:name="_Toc21828"/>
      <w:bookmarkStart w:id="68" w:name="_Toc1434"/>
      <w:r>
        <w:rPr>
          <w:rFonts w:hint="eastAsia" w:hAnsi="宋体" w:cs="宋体"/>
          <w:b w:val="0"/>
          <w:bCs/>
          <w:snapToGrid w:val="0"/>
          <w:color w:val="auto"/>
          <w:kern w:val="0"/>
          <w:szCs w:val="24"/>
          <w:highlight w:val="none"/>
        </w:rPr>
        <w:t>（1）有效投标人数量达到或超过3个的，评标委员会将前三名投标人作为中标候选人向招标人推荐，并标明排列顺序。</w:t>
      </w:r>
      <w:bookmarkEnd w:id="67"/>
      <w:bookmarkEnd w:id="68"/>
    </w:p>
    <w:p w14:paraId="38AE0B13">
      <w:pPr>
        <w:wordWrap w:val="0"/>
        <w:adjustRightInd w:val="0"/>
        <w:snapToGrid w:val="0"/>
        <w:spacing w:line="360" w:lineRule="auto"/>
        <w:ind w:firstLine="480" w:firstLineChars="200"/>
        <w:outlineLvl w:val="1"/>
        <w:rPr>
          <w:rFonts w:hint="eastAsia" w:hAnsi="宋体" w:cs="宋体"/>
          <w:b w:val="0"/>
          <w:bCs/>
          <w:snapToGrid w:val="0"/>
          <w:color w:val="auto"/>
          <w:kern w:val="0"/>
          <w:szCs w:val="24"/>
          <w:highlight w:val="none"/>
        </w:rPr>
      </w:pPr>
      <w:bookmarkStart w:id="69" w:name="_Toc32512"/>
      <w:bookmarkStart w:id="70" w:name="_Toc27202"/>
      <w:r>
        <w:rPr>
          <w:rFonts w:hint="eastAsia" w:hAnsi="宋体" w:cs="宋体"/>
          <w:b w:val="0"/>
          <w:bCs/>
          <w:snapToGrid w:val="0"/>
          <w:color w:val="auto"/>
          <w:kern w:val="0"/>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bookmarkEnd w:id="69"/>
      <w:bookmarkEnd w:id="70"/>
    </w:p>
    <w:p w14:paraId="1E7EFB30">
      <w:pPr>
        <w:wordWrap w:val="0"/>
        <w:adjustRightInd w:val="0"/>
        <w:snapToGrid w:val="0"/>
        <w:spacing w:line="360" w:lineRule="auto"/>
        <w:ind w:firstLine="482" w:firstLineChars="200"/>
        <w:outlineLvl w:val="1"/>
        <w:rPr>
          <w:rFonts w:hint="eastAsia" w:hAnsi="宋体" w:cs="宋体"/>
          <w:b w:val="0"/>
          <w:bCs/>
          <w:snapToGrid w:val="0"/>
          <w:color w:val="auto"/>
          <w:kern w:val="0"/>
          <w:szCs w:val="24"/>
          <w:highlight w:val="none"/>
        </w:rPr>
      </w:pPr>
      <w:bookmarkStart w:id="71" w:name="_Toc1479"/>
      <w:bookmarkStart w:id="72" w:name="_Toc18953"/>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6</w:t>
      </w:r>
      <w:r>
        <w:rPr>
          <w:rFonts w:hint="eastAsia" w:hAnsi="宋体" w:cs="宋体"/>
          <w:b/>
          <w:snapToGrid w:val="0"/>
          <w:color w:val="auto"/>
          <w:kern w:val="0"/>
          <w:szCs w:val="24"/>
          <w:highlight w:val="none"/>
        </w:rPr>
        <w:t xml:space="preserve">.3 </w:t>
      </w:r>
      <w:r>
        <w:rPr>
          <w:rFonts w:hint="eastAsia" w:hAnsi="宋体" w:cs="宋体"/>
          <w:b w:val="0"/>
          <w:bCs/>
          <w:snapToGrid w:val="0"/>
          <w:color w:val="auto"/>
          <w:kern w:val="0"/>
          <w:szCs w:val="24"/>
          <w:highlight w:val="none"/>
        </w:rPr>
        <w:t>评标委员会完成评标后，应向招标人提交由全体评标委员会成员签字的评标报告和中标候选人名单。</w:t>
      </w:r>
      <w:bookmarkEnd w:id="71"/>
      <w:bookmarkEnd w:id="72"/>
    </w:p>
    <w:p w14:paraId="1855C80E">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ascii="宋体" w:hAnsi="宋体" w:eastAsia="宋体" w:cs="宋体"/>
          <w:b/>
          <w:snapToGrid w:val="0"/>
          <w:color w:val="auto"/>
          <w:kern w:val="0"/>
          <w:highlight w:val="none"/>
        </w:rPr>
      </w:pPr>
      <w:bookmarkStart w:id="73" w:name="_Toc22756"/>
      <w:r>
        <w:rPr>
          <w:rFonts w:hint="eastAsia" w:ascii="宋体" w:hAnsi="宋体" w:eastAsia="宋体" w:cs="宋体"/>
          <w:b/>
          <w:snapToGrid w:val="0"/>
          <w:color w:val="auto"/>
          <w:kern w:val="0"/>
          <w:highlight w:val="none"/>
        </w:rPr>
        <w:t>1</w:t>
      </w:r>
      <w:r>
        <w:rPr>
          <w:rFonts w:hint="eastAsia" w:ascii="宋体" w:hAnsi="宋体" w:eastAsia="宋体" w:cs="宋体"/>
          <w:b/>
          <w:snapToGrid w:val="0"/>
          <w:color w:val="auto"/>
          <w:kern w:val="0"/>
          <w:highlight w:val="none"/>
          <w:lang w:val="en-US" w:eastAsia="zh-CN"/>
        </w:rPr>
        <w:t>7</w:t>
      </w:r>
      <w:r>
        <w:rPr>
          <w:rFonts w:hint="eastAsia" w:ascii="宋体" w:hAnsi="宋体" w:eastAsia="宋体" w:cs="宋体"/>
          <w:b/>
          <w:snapToGrid w:val="0"/>
          <w:color w:val="auto"/>
          <w:kern w:val="0"/>
          <w:highlight w:val="none"/>
        </w:rPr>
        <w:t>.中标候选人公示</w:t>
      </w:r>
      <w:bookmarkEnd w:id="73"/>
    </w:p>
    <w:p w14:paraId="49F59228">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b w:val="0"/>
          <w:bCs w:val="0"/>
          <w:snapToGrid w:val="0"/>
          <w:color w:val="auto"/>
          <w:kern w:val="0"/>
          <w:szCs w:val="24"/>
          <w:highlight w:val="none"/>
        </w:rPr>
        <w:t>招标人自收到评标委员会提交的书面评标报告和中标候选人名单之日起3日内，将评标结果（即中标候选人名单）、中标候选人投标文件、评标过程（评标专家姓名用代码标记）一并在广东省招标投标监管网（https://zbtb.gd.gov.cn/#/index）及全国公共资源交易平台（广东省·韶关市）（https://ygp.gdzwfw.gov.cn/ggzy-portal/#/440200/index）进行公示，公示期不得少于3天。</w:t>
      </w:r>
    </w:p>
    <w:p w14:paraId="7BE7EDF1">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 xml:space="preserve">.2 </w:t>
      </w:r>
      <w:r>
        <w:rPr>
          <w:rFonts w:hint="eastAsia" w:hAnsi="宋体" w:cs="宋体"/>
          <w:b w:val="0"/>
          <w:bCs w:val="0"/>
          <w:snapToGrid w:val="0"/>
          <w:color w:val="auto"/>
          <w:kern w:val="0"/>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DC5290B">
      <w:pPr>
        <w:wordWrap w:val="0"/>
        <w:adjustRightInd w:val="0"/>
        <w:snapToGrid w:val="0"/>
        <w:spacing w:line="360" w:lineRule="auto"/>
        <w:ind w:firstLine="482" w:firstLineChars="200"/>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 xml:space="preserve">.3 </w:t>
      </w:r>
      <w:r>
        <w:rPr>
          <w:rFonts w:hint="eastAsia" w:hAnsi="宋体" w:cs="宋体"/>
          <w:b w:val="0"/>
          <w:bCs w:val="0"/>
          <w:snapToGrid w:val="0"/>
          <w:color w:val="auto"/>
          <w:kern w:val="0"/>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58B9D703">
      <w:pPr>
        <w:wordWrap w:val="0"/>
        <w:adjustRightInd w:val="0"/>
        <w:snapToGrid w:val="0"/>
        <w:spacing w:line="360" w:lineRule="auto"/>
        <w:outlineLvl w:val="1"/>
        <w:rPr>
          <w:rFonts w:hint="eastAsia" w:hAnsi="宋体" w:cs="宋体"/>
          <w:b/>
          <w:bCs/>
          <w:snapToGrid w:val="0"/>
          <w:color w:val="auto"/>
          <w:kern w:val="0"/>
          <w:highlight w:val="none"/>
        </w:rPr>
      </w:pPr>
    </w:p>
    <w:p w14:paraId="7A115FAC">
      <w:pPr>
        <w:wordWrap w:val="0"/>
        <w:adjustRightInd w:val="0"/>
        <w:snapToGrid w:val="0"/>
        <w:spacing w:line="360" w:lineRule="auto"/>
        <w:outlineLvl w:val="1"/>
        <w:rPr>
          <w:rFonts w:hint="eastAsia" w:hAnsi="宋体" w:cs="宋体"/>
          <w:b/>
          <w:bCs/>
          <w:snapToGrid w:val="0"/>
          <w:color w:val="auto"/>
          <w:kern w:val="0"/>
          <w:highlight w:val="none"/>
        </w:rPr>
      </w:pPr>
    </w:p>
    <w:p w14:paraId="28E6F404">
      <w:pPr>
        <w:wordWrap w:val="0"/>
        <w:adjustRightInd w:val="0"/>
        <w:snapToGrid w:val="0"/>
        <w:spacing w:line="360" w:lineRule="auto"/>
        <w:outlineLvl w:val="1"/>
        <w:rPr>
          <w:rFonts w:hint="eastAsia" w:hAnsi="宋体" w:cs="宋体"/>
          <w:b/>
          <w:bCs/>
          <w:snapToGrid w:val="0"/>
          <w:color w:val="auto"/>
          <w:kern w:val="0"/>
          <w:highlight w:val="none"/>
        </w:rPr>
      </w:pPr>
    </w:p>
    <w:p w14:paraId="46D21D91">
      <w:pPr>
        <w:wordWrap w:val="0"/>
        <w:adjustRightInd w:val="0"/>
        <w:snapToGrid w:val="0"/>
        <w:spacing w:line="360" w:lineRule="auto"/>
        <w:outlineLvl w:val="1"/>
        <w:rPr>
          <w:rFonts w:hint="eastAsia" w:hAnsi="宋体" w:cs="宋体"/>
          <w:b/>
          <w:bCs/>
          <w:snapToGrid w:val="0"/>
          <w:color w:val="auto"/>
          <w:kern w:val="0"/>
          <w:highlight w:val="none"/>
        </w:rPr>
      </w:pPr>
    </w:p>
    <w:p w14:paraId="3220DAFD">
      <w:pPr>
        <w:wordWrap w:val="0"/>
        <w:adjustRightInd w:val="0"/>
        <w:snapToGrid w:val="0"/>
        <w:spacing w:line="360" w:lineRule="auto"/>
        <w:outlineLvl w:val="1"/>
        <w:rPr>
          <w:rFonts w:hint="eastAsia" w:hAnsi="宋体" w:cs="宋体"/>
          <w:b/>
          <w:bCs/>
          <w:snapToGrid w:val="0"/>
          <w:color w:val="auto"/>
          <w:kern w:val="0"/>
          <w:highlight w:val="none"/>
        </w:rPr>
      </w:pPr>
    </w:p>
    <w:p w14:paraId="5A282C02">
      <w:pPr>
        <w:wordWrap w:val="0"/>
        <w:adjustRightInd w:val="0"/>
        <w:snapToGrid w:val="0"/>
        <w:spacing w:line="360" w:lineRule="auto"/>
        <w:outlineLvl w:val="1"/>
        <w:rPr>
          <w:rFonts w:hint="eastAsia" w:hAnsi="宋体" w:cs="宋体"/>
          <w:b/>
          <w:bCs/>
          <w:snapToGrid w:val="0"/>
          <w:color w:val="auto"/>
          <w:kern w:val="0"/>
          <w:highlight w:val="none"/>
        </w:rPr>
      </w:pPr>
    </w:p>
    <w:p w14:paraId="23869436">
      <w:pPr>
        <w:wordWrap w:val="0"/>
        <w:adjustRightInd w:val="0"/>
        <w:snapToGrid w:val="0"/>
        <w:spacing w:line="360" w:lineRule="auto"/>
        <w:outlineLvl w:val="1"/>
        <w:rPr>
          <w:rFonts w:hint="eastAsia" w:hAnsi="宋体" w:cs="宋体"/>
          <w:b/>
          <w:bCs/>
          <w:snapToGrid w:val="0"/>
          <w:color w:val="auto"/>
          <w:kern w:val="0"/>
          <w:highlight w:val="none"/>
        </w:rPr>
      </w:pPr>
    </w:p>
    <w:p w14:paraId="44FC2F61">
      <w:pPr>
        <w:wordWrap w:val="0"/>
        <w:adjustRightInd w:val="0"/>
        <w:snapToGrid w:val="0"/>
        <w:spacing w:line="360" w:lineRule="auto"/>
        <w:outlineLvl w:val="1"/>
        <w:rPr>
          <w:rFonts w:hint="eastAsia" w:hAnsi="宋体" w:cs="宋体"/>
          <w:b/>
          <w:bCs/>
          <w:snapToGrid w:val="0"/>
          <w:color w:val="auto"/>
          <w:kern w:val="0"/>
          <w:highlight w:val="none"/>
        </w:rPr>
      </w:pPr>
    </w:p>
    <w:p w14:paraId="0500E3C6">
      <w:pPr>
        <w:wordWrap w:val="0"/>
        <w:adjustRightInd w:val="0"/>
        <w:snapToGrid w:val="0"/>
        <w:spacing w:line="360" w:lineRule="auto"/>
        <w:outlineLvl w:val="1"/>
        <w:rPr>
          <w:rFonts w:hint="eastAsia" w:hAnsi="宋体" w:cs="宋体"/>
          <w:b/>
          <w:bCs/>
          <w:snapToGrid w:val="0"/>
          <w:color w:val="auto"/>
          <w:kern w:val="0"/>
          <w:highlight w:val="none"/>
        </w:rPr>
      </w:pPr>
    </w:p>
    <w:p w14:paraId="56AA8BFD">
      <w:pPr>
        <w:pStyle w:val="15"/>
        <w:rPr>
          <w:rFonts w:hint="eastAsia" w:hAnsi="宋体" w:cs="宋体"/>
          <w:b/>
          <w:bCs/>
          <w:snapToGrid w:val="0"/>
          <w:color w:val="auto"/>
          <w:kern w:val="0"/>
          <w:highlight w:val="none"/>
        </w:rPr>
      </w:pPr>
    </w:p>
    <w:p w14:paraId="7C528FA3">
      <w:pPr>
        <w:pStyle w:val="15"/>
        <w:rPr>
          <w:rFonts w:hint="eastAsia" w:hAnsi="宋体" w:cs="宋体"/>
          <w:b/>
          <w:bCs/>
          <w:snapToGrid w:val="0"/>
          <w:color w:val="auto"/>
          <w:kern w:val="0"/>
          <w:highlight w:val="none"/>
        </w:rPr>
      </w:pPr>
    </w:p>
    <w:p w14:paraId="3BC97034">
      <w:pPr>
        <w:pStyle w:val="15"/>
        <w:rPr>
          <w:rFonts w:hint="eastAsia" w:hAnsi="宋体" w:cs="宋体"/>
          <w:b/>
          <w:bCs/>
          <w:snapToGrid w:val="0"/>
          <w:color w:val="auto"/>
          <w:kern w:val="0"/>
          <w:highlight w:val="none"/>
        </w:rPr>
      </w:pPr>
    </w:p>
    <w:p w14:paraId="45D2047F">
      <w:pPr>
        <w:pStyle w:val="15"/>
        <w:rPr>
          <w:rFonts w:hint="eastAsia" w:hAnsi="宋体" w:cs="宋体"/>
          <w:b/>
          <w:bCs/>
          <w:snapToGrid w:val="0"/>
          <w:color w:val="auto"/>
          <w:kern w:val="0"/>
          <w:highlight w:val="none"/>
        </w:rPr>
      </w:pPr>
    </w:p>
    <w:p w14:paraId="31263F58">
      <w:pPr>
        <w:pStyle w:val="15"/>
        <w:rPr>
          <w:rFonts w:hint="eastAsia" w:hAnsi="宋体" w:cs="宋体"/>
          <w:b/>
          <w:bCs/>
          <w:snapToGrid w:val="0"/>
          <w:color w:val="auto"/>
          <w:kern w:val="0"/>
          <w:highlight w:val="none"/>
        </w:rPr>
      </w:pPr>
    </w:p>
    <w:p w14:paraId="2EDF887A">
      <w:pPr>
        <w:pStyle w:val="15"/>
        <w:rPr>
          <w:rFonts w:hint="eastAsia" w:hAnsi="宋体" w:cs="宋体"/>
          <w:b/>
          <w:bCs/>
          <w:snapToGrid w:val="0"/>
          <w:color w:val="auto"/>
          <w:kern w:val="0"/>
          <w:highlight w:val="none"/>
        </w:rPr>
      </w:pPr>
    </w:p>
    <w:p w14:paraId="2886EB6A">
      <w:pPr>
        <w:pStyle w:val="15"/>
        <w:rPr>
          <w:rFonts w:hint="eastAsia" w:hAnsi="宋体" w:cs="宋体"/>
          <w:b/>
          <w:bCs/>
          <w:snapToGrid w:val="0"/>
          <w:color w:val="auto"/>
          <w:kern w:val="0"/>
          <w:highlight w:val="none"/>
        </w:rPr>
      </w:pPr>
    </w:p>
    <w:p w14:paraId="5140B621">
      <w:pPr>
        <w:pStyle w:val="15"/>
        <w:rPr>
          <w:rFonts w:hint="eastAsia" w:hAnsi="宋体" w:cs="宋体"/>
          <w:b/>
          <w:bCs/>
          <w:snapToGrid w:val="0"/>
          <w:color w:val="auto"/>
          <w:kern w:val="0"/>
          <w:highlight w:val="none"/>
        </w:rPr>
      </w:pPr>
    </w:p>
    <w:p w14:paraId="0A38CC43">
      <w:pPr>
        <w:pStyle w:val="15"/>
        <w:rPr>
          <w:rFonts w:hint="eastAsia" w:hAnsi="宋体" w:cs="宋体"/>
          <w:b/>
          <w:bCs/>
          <w:snapToGrid w:val="0"/>
          <w:color w:val="auto"/>
          <w:kern w:val="0"/>
          <w:highlight w:val="none"/>
        </w:rPr>
      </w:pPr>
    </w:p>
    <w:p w14:paraId="6847D163">
      <w:pPr>
        <w:pStyle w:val="15"/>
        <w:rPr>
          <w:rFonts w:hint="eastAsia" w:hAnsi="宋体" w:cs="宋体"/>
          <w:b/>
          <w:bCs/>
          <w:snapToGrid w:val="0"/>
          <w:color w:val="auto"/>
          <w:kern w:val="0"/>
          <w:highlight w:val="none"/>
        </w:rPr>
      </w:pPr>
    </w:p>
    <w:p w14:paraId="3626C809">
      <w:pPr>
        <w:wordWrap w:val="0"/>
        <w:adjustRightInd w:val="0"/>
        <w:snapToGrid w:val="0"/>
        <w:spacing w:line="360" w:lineRule="auto"/>
        <w:outlineLvl w:val="1"/>
        <w:rPr>
          <w:rFonts w:hint="eastAsia" w:hAnsi="宋体" w:cs="宋体"/>
          <w:b/>
          <w:bCs/>
          <w:snapToGrid w:val="0"/>
          <w:color w:val="auto"/>
          <w:kern w:val="0"/>
          <w:highlight w:val="none"/>
        </w:rPr>
      </w:pPr>
    </w:p>
    <w:p w14:paraId="112C15A1">
      <w:pPr>
        <w:wordWrap w:val="0"/>
        <w:adjustRightInd w:val="0"/>
        <w:snapToGrid w:val="0"/>
        <w:spacing w:line="360" w:lineRule="auto"/>
        <w:outlineLvl w:val="1"/>
        <w:rPr>
          <w:rFonts w:hint="eastAsia" w:hAnsi="宋体" w:cs="宋体"/>
          <w:b/>
          <w:bCs/>
          <w:snapToGrid w:val="0"/>
          <w:color w:val="auto"/>
          <w:kern w:val="0"/>
          <w:highlight w:val="none"/>
        </w:rPr>
      </w:pPr>
    </w:p>
    <w:p w14:paraId="3E4D3842">
      <w:pPr>
        <w:wordWrap w:val="0"/>
        <w:adjustRightInd w:val="0"/>
        <w:snapToGrid w:val="0"/>
        <w:spacing w:line="360" w:lineRule="auto"/>
        <w:jc w:val="center"/>
        <w:outlineLvl w:val="1"/>
        <w:rPr>
          <w:rFonts w:hAnsi="宋体" w:cs="宋体"/>
          <w:snapToGrid w:val="0"/>
          <w:color w:val="auto"/>
          <w:kern w:val="0"/>
          <w:highlight w:val="none"/>
        </w:rPr>
      </w:pPr>
      <w:bookmarkStart w:id="74" w:name="_Toc17009"/>
      <w:r>
        <w:rPr>
          <w:rFonts w:hint="eastAsia" w:hAnsi="宋体" w:cs="宋体"/>
          <w:b/>
          <w:bCs/>
          <w:snapToGrid w:val="0"/>
          <w:color w:val="auto"/>
          <w:kern w:val="0"/>
          <w:highlight w:val="none"/>
        </w:rPr>
        <w:t>第四节 否决投标条件</w:t>
      </w:r>
      <w:bookmarkEnd w:id="74"/>
    </w:p>
    <w:p w14:paraId="1217DA6A">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highlight w:val="none"/>
        </w:rPr>
      </w:pPr>
      <w:bookmarkStart w:id="75" w:name="_Toc8541"/>
      <w:r>
        <w:rPr>
          <w:rFonts w:hint="eastAsia" w:hAnsi="宋体" w:cs="宋体"/>
          <w:b/>
          <w:bCs/>
          <w:snapToGrid w:val="0"/>
          <w:color w:val="auto"/>
          <w:kern w:val="0"/>
          <w:highlight w:val="none"/>
        </w:rPr>
        <w:t>1．资格评审环节</w:t>
      </w:r>
      <w:bookmarkEnd w:id="75"/>
    </w:p>
    <w:p w14:paraId="3AA2319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199BFDE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highlight w:val="none"/>
        </w:rPr>
      </w:pPr>
      <w:r>
        <w:rPr>
          <w:rFonts w:hint="eastAsia" w:hAnsi="宋体" w:cs="宋体"/>
          <w:b/>
          <w:bCs/>
          <w:snapToGrid w:val="0"/>
          <w:color w:val="auto"/>
          <w:kern w:val="0"/>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hAnsi="宋体" w:cs="宋体"/>
          <w:b/>
          <w:bCs/>
          <w:snapToGrid w:val="0"/>
          <w:color w:val="auto"/>
          <w:kern w:val="0"/>
          <w:szCs w:val="22"/>
          <w:highlight w:val="none"/>
        </w:rPr>
        <w:t xml:space="preserve">  </w:t>
      </w:r>
    </w:p>
    <w:p w14:paraId="0A6B74E3">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highlight w:val="none"/>
        </w:rPr>
      </w:pPr>
      <w:bookmarkStart w:id="76" w:name="_Toc22542"/>
      <w:r>
        <w:rPr>
          <w:rFonts w:hint="eastAsia" w:hAnsi="宋体" w:cs="宋体"/>
          <w:b/>
          <w:bCs/>
          <w:snapToGrid w:val="0"/>
          <w:color w:val="auto"/>
          <w:kern w:val="0"/>
          <w:highlight w:val="none"/>
        </w:rPr>
        <w:t>2．形式评审环节</w:t>
      </w:r>
      <w:bookmarkEnd w:id="76"/>
    </w:p>
    <w:p w14:paraId="0BEB281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highlight w:val="none"/>
        </w:rPr>
      </w:pPr>
      <w:bookmarkStart w:id="77" w:name="_Toc1804"/>
      <w:r>
        <w:rPr>
          <w:rFonts w:hint="eastAsia" w:hAnsi="宋体" w:cs="宋体"/>
          <w:b/>
          <w:bCs/>
          <w:snapToGrid w:val="0"/>
          <w:color w:val="auto"/>
          <w:kern w:val="0"/>
          <w:highlight w:val="none"/>
        </w:rPr>
        <w:t>3．响应性评审环节</w:t>
      </w:r>
      <w:bookmarkEnd w:id="77"/>
    </w:p>
    <w:p w14:paraId="1D351E7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5BE2B7EB">
      <w:pPr>
        <w:wordWrap w:val="0"/>
        <w:adjustRightInd w:val="0"/>
        <w:snapToGrid w:val="0"/>
        <w:spacing w:line="360" w:lineRule="auto"/>
        <w:ind w:firstLine="480"/>
        <w:outlineLvl w:val="2"/>
        <w:rPr>
          <w:rFonts w:hAnsi="宋体" w:cs="宋体"/>
          <w:b/>
          <w:bCs/>
          <w:snapToGrid w:val="0"/>
          <w:color w:val="auto"/>
          <w:kern w:val="0"/>
          <w:highlight w:val="none"/>
        </w:rPr>
      </w:pPr>
      <w:bookmarkStart w:id="78" w:name="_Toc22668"/>
      <w:r>
        <w:rPr>
          <w:rFonts w:hint="eastAsia" w:hAnsi="宋体" w:cs="宋体"/>
          <w:b/>
          <w:bCs/>
          <w:snapToGrid w:val="0"/>
          <w:color w:val="auto"/>
          <w:kern w:val="0"/>
          <w:highlight w:val="none"/>
        </w:rPr>
        <w:t>4．其他</w:t>
      </w:r>
      <w:bookmarkEnd w:id="78"/>
    </w:p>
    <w:p w14:paraId="33D6B34F">
      <w:pPr>
        <w:wordWrap w:val="0"/>
        <w:adjustRightInd w:val="0"/>
        <w:snapToGrid w:val="0"/>
        <w:spacing w:line="360" w:lineRule="auto"/>
        <w:ind w:firstLine="480"/>
        <w:rPr>
          <w:rFonts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753E11E4">
      <w:pPr>
        <w:pStyle w:val="3"/>
        <w:wordWrap w:val="0"/>
        <w:autoSpaceDE/>
        <w:autoSpaceDN/>
        <w:snapToGrid w:val="0"/>
        <w:spacing w:line="440" w:lineRule="exact"/>
        <w:jc w:val="center"/>
        <w:rPr>
          <w:rFonts w:hAnsi="宋体" w:cs="宋体"/>
          <w:b/>
          <w:snapToGrid w:val="0"/>
          <w:color w:val="auto"/>
          <w:sz w:val="32"/>
          <w:szCs w:val="22"/>
          <w:highlight w:val="none"/>
        </w:rPr>
      </w:pPr>
      <w:bookmarkStart w:id="79" w:name="_Hlt69669771"/>
      <w:bookmarkEnd w:id="79"/>
      <w:bookmarkStart w:id="80" w:name="_Hlt70150994"/>
      <w:bookmarkEnd w:id="80"/>
      <w:bookmarkStart w:id="81" w:name="_Hlt112206772"/>
      <w:bookmarkEnd w:id="81"/>
      <w:bookmarkStart w:id="82" w:name="_Hlt87952408"/>
      <w:bookmarkEnd w:id="82"/>
      <w:bookmarkStart w:id="83" w:name="_Toc401"/>
      <w:bookmarkStart w:id="84" w:name="_Hlt69698741"/>
      <w:bookmarkStart w:id="85" w:name="_Hlt69698722"/>
      <w:bookmarkStart w:id="86" w:name="_Hlt69698769"/>
      <w:r>
        <w:rPr>
          <w:rFonts w:hint="eastAsia" w:hAnsi="宋体" w:cs="宋体"/>
          <w:b/>
          <w:snapToGrid w:val="0"/>
          <w:color w:val="auto"/>
          <w:sz w:val="32"/>
          <w:szCs w:val="22"/>
          <w:highlight w:val="none"/>
        </w:rPr>
        <w:t>第</w:t>
      </w:r>
      <w:bookmarkStart w:id="87" w:name="_Hlt69669171"/>
      <w:bookmarkEnd w:id="87"/>
      <w:r>
        <w:rPr>
          <w:rFonts w:hint="eastAsia" w:hAnsi="宋体" w:cs="宋体"/>
          <w:b/>
          <w:snapToGrid w:val="0"/>
          <w:color w:val="auto"/>
          <w:sz w:val="32"/>
          <w:szCs w:val="22"/>
          <w:highlight w:val="none"/>
        </w:rPr>
        <w:t>二章</w:t>
      </w:r>
      <w:bookmarkStart w:id="88" w:name="_Hlt87793839"/>
      <w:bookmarkEnd w:id="88"/>
      <w:r>
        <w:rPr>
          <w:rFonts w:hint="eastAsia" w:hAnsi="宋体" w:cs="宋体"/>
          <w:b/>
          <w:snapToGrid w:val="0"/>
          <w:color w:val="auto"/>
          <w:sz w:val="32"/>
          <w:szCs w:val="22"/>
          <w:highlight w:val="none"/>
        </w:rPr>
        <w:t xml:space="preserve"> 中标人须知</w:t>
      </w:r>
      <w:bookmarkEnd w:id="83"/>
    </w:p>
    <w:bookmarkEnd w:id="84"/>
    <w:bookmarkEnd w:id="85"/>
    <w:bookmarkEnd w:id="86"/>
    <w:p w14:paraId="38AEC5D6">
      <w:pPr>
        <w:bidi w:val="0"/>
        <w:rPr>
          <w:color w:val="auto"/>
          <w:highlight w:val="none"/>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89" w:name="_Toc15170"/>
      <w:bookmarkStart w:id="90" w:name="_Toc18336"/>
      <w:bookmarkStart w:id="91" w:name="_Toc30174"/>
      <w:bookmarkStart w:id="92" w:name="_Toc8149"/>
      <w:bookmarkStart w:id="93" w:name="_Toc21594"/>
      <w:bookmarkStart w:id="94" w:name="_Toc31521"/>
      <w:bookmarkStart w:id="95" w:name="_Toc17192"/>
      <w:r>
        <w:rPr>
          <w:rFonts w:hint="eastAsia" w:hAnsi="宋体" w:cs="宋体"/>
          <w:b/>
          <w:snapToGrid w:val="0"/>
          <w:color w:val="auto"/>
          <w:kern w:val="0"/>
          <w:szCs w:val="24"/>
          <w:highlight w:val="none"/>
        </w:rPr>
        <w:t>1．中标通知书</w:t>
      </w:r>
      <w:bookmarkEnd w:id="89"/>
      <w:bookmarkEnd w:id="90"/>
      <w:bookmarkEnd w:id="91"/>
      <w:bookmarkEnd w:id="92"/>
      <w:bookmarkEnd w:id="93"/>
      <w:bookmarkEnd w:id="94"/>
      <w:bookmarkEnd w:id="95"/>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96" w:name="_Toc23133"/>
      <w:bookmarkStart w:id="97" w:name="_Toc17251"/>
      <w:bookmarkStart w:id="98" w:name="_Toc10931"/>
      <w:bookmarkStart w:id="99" w:name="_Toc30560"/>
      <w:bookmarkStart w:id="100" w:name="_Toc1519"/>
      <w:bookmarkStart w:id="101" w:name="_Toc28601"/>
      <w:bookmarkStart w:id="102" w:name="_Toc18659"/>
      <w:r>
        <w:rPr>
          <w:rFonts w:hint="eastAsia" w:hAnsi="宋体" w:cs="宋体"/>
          <w:b/>
          <w:bCs/>
          <w:snapToGrid w:val="0"/>
          <w:color w:val="auto"/>
          <w:kern w:val="0"/>
          <w:szCs w:val="24"/>
          <w:highlight w:val="none"/>
        </w:rPr>
        <w:t>2．中标结果公示</w:t>
      </w:r>
      <w:bookmarkEnd w:id="96"/>
      <w:bookmarkEnd w:id="97"/>
      <w:bookmarkEnd w:id="98"/>
      <w:bookmarkEnd w:id="99"/>
      <w:bookmarkEnd w:id="100"/>
      <w:bookmarkEnd w:id="101"/>
      <w:bookmarkEnd w:id="102"/>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103" w:name="_Toc23475"/>
      <w:bookmarkStart w:id="104" w:name="_Toc16211"/>
      <w:bookmarkStart w:id="105" w:name="_Toc22628"/>
      <w:bookmarkStart w:id="106" w:name="_Toc20923"/>
      <w:bookmarkStart w:id="107" w:name="_Toc25367"/>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rPr>
      </w:pPr>
      <w:bookmarkStart w:id="108" w:name="_Toc5857"/>
      <w:bookmarkStart w:id="109" w:name="_Toc32445"/>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．履约保证</w:t>
      </w:r>
      <w:bookmarkEnd w:id="108"/>
      <w:bookmarkEnd w:id="109"/>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lang w:val="en-US" w:eastAsia="zh-CN"/>
        </w:rPr>
      </w:pPr>
      <w:bookmarkStart w:id="110" w:name="_Toc4933"/>
      <w:bookmarkStart w:id="111" w:name="_Toc5474"/>
      <w:r>
        <w:rPr>
          <w:rFonts w:hint="eastAsia" w:hAnsi="宋体" w:cs="宋体"/>
          <w:b/>
          <w:bCs/>
          <w:snapToGrid w:val="0"/>
          <w:color w:val="auto"/>
          <w:kern w:val="0"/>
          <w:szCs w:val="24"/>
          <w:highlight w:val="none"/>
          <w:lang w:val="en-US" w:eastAsia="zh-CN"/>
        </w:rPr>
        <w:t>4.合同订立</w:t>
      </w:r>
      <w:bookmarkEnd w:id="103"/>
      <w:bookmarkEnd w:id="104"/>
      <w:bookmarkEnd w:id="105"/>
      <w:bookmarkEnd w:id="106"/>
      <w:bookmarkEnd w:id="107"/>
      <w:bookmarkEnd w:id="110"/>
      <w:bookmarkEnd w:id="111"/>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招标人应当自中标通知书发出之日起</w:t>
      </w:r>
      <w:r>
        <w:rPr>
          <w:rFonts w:hint="eastAsia" w:hAnsi="宋体" w:cs="宋体"/>
          <w:snapToGrid w:val="0"/>
          <w:color w:val="auto"/>
          <w:kern w:val="0"/>
          <w:szCs w:val="24"/>
          <w:highlight w:val="none"/>
          <w:u w:val="single"/>
        </w:rPr>
        <w:t xml:space="preserve"> 30 </w:t>
      </w:r>
      <w:r>
        <w:rPr>
          <w:rFonts w:hint="eastAsia" w:hAnsi="宋体" w:cs="宋体"/>
          <w:snapToGrid w:val="0"/>
          <w:color w:val="auto"/>
          <w:kern w:val="0"/>
          <w:szCs w:val="24"/>
          <w:highlight w:val="none"/>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.3</w:t>
      </w:r>
      <w:r>
        <w:rPr>
          <w:rFonts w:hint="eastAsia" w:hAnsi="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2" w:name="_Toc1819"/>
      <w:bookmarkStart w:id="113" w:name="_Toc11598"/>
      <w:bookmarkStart w:id="114" w:name="_Toc6741"/>
      <w:bookmarkStart w:id="115" w:name="_Toc13450"/>
      <w:bookmarkStart w:id="116" w:name="_Toc25887"/>
      <w:bookmarkStart w:id="117" w:name="_Toc3858"/>
      <w:bookmarkStart w:id="118" w:name="_Toc7981"/>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．放弃中标的处理</w:t>
      </w:r>
      <w:bookmarkEnd w:id="112"/>
      <w:bookmarkEnd w:id="113"/>
      <w:bookmarkEnd w:id="114"/>
      <w:bookmarkEnd w:id="115"/>
      <w:bookmarkEnd w:id="116"/>
      <w:bookmarkEnd w:id="117"/>
      <w:bookmarkEnd w:id="118"/>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9" w:name="_Toc8282"/>
      <w:bookmarkStart w:id="120" w:name="_Toc1831"/>
      <w:bookmarkStart w:id="121" w:name="_Toc15893"/>
      <w:bookmarkStart w:id="122" w:name="_Toc26352"/>
      <w:bookmarkStart w:id="123" w:name="_Toc17549"/>
      <w:bookmarkStart w:id="124" w:name="_Toc7088"/>
      <w:bookmarkStart w:id="125" w:name="_Toc500"/>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．分包</w:t>
      </w:r>
      <w:bookmarkEnd w:id="119"/>
      <w:bookmarkEnd w:id="120"/>
      <w:bookmarkEnd w:id="121"/>
      <w:bookmarkEnd w:id="122"/>
      <w:bookmarkEnd w:id="123"/>
      <w:bookmarkEnd w:id="124"/>
      <w:bookmarkEnd w:id="125"/>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26" w:name="_Toc19761"/>
      <w:bookmarkStart w:id="127" w:name="_Toc2527"/>
      <w:bookmarkStart w:id="128" w:name="_Toc6953"/>
      <w:bookmarkStart w:id="129" w:name="_Toc25358"/>
      <w:bookmarkStart w:id="130" w:name="_Toc17560"/>
      <w:bookmarkStart w:id="131" w:name="_Toc18249"/>
      <w:bookmarkStart w:id="132" w:name="_Toc25800"/>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．监理服务期限</w:t>
      </w:r>
      <w:bookmarkEnd w:id="126"/>
      <w:bookmarkEnd w:id="127"/>
      <w:bookmarkEnd w:id="128"/>
      <w:bookmarkEnd w:id="129"/>
      <w:bookmarkEnd w:id="130"/>
      <w:bookmarkEnd w:id="131"/>
      <w:bookmarkEnd w:id="132"/>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33" w:name="_Toc23108"/>
      <w:bookmarkStart w:id="134" w:name="_Toc31907"/>
      <w:bookmarkStart w:id="135" w:name="_Toc25479"/>
      <w:bookmarkStart w:id="136" w:name="_Toc13195"/>
      <w:bookmarkStart w:id="137" w:name="_Toc6532"/>
      <w:bookmarkStart w:id="138" w:name="_Toc17664"/>
      <w:bookmarkStart w:id="139" w:name="_Toc13950"/>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．项目监理机构</w:t>
      </w:r>
      <w:bookmarkEnd w:id="133"/>
      <w:bookmarkEnd w:id="134"/>
      <w:bookmarkEnd w:id="135"/>
      <w:bookmarkEnd w:id="136"/>
      <w:bookmarkEnd w:id="137"/>
      <w:bookmarkEnd w:id="138"/>
      <w:bookmarkEnd w:id="139"/>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0" w:name="_Toc27412"/>
      <w:bookmarkStart w:id="141" w:name="_Toc15281"/>
      <w:bookmarkStart w:id="142" w:name="_Toc19789"/>
      <w:bookmarkStart w:id="143" w:name="_Toc20861"/>
      <w:bookmarkStart w:id="144" w:name="_Toc6056"/>
      <w:bookmarkStart w:id="145" w:name="_Toc23097"/>
      <w:bookmarkStart w:id="146" w:name="_Toc20449"/>
      <w:r>
        <w:rPr>
          <w:rFonts w:hint="eastAsia" w:hAnsi="宋体" w:cs="宋体"/>
          <w:b/>
          <w:snapToGrid w:val="0"/>
          <w:color w:val="auto"/>
          <w:kern w:val="0"/>
          <w:szCs w:val="24"/>
          <w:highlight w:val="none"/>
          <w:lang w:val="en-US" w:eastAsia="zh-CN"/>
        </w:rPr>
        <w:t>9</w:t>
      </w:r>
      <w:r>
        <w:rPr>
          <w:rFonts w:hint="eastAsia" w:hAnsi="宋体" w:cs="宋体"/>
          <w:b/>
          <w:snapToGrid w:val="0"/>
          <w:color w:val="auto"/>
          <w:kern w:val="0"/>
          <w:szCs w:val="24"/>
          <w:highlight w:val="none"/>
        </w:rPr>
        <w:t>．安全防护</w:t>
      </w:r>
      <w:bookmarkEnd w:id="140"/>
      <w:bookmarkEnd w:id="141"/>
      <w:bookmarkEnd w:id="142"/>
      <w:bookmarkEnd w:id="143"/>
      <w:bookmarkEnd w:id="144"/>
      <w:bookmarkEnd w:id="145"/>
      <w:bookmarkEnd w:id="146"/>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7" w:name="_Toc13413"/>
      <w:bookmarkStart w:id="148" w:name="_Toc17881"/>
      <w:bookmarkStart w:id="149" w:name="_Toc27428"/>
      <w:bookmarkStart w:id="150" w:name="_Toc1181"/>
      <w:bookmarkStart w:id="151" w:name="_Toc9618"/>
      <w:bookmarkStart w:id="152" w:name="_Toc2694"/>
      <w:bookmarkStart w:id="153" w:name="_Toc16174"/>
      <w:r>
        <w:rPr>
          <w:rFonts w:hint="eastAsia" w:hAnsi="宋体" w:cs="宋体"/>
          <w:b/>
          <w:snapToGrid w:val="0"/>
          <w:color w:val="auto"/>
          <w:kern w:val="0"/>
          <w:szCs w:val="24"/>
          <w:highlight w:val="none"/>
          <w:lang w:val="en-US" w:eastAsia="zh-CN"/>
        </w:rPr>
        <w:t>10</w:t>
      </w:r>
      <w:r>
        <w:rPr>
          <w:rFonts w:hint="eastAsia" w:hAnsi="宋体" w:cs="宋体"/>
          <w:b/>
          <w:snapToGrid w:val="0"/>
          <w:color w:val="auto"/>
          <w:kern w:val="0"/>
          <w:szCs w:val="24"/>
          <w:highlight w:val="none"/>
        </w:rPr>
        <w:t>．接受监督</w:t>
      </w:r>
      <w:bookmarkEnd w:id="147"/>
      <w:bookmarkEnd w:id="148"/>
      <w:bookmarkEnd w:id="149"/>
      <w:bookmarkEnd w:id="150"/>
      <w:bookmarkEnd w:id="151"/>
      <w:bookmarkEnd w:id="152"/>
      <w:bookmarkEnd w:id="153"/>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highlight w:val="none"/>
        </w:rPr>
      </w:pPr>
      <w:r>
        <w:rPr>
          <w:rFonts w:hint="eastAsia" w:hAnsi="宋体" w:cs="宋体"/>
          <w:snapToGrid w:val="0"/>
          <w:color w:val="auto"/>
          <w:kern w:val="0"/>
          <w:szCs w:val="24"/>
          <w:highlight w:val="none"/>
        </w:rPr>
        <w:t>监理人应严格按照法律、法规以及</w:t>
      </w:r>
      <w:r>
        <w:rPr>
          <w:rFonts w:hint="eastAsia" w:hAnsi="宋体" w:cs="宋体"/>
          <w:bCs/>
          <w:snapToGrid w:val="0"/>
          <w:color w:val="auto"/>
          <w:kern w:val="0"/>
          <w:szCs w:val="24"/>
          <w:highlight w:val="none"/>
        </w:rPr>
        <w:t>《建设工程监理规范》（GB/T 50319—2013）有关规定实施监理，同时须</w:t>
      </w:r>
      <w:r>
        <w:rPr>
          <w:rFonts w:hint="eastAsia" w:hAnsi="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highlight w:val="none"/>
        </w:rPr>
      </w:pPr>
      <w:bookmarkStart w:id="154" w:name="_Toc24102"/>
      <w:bookmarkStart w:id="155" w:name="_Toc25424"/>
      <w:bookmarkStart w:id="156" w:name="_Toc14327"/>
      <w:bookmarkStart w:id="157" w:name="_Toc26662"/>
      <w:bookmarkStart w:id="158" w:name="_Toc18397"/>
      <w:bookmarkStart w:id="159" w:name="_Toc5818"/>
      <w:bookmarkStart w:id="160" w:name="_Toc4730"/>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1</w:t>
      </w:r>
      <w:r>
        <w:rPr>
          <w:rFonts w:hint="eastAsia" w:hAnsi="宋体" w:cs="宋体"/>
          <w:b/>
          <w:snapToGrid w:val="0"/>
          <w:color w:val="auto"/>
          <w:kern w:val="0"/>
          <w:szCs w:val="24"/>
          <w:highlight w:val="none"/>
        </w:rPr>
        <w:t>．监理档案移交</w:t>
      </w:r>
      <w:bookmarkEnd w:id="154"/>
      <w:bookmarkEnd w:id="155"/>
      <w:bookmarkEnd w:id="156"/>
      <w:bookmarkEnd w:id="157"/>
      <w:bookmarkEnd w:id="158"/>
      <w:bookmarkEnd w:id="159"/>
      <w:bookmarkEnd w:id="160"/>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项目竣工验收后，监理人应向委托人提交一式</w:t>
      </w:r>
      <w:r>
        <w:rPr>
          <w:rFonts w:hint="eastAsia" w:hAnsi="宋体" w:cs="宋体"/>
          <w:bCs/>
          <w:snapToGrid w:val="0"/>
          <w:color w:val="auto"/>
          <w:kern w:val="0"/>
          <w:szCs w:val="24"/>
          <w:highlight w:val="none"/>
          <w:u w:val="single"/>
        </w:rPr>
        <w:t xml:space="preserve"> 五 </w:t>
      </w:r>
      <w:r>
        <w:rPr>
          <w:rFonts w:hint="eastAsia" w:hAnsi="宋体" w:cs="宋体"/>
          <w:bCs/>
          <w:snapToGrid w:val="0"/>
          <w:color w:val="auto"/>
          <w:kern w:val="0"/>
          <w:szCs w:val="24"/>
          <w:highlight w:val="none"/>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highlight w:val="none"/>
        </w:rPr>
      </w:pPr>
      <w:bookmarkStart w:id="161" w:name="_Toc2540"/>
      <w:bookmarkStart w:id="162" w:name="_Toc24329"/>
      <w:bookmarkStart w:id="163" w:name="_Toc16612"/>
      <w:bookmarkStart w:id="164" w:name="_Toc6629"/>
      <w:bookmarkStart w:id="165" w:name="_Toc29177"/>
      <w:bookmarkStart w:id="166" w:name="_Toc19314"/>
      <w:bookmarkStart w:id="167" w:name="_Toc13197"/>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2</w:t>
      </w:r>
      <w:r>
        <w:rPr>
          <w:rFonts w:hint="eastAsia" w:hAnsi="宋体" w:cs="宋体"/>
          <w:b/>
          <w:snapToGrid w:val="0"/>
          <w:color w:val="auto"/>
          <w:kern w:val="0"/>
          <w:szCs w:val="24"/>
          <w:highlight w:val="none"/>
        </w:rPr>
        <w:t>．不良行为处理</w:t>
      </w:r>
      <w:bookmarkEnd w:id="161"/>
      <w:bookmarkEnd w:id="162"/>
      <w:bookmarkEnd w:id="163"/>
      <w:bookmarkEnd w:id="164"/>
      <w:bookmarkEnd w:id="165"/>
      <w:bookmarkEnd w:id="166"/>
      <w:bookmarkEnd w:id="167"/>
    </w:p>
    <w:p w14:paraId="04C55AB1">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监理人及其有关人员有下列行为之一的，委托人应及时报请建设行政主管部门查处。</w:t>
      </w:r>
    </w:p>
    <w:p w14:paraId="004FF11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（1）转让监理业务的；</w:t>
      </w:r>
    </w:p>
    <w:p w14:paraId="3812AF6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4A3AB02B">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（3）与建设单位、施工单位串通，签认虚假工程量或工程造价的；</w:t>
      </w:r>
    </w:p>
    <w:p w14:paraId="232AE11F">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（4）现场监理不到位的；</w:t>
      </w:r>
    </w:p>
    <w:p w14:paraId="4D39599F">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（5）非本人资格证书注册单位从事监理工作的；</w:t>
      </w:r>
    </w:p>
    <w:p w14:paraId="6B6840EA">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（6）总监理工程师承担超过三项工程监理任务的；</w:t>
      </w:r>
    </w:p>
    <w:p w14:paraId="0F7A5E7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（7）违反有关法律、法规、规章规定的其它行为。</w:t>
      </w:r>
    </w:p>
    <w:p w14:paraId="3D1008B4">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highlight w:val="none"/>
        </w:rPr>
      </w:pPr>
      <w:bookmarkStart w:id="168" w:name="_Toc2784"/>
      <w:bookmarkStart w:id="169" w:name="_Toc25306"/>
      <w:bookmarkStart w:id="170" w:name="_Toc17537"/>
      <w:bookmarkStart w:id="171" w:name="_Toc15431"/>
      <w:bookmarkStart w:id="172" w:name="_Toc28837"/>
      <w:bookmarkStart w:id="173" w:name="_Toc29467"/>
      <w:bookmarkStart w:id="174" w:name="_Toc15923"/>
      <w:r>
        <w:rPr>
          <w:rFonts w:hint="eastAsia" w:ascii="宋体" w:hAnsi="宋体" w:cs="宋体"/>
          <w:b/>
          <w:bCs/>
          <w:snapToGrid w:val="0"/>
          <w:color w:val="auto"/>
          <w:kern w:val="0"/>
          <w:szCs w:val="24"/>
          <w:highlight w:val="none"/>
        </w:rPr>
        <w:t>1</w:t>
      </w:r>
      <w:r>
        <w:rPr>
          <w:rFonts w:hint="eastAsia" w:ascii="宋体" w:hAnsi="宋体" w:cs="宋体"/>
          <w:b/>
          <w:bCs/>
          <w:snapToGrid w:val="0"/>
          <w:color w:val="auto"/>
          <w:kern w:val="0"/>
          <w:szCs w:val="24"/>
          <w:highlight w:val="none"/>
          <w:lang w:val="en-US" w:eastAsia="zh-CN"/>
        </w:rPr>
        <w:t>3</w:t>
      </w:r>
      <w:r>
        <w:rPr>
          <w:rFonts w:hint="eastAsia" w:ascii="宋体" w:hAnsi="宋体" w:cs="宋体"/>
          <w:b/>
          <w:snapToGrid w:val="0"/>
          <w:color w:val="auto"/>
          <w:kern w:val="0"/>
          <w:szCs w:val="24"/>
          <w:highlight w:val="none"/>
        </w:rPr>
        <w:t>．</w:t>
      </w:r>
      <w:r>
        <w:rPr>
          <w:rFonts w:hint="eastAsia" w:ascii="宋体" w:hAnsi="宋体" w:cs="宋体"/>
          <w:b/>
          <w:bCs/>
          <w:snapToGrid w:val="0"/>
          <w:color w:val="auto"/>
          <w:kern w:val="0"/>
          <w:szCs w:val="24"/>
          <w:highlight w:val="none"/>
        </w:rPr>
        <w:t>信用评价条款内容</w:t>
      </w:r>
      <w:bookmarkEnd w:id="168"/>
      <w:bookmarkEnd w:id="169"/>
      <w:bookmarkEnd w:id="170"/>
      <w:bookmarkEnd w:id="171"/>
      <w:bookmarkEnd w:id="172"/>
      <w:bookmarkEnd w:id="173"/>
      <w:bookmarkEnd w:id="174"/>
    </w:p>
    <w:p w14:paraId="418B847A">
      <w:pPr>
        <w:pStyle w:val="84"/>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4"/>
        <w:wordWrap w:val="0"/>
        <w:adjustRightInd w:val="0"/>
        <w:snapToGrid w:val="0"/>
        <w:spacing w:line="440" w:lineRule="exact"/>
        <w:ind w:firstLine="560"/>
        <w:rPr>
          <w:rFonts w:hAnsi="宋体" w:cs="宋体"/>
          <w:b/>
          <w:bCs/>
          <w:snapToGrid w:val="0"/>
          <w:color w:val="auto"/>
          <w:kern w:val="0"/>
          <w:highlight w:val="none"/>
        </w:rPr>
      </w:pPr>
    </w:p>
    <w:p w14:paraId="6E146C71">
      <w:pPr>
        <w:pStyle w:val="84"/>
        <w:wordWrap w:val="0"/>
        <w:adjustRightInd w:val="0"/>
        <w:snapToGrid w:val="0"/>
        <w:spacing w:line="440" w:lineRule="exact"/>
        <w:ind w:firstLine="560"/>
        <w:rPr>
          <w:rFonts w:hAnsi="宋体" w:cs="宋体"/>
          <w:b/>
          <w:bCs/>
          <w:snapToGrid w:val="0"/>
          <w:color w:val="auto"/>
          <w:kern w:val="0"/>
          <w:highlight w:val="none"/>
        </w:rPr>
      </w:pPr>
    </w:p>
    <w:p w14:paraId="40581986">
      <w:pPr>
        <w:pStyle w:val="84"/>
        <w:wordWrap w:val="0"/>
        <w:adjustRightInd w:val="0"/>
        <w:snapToGrid w:val="0"/>
        <w:spacing w:line="440" w:lineRule="exact"/>
        <w:ind w:firstLine="560"/>
        <w:rPr>
          <w:rFonts w:hAnsi="宋体" w:cs="宋体"/>
          <w:b/>
          <w:bCs/>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4B26AC6B">
      <w:pPr>
        <w:pStyle w:val="3"/>
        <w:wordWrap w:val="0"/>
        <w:autoSpaceDE/>
        <w:autoSpaceDN/>
        <w:snapToGrid w:val="0"/>
        <w:spacing w:line="500" w:lineRule="exact"/>
        <w:jc w:val="center"/>
        <w:outlineLvl w:val="0"/>
        <w:rPr>
          <w:rFonts w:hAnsi="宋体" w:cs="宋体"/>
          <w:b/>
          <w:snapToGrid w:val="0"/>
          <w:color w:val="auto"/>
          <w:sz w:val="32"/>
          <w:szCs w:val="32"/>
          <w:highlight w:val="none"/>
        </w:rPr>
      </w:pPr>
      <w:bookmarkStart w:id="175" w:name="_Toc29099"/>
      <w:bookmarkStart w:id="176" w:name="_Toc16840"/>
      <w:bookmarkStart w:id="177" w:name="_Hlt69698713"/>
      <w:bookmarkStart w:id="178" w:name="_Hlt69698765"/>
      <w:bookmarkStart w:id="179" w:name="_Hlt69698776"/>
      <w:r>
        <w:rPr>
          <w:rFonts w:hint="eastAsia" w:hAnsi="宋体" w:cs="宋体"/>
          <w:b/>
          <w:snapToGrid w:val="0"/>
          <w:color w:val="auto"/>
          <w:sz w:val="32"/>
          <w:szCs w:val="32"/>
          <w:highlight w:val="none"/>
        </w:rPr>
        <w:t>第三章</w:t>
      </w:r>
      <w:bookmarkStart w:id="180" w:name="_Hlt87793831"/>
      <w:bookmarkEnd w:id="180"/>
      <w:r>
        <w:rPr>
          <w:rFonts w:hint="eastAsia" w:hAnsi="宋体" w:cs="宋体"/>
          <w:b/>
          <w:snapToGrid w:val="0"/>
          <w:color w:val="auto"/>
          <w:sz w:val="32"/>
          <w:szCs w:val="32"/>
          <w:highlight w:val="none"/>
        </w:rPr>
        <w:t xml:space="preserve"> 拟签订合同的主要条款</w:t>
      </w:r>
      <w:bookmarkEnd w:id="175"/>
      <w:bookmarkEnd w:id="176"/>
    </w:p>
    <w:bookmarkEnd w:id="177"/>
    <w:bookmarkEnd w:id="178"/>
    <w:p w14:paraId="6A4F7FF4">
      <w:pPr>
        <w:bidi w:val="0"/>
        <w:rPr>
          <w:color w:val="auto"/>
          <w:highlight w:val="none"/>
        </w:rPr>
      </w:pPr>
      <w:bookmarkStart w:id="181" w:name="_Toc326916629"/>
      <w:bookmarkStart w:id="182" w:name="_Toc322793288"/>
    </w:p>
    <w:bookmarkEnd w:id="181"/>
    <w:bookmarkEnd w:id="182"/>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83" w:name="_Toc3741"/>
      <w:bookmarkStart w:id="184" w:name="_Toc12203"/>
      <w:bookmarkStart w:id="185" w:name="_Toc1947"/>
      <w:bookmarkStart w:id="186" w:name="_Toc4588"/>
      <w:bookmarkStart w:id="187" w:name="_Toc9210"/>
      <w:bookmarkStart w:id="188" w:name="_Toc11616"/>
      <w:bookmarkStart w:id="189" w:name="_Toc6392"/>
      <w:r>
        <w:rPr>
          <w:rFonts w:hint="eastAsia" w:hAnsi="宋体" w:cs="宋体"/>
          <w:b/>
          <w:bCs/>
          <w:snapToGrid w:val="0"/>
          <w:color w:val="auto"/>
          <w:kern w:val="0"/>
          <w:szCs w:val="24"/>
          <w:highlight w:val="none"/>
        </w:rPr>
        <w:t>1．现场办公条件</w:t>
      </w:r>
      <w:bookmarkEnd w:id="183"/>
      <w:bookmarkEnd w:id="184"/>
      <w:bookmarkEnd w:id="185"/>
      <w:bookmarkEnd w:id="186"/>
      <w:bookmarkEnd w:id="187"/>
      <w:bookmarkEnd w:id="188"/>
      <w:bookmarkEnd w:id="189"/>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1.1</w:t>
      </w:r>
      <w:r>
        <w:rPr>
          <w:rFonts w:hint="eastAsia" w:hAnsi="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1.2</w:t>
      </w:r>
      <w:r>
        <w:rPr>
          <w:rFonts w:hint="eastAsia" w:hAnsi="宋体" w:cs="宋体"/>
          <w:snapToGrid w:val="0"/>
          <w:color w:val="auto"/>
          <w:kern w:val="0"/>
          <w:szCs w:val="24"/>
          <w:highlight w:val="none"/>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w:t>
      </w:r>
      <w:r>
        <w:rPr>
          <w:rFonts w:hint="eastAsia" w:hAnsi="宋体" w:cs="宋体"/>
          <w:snapToGrid w:val="0"/>
          <w:color w:val="auto"/>
          <w:kern w:val="0"/>
          <w:szCs w:val="24"/>
          <w:highlight w:val="none"/>
          <w:u w:val="single"/>
        </w:rPr>
        <w:t xml:space="preserve"> 打卡 / 指纹识别 / 人脸识别 / 虹膜识别 </w:t>
      </w:r>
      <w:r>
        <w:rPr>
          <w:rFonts w:hint="eastAsia" w:hAnsi="宋体" w:cs="宋体"/>
          <w:snapToGrid w:val="0"/>
          <w:color w:val="auto"/>
          <w:kern w:val="0"/>
          <w:szCs w:val="24"/>
          <w:highlight w:val="none"/>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90" w:name="_Toc15844"/>
      <w:bookmarkStart w:id="191" w:name="_Toc29914"/>
      <w:bookmarkStart w:id="192" w:name="_Toc14419"/>
      <w:bookmarkStart w:id="193" w:name="_Toc6311"/>
      <w:bookmarkStart w:id="194" w:name="_Toc8261"/>
      <w:bookmarkStart w:id="195" w:name="_Toc1375"/>
      <w:bookmarkStart w:id="196" w:name="_Toc6193"/>
      <w:r>
        <w:rPr>
          <w:rFonts w:hint="eastAsia" w:hAnsi="宋体" w:cs="宋体"/>
          <w:b/>
          <w:bCs/>
          <w:snapToGrid w:val="0"/>
          <w:color w:val="auto"/>
          <w:kern w:val="0"/>
          <w:szCs w:val="24"/>
          <w:highlight w:val="none"/>
        </w:rPr>
        <w:t>2．</w:t>
      </w:r>
      <w:bookmarkEnd w:id="190"/>
      <w:bookmarkEnd w:id="191"/>
      <w:bookmarkEnd w:id="192"/>
      <w:bookmarkEnd w:id="193"/>
      <w:bookmarkEnd w:id="194"/>
      <w:r>
        <w:rPr>
          <w:rFonts w:hint="eastAsia" w:hAnsi="宋体" w:cs="宋体"/>
          <w:b/>
          <w:bCs/>
          <w:snapToGrid w:val="0"/>
          <w:color w:val="auto"/>
          <w:kern w:val="0"/>
          <w:szCs w:val="24"/>
          <w:highlight w:val="none"/>
        </w:rPr>
        <w:t>监理服务费</w:t>
      </w:r>
      <w:bookmarkEnd w:id="195"/>
      <w:bookmarkEnd w:id="196"/>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2.1</w:t>
      </w:r>
      <w:r>
        <w:rPr>
          <w:rFonts w:hint="eastAsia" w:hAnsi="宋体" w:cs="宋体"/>
          <w:snapToGrid w:val="0"/>
          <w:color w:val="auto"/>
          <w:kern w:val="0"/>
          <w:szCs w:val="24"/>
          <w:highlight w:val="none"/>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2.2 监理服务费结算原则：</w:t>
      </w:r>
    </w:p>
    <w:p w14:paraId="7622FDA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bookmarkStart w:id="197" w:name="_Toc31653"/>
      <w:bookmarkStart w:id="198" w:name="_Toc6502"/>
      <w:bookmarkStart w:id="199" w:name="_Toc31657"/>
      <w:bookmarkStart w:id="200" w:name="_Toc17740"/>
      <w:bookmarkStart w:id="201" w:name="_Toc18979"/>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lang w:eastAsia="zh-CN"/>
        </w:rPr>
        <w:t>）</w:t>
      </w:r>
      <w:r>
        <w:rPr>
          <w:rFonts w:hint="eastAsia" w:ascii="宋体" w:hAnsi="宋体" w:eastAsia="宋体" w:cs="宋体"/>
          <w:snapToGrid w:val="0"/>
          <w:color w:val="auto"/>
          <w:kern w:val="0"/>
          <w:szCs w:val="24"/>
          <w:highlight w:val="none"/>
        </w:rPr>
        <w:t>监理服务费结算价在项目的合同价范围内按实结算，即：以施工财审</w:t>
      </w:r>
      <w:r>
        <w:rPr>
          <w:rFonts w:hint="eastAsia" w:hAnsi="宋体" w:cs="宋体"/>
          <w:snapToGrid w:val="0"/>
          <w:color w:val="auto"/>
          <w:kern w:val="0"/>
          <w:szCs w:val="24"/>
          <w:highlight w:val="none"/>
          <w:lang w:val="en-US" w:eastAsia="zh-CN"/>
        </w:rPr>
        <w:t>预</w:t>
      </w:r>
      <w:r>
        <w:rPr>
          <w:rFonts w:hint="eastAsia" w:ascii="宋体" w:hAnsi="宋体" w:eastAsia="宋体" w:cs="宋体"/>
          <w:snapToGrid w:val="0"/>
          <w:color w:val="auto"/>
          <w:kern w:val="0"/>
          <w:szCs w:val="24"/>
          <w:highlight w:val="none"/>
        </w:rPr>
        <w:t>算价为基数乘以监理人中标取费费率计算，若监理服务费结算总价超过签约合同价，则按签约合同价包干结算；若监理服务费结算总价未超过签约合同价，则按以施工</w:t>
      </w:r>
      <w:r>
        <w:rPr>
          <w:rFonts w:hint="eastAsia" w:hAnsi="宋体" w:cs="宋体"/>
          <w:snapToGrid w:val="0"/>
          <w:color w:val="auto"/>
          <w:kern w:val="0"/>
          <w:szCs w:val="24"/>
          <w:highlight w:val="none"/>
          <w:lang w:val="en-US" w:eastAsia="zh-CN"/>
        </w:rPr>
        <w:t>预</w:t>
      </w:r>
      <w:r>
        <w:rPr>
          <w:rFonts w:hint="eastAsia" w:ascii="宋体" w:hAnsi="宋体" w:eastAsia="宋体" w:cs="宋体"/>
          <w:snapToGrid w:val="0"/>
          <w:color w:val="auto"/>
          <w:kern w:val="0"/>
          <w:szCs w:val="24"/>
          <w:highlight w:val="none"/>
        </w:rPr>
        <w:t>算价为基数乘以监理人中标取费费率计算的结算价进行结算。</w:t>
      </w:r>
    </w:p>
    <w:p w14:paraId="4B7C731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（2）项目建设期间，即使出现缓建或停建事件导致监理工期延长，不另增加监理服务费。</w:t>
      </w:r>
    </w:p>
    <w:p w14:paraId="17FC59C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（3）因工程规模、监理范围的变化导致监理人的正常工作量减少时，按减少工作量的比例从协议书约定的正常工作酬金中扣减相同比例的酬金。</w:t>
      </w:r>
    </w:p>
    <w:p w14:paraId="3CA2619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2.3 监理服务费的支付：</w:t>
      </w:r>
    </w:p>
    <w:p w14:paraId="3AC46A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（1）本项目支付监理服务费预付款，预付款支付比例为：合同价的30%；</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（2）本项目根据施工阶段按施工进度分期支付监理服务费，具体分期支付方式如下：</w:t>
      </w:r>
    </w:p>
    <w:tbl>
      <w:tblPr>
        <w:tblStyle w:val="31"/>
        <w:tblW w:w="9101"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4455"/>
        <w:gridCol w:w="3780"/>
      </w:tblGrid>
      <w:tr w14:paraId="29E4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6" w:type="dxa"/>
            <w:noWrap w:val="0"/>
            <w:vAlign w:val="center"/>
          </w:tcPr>
          <w:p w14:paraId="02EF632E">
            <w:pPr>
              <w:wordWrap w:val="0"/>
              <w:adjustRightInd w:val="0"/>
              <w:snapToGrid w:val="0"/>
              <w:spacing w:line="400" w:lineRule="exact"/>
              <w:jc w:val="center"/>
              <w:rPr>
                <w:rFonts w:hint="eastAsia" w:ascii="黑体" w:hAnsi="黑体" w:eastAsia="黑体"/>
                <w:snapToGrid w:val="0"/>
                <w:color w:val="auto"/>
                <w:kern w:val="0"/>
                <w:highlight w:val="none"/>
                <w:lang w:eastAsia="zh-CN"/>
              </w:rPr>
            </w:pPr>
            <w:r>
              <w:rPr>
                <w:rFonts w:hint="eastAsia" w:ascii="黑体" w:hAnsi="黑体" w:eastAsia="黑体"/>
                <w:snapToGrid w:val="0"/>
                <w:color w:val="auto"/>
                <w:kern w:val="0"/>
                <w:highlight w:val="none"/>
                <w:lang w:val="en-US" w:eastAsia="zh-CN"/>
              </w:rPr>
              <w:t>序号</w:t>
            </w:r>
          </w:p>
        </w:tc>
        <w:tc>
          <w:tcPr>
            <w:tcW w:w="4455" w:type="dxa"/>
            <w:noWrap w:val="0"/>
            <w:vAlign w:val="center"/>
          </w:tcPr>
          <w:p w14:paraId="1A8903F7">
            <w:pPr>
              <w:wordWrap w:val="0"/>
              <w:adjustRightInd w:val="0"/>
              <w:snapToGrid w:val="0"/>
              <w:spacing w:line="400" w:lineRule="exact"/>
              <w:jc w:val="center"/>
              <w:rPr>
                <w:rFonts w:hint="eastAsia" w:ascii="黑体" w:hAnsi="黑体" w:eastAsia="黑体"/>
                <w:snapToGrid w:val="0"/>
                <w:color w:val="auto"/>
                <w:kern w:val="0"/>
                <w:highlight w:val="none"/>
                <w:lang w:val="en-US" w:eastAsia="zh-CN"/>
              </w:rPr>
            </w:pPr>
            <w:r>
              <w:rPr>
                <w:rFonts w:hint="eastAsia" w:ascii="黑体" w:hAnsi="黑体" w:eastAsia="黑体"/>
                <w:snapToGrid w:val="0"/>
                <w:color w:val="auto"/>
                <w:kern w:val="0"/>
                <w:highlight w:val="none"/>
              </w:rPr>
              <w:t>支付时间</w:t>
            </w:r>
            <w:r>
              <w:rPr>
                <w:rFonts w:hint="eastAsia" w:ascii="黑体" w:hAnsi="黑体" w:eastAsia="黑体"/>
                <w:snapToGrid w:val="0"/>
                <w:color w:val="auto"/>
                <w:kern w:val="0"/>
                <w:highlight w:val="none"/>
                <w:lang w:val="en-US" w:eastAsia="zh-CN"/>
              </w:rPr>
              <w:t>及</w:t>
            </w:r>
            <w:r>
              <w:rPr>
                <w:rFonts w:hint="eastAsia" w:ascii="黑体" w:hAnsi="黑体" w:eastAsia="黑体"/>
                <w:snapToGrid w:val="0"/>
                <w:color w:val="auto"/>
                <w:kern w:val="0"/>
                <w:highlight w:val="none"/>
              </w:rPr>
              <w:t>支付比例</w:t>
            </w:r>
          </w:p>
        </w:tc>
        <w:tc>
          <w:tcPr>
            <w:tcW w:w="3780" w:type="dxa"/>
            <w:noWrap w:val="0"/>
            <w:vAlign w:val="center"/>
          </w:tcPr>
          <w:p w14:paraId="5FB2DFAD">
            <w:pPr>
              <w:wordWrap w:val="0"/>
              <w:adjustRightInd w:val="0"/>
              <w:snapToGrid w:val="0"/>
              <w:spacing w:line="400" w:lineRule="exact"/>
              <w:jc w:val="center"/>
              <w:rPr>
                <w:rFonts w:hint="eastAsia" w:ascii="黑体" w:hAnsi="黑体" w:eastAsia="黑体"/>
                <w:snapToGrid w:val="0"/>
                <w:color w:val="auto"/>
                <w:kern w:val="0"/>
                <w:highlight w:val="none"/>
              </w:rPr>
            </w:pPr>
          </w:p>
        </w:tc>
      </w:tr>
      <w:tr w14:paraId="0159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trPr>
        <w:tc>
          <w:tcPr>
            <w:tcW w:w="866" w:type="dxa"/>
            <w:noWrap w:val="0"/>
            <w:vAlign w:val="center"/>
          </w:tcPr>
          <w:p w14:paraId="71BAC85A">
            <w:pPr>
              <w:wordWrap w:val="0"/>
              <w:adjustRightInd w:val="0"/>
              <w:snapToGrid w:val="0"/>
              <w:spacing w:line="400" w:lineRule="exact"/>
              <w:jc w:val="center"/>
              <w:rPr>
                <w:rFonts w:hint="eastAsia" w:ascii="Times New Roman" w:eastAsia="宋体"/>
                <w:snapToGrid w:val="0"/>
                <w:color w:val="auto"/>
                <w:kern w:val="0"/>
                <w:highlight w:val="none"/>
                <w:lang w:eastAsia="zh-CN"/>
              </w:rPr>
            </w:pPr>
            <w:r>
              <w:rPr>
                <w:rFonts w:hint="eastAsia" w:ascii="Times New Roman"/>
                <w:snapToGrid w:val="0"/>
                <w:color w:val="auto"/>
                <w:kern w:val="0"/>
                <w:highlight w:val="none"/>
                <w:lang w:val="en-US" w:eastAsia="zh-CN"/>
              </w:rPr>
              <w:t>1</w:t>
            </w:r>
          </w:p>
        </w:tc>
        <w:tc>
          <w:tcPr>
            <w:tcW w:w="4455" w:type="dxa"/>
            <w:noWrap w:val="0"/>
            <w:vAlign w:val="center"/>
          </w:tcPr>
          <w:p w14:paraId="45CDE68B">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snapToGrid w:val="0"/>
                <w:color w:val="auto"/>
                <w:kern w:val="0"/>
                <w:highlight w:val="none"/>
                <w:lang w:val="en-US" w:eastAsia="zh-CN"/>
              </w:rPr>
              <w:t>依据</w:t>
            </w:r>
            <w:r>
              <w:rPr>
                <w:rFonts w:hint="eastAsia" w:ascii="Times New Roman"/>
                <w:snapToGrid w:val="0"/>
                <w:color w:val="auto"/>
                <w:kern w:val="0"/>
                <w:highlight w:val="none"/>
              </w:rPr>
              <w:t>工程施工进度</w:t>
            </w:r>
            <w:r>
              <w:rPr>
                <w:rFonts w:hint="eastAsia" w:ascii="Times New Roman"/>
                <w:snapToGrid w:val="0"/>
                <w:color w:val="auto"/>
                <w:kern w:val="0"/>
                <w:highlight w:val="none"/>
                <w:lang w:val="en-US" w:eastAsia="zh-CN"/>
              </w:rPr>
              <w:t>比例按月或季度支付。</w:t>
            </w:r>
          </w:p>
        </w:tc>
        <w:tc>
          <w:tcPr>
            <w:tcW w:w="3780" w:type="dxa"/>
            <w:noWrap w:val="0"/>
            <w:vAlign w:val="center"/>
          </w:tcPr>
          <w:p w14:paraId="1F5CBCD3">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snapToGrid w:val="0"/>
                <w:color w:val="auto"/>
                <w:kern w:val="0"/>
                <w:highlight w:val="none"/>
                <w:lang w:val="en-US" w:eastAsia="zh-CN"/>
              </w:rPr>
              <w:t>合同价总价80%（含预付款）</w:t>
            </w:r>
          </w:p>
        </w:tc>
      </w:tr>
      <w:tr w14:paraId="66FB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exact"/>
        </w:trPr>
        <w:tc>
          <w:tcPr>
            <w:tcW w:w="866" w:type="dxa"/>
            <w:noWrap w:val="0"/>
            <w:vAlign w:val="center"/>
          </w:tcPr>
          <w:p w14:paraId="40BAE9EE">
            <w:pPr>
              <w:wordWrap w:val="0"/>
              <w:adjustRightInd w:val="0"/>
              <w:snapToGrid w:val="0"/>
              <w:spacing w:line="400" w:lineRule="exact"/>
              <w:jc w:val="center"/>
              <w:rPr>
                <w:rFonts w:hint="eastAsia" w:ascii="Times New Roman" w:eastAsia="宋体"/>
                <w:snapToGrid w:val="0"/>
                <w:color w:val="auto"/>
                <w:kern w:val="0"/>
                <w:highlight w:val="none"/>
                <w:lang w:eastAsia="zh-CN"/>
              </w:rPr>
            </w:pPr>
            <w:r>
              <w:rPr>
                <w:rFonts w:hint="eastAsia" w:ascii="Times New Roman"/>
                <w:snapToGrid w:val="0"/>
                <w:color w:val="auto"/>
                <w:kern w:val="0"/>
                <w:highlight w:val="none"/>
                <w:lang w:val="en-US" w:eastAsia="zh-CN"/>
              </w:rPr>
              <w:t>2</w:t>
            </w:r>
          </w:p>
        </w:tc>
        <w:tc>
          <w:tcPr>
            <w:tcW w:w="4455" w:type="dxa"/>
            <w:noWrap w:val="0"/>
            <w:vAlign w:val="center"/>
          </w:tcPr>
          <w:p w14:paraId="6E8C3F2F">
            <w:pPr>
              <w:wordWrap w:val="0"/>
              <w:adjustRightInd w:val="0"/>
              <w:snapToGrid w:val="0"/>
              <w:spacing w:line="400" w:lineRule="exact"/>
              <w:jc w:val="left"/>
              <w:rPr>
                <w:rFonts w:hint="eastAsia" w:ascii="Times New Roman"/>
                <w:snapToGrid w:val="0"/>
                <w:color w:val="auto"/>
                <w:kern w:val="0"/>
                <w:sz w:val="24"/>
                <w:highlight w:val="none"/>
                <w:lang w:val="en-US" w:eastAsia="zh-CN" w:bidi="ar-SA"/>
              </w:rPr>
            </w:pPr>
            <w:r>
              <w:rPr>
                <w:rFonts w:hint="eastAsia" w:ascii="Times New Roman"/>
                <w:snapToGrid w:val="0"/>
                <w:color w:val="auto"/>
                <w:kern w:val="0"/>
                <w:highlight w:val="none"/>
              </w:rPr>
              <w:t>工程施工进度</w:t>
            </w:r>
            <w:r>
              <w:rPr>
                <w:rFonts w:hint="eastAsia" w:ascii="Times New Roman"/>
                <w:snapToGrid w:val="0"/>
                <w:color w:val="auto"/>
                <w:kern w:val="0"/>
                <w:highlight w:val="none"/>
                <w:lang w:val="en-US" w:eastAsia="zh-CN"/>
              </w:rPr>
              <w:t>达到100</w:t>
            </w:r>
            <w:r>
              <w:rPr>
                <w:rFonts w:hint="eastAsia" w:ascii="Times New Roman"/>
                <w:snapToGrid w:val="0"/>
                <w:color w:val="auto"/>
                <w:kern w:val="0"/>
                <w:highlight w:val="none"/>
              </w:rPr>
              <w:t>%</w:t>
            </w: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工程完工或竣工</w:t>
            </w:r>
            <w:r>
              <w:rPr>
                <w:rFonts w:hint="eastAsia" w:ascii="Times New Roman"/>
                <w:snapToGrid w:val="0"/>
                <w:color w:val="auto"/>
                <w:kern w:val="0"/>
                <w:highlight w:val="none"/>
              </w:rPr>
              <w:t>验收</w:t>
            </w:r>
            <w:r>
              <w:rPr>
                <w:rFonts w:hint="eastAsia" w:ascii="Times New Roman"/>
                <w:snapToGrid w:val="0"/>
                <w:color w:val="auto"/>
                <w:kern w:val="0"/>
                <w:highlight w:val="none"/>
                <w:lang w:val="en-US" w:eastAsia="zh-CN"/>
              </w:rPr>
              <w:t>合规。</w:t>
            </w:r>
          </w:p>
        </w:tc>
        <w:tc>
          <w:tcPr>
            <w:tcW w:w="3780" w:type="dxa"/>
            <w:noWrap w:val="0"/>
            <w:vAlign w:val="center"/>
          </w:tcPr>
          <w:p w14:paraId="498DA7D7">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snapToGrid w:val="0"/>
                <w:color w:val="auto"/>
                <w:kern w:val="0"/>
                <w:highlight w:val="none"/>
                <w:lang w:val="en-US" w:eastAsia="zh-CN"/>
              </w:rPr>
              <w:t>合同价20%</w:t>
            </w:r>
          </w:p>
        </w:tc>
      </w:tr>
    </w:tbl>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bookmarkStart w:id="202" w:name="_Toc12074"/>
      <w:bookmarkStart w:id="203" w:name="_Toc31344"/>
      <w:r>
        <w:rPr>
          <w:rFonts w:hint="eastAsia" w:ascii="宋体" w:hAnsi="宋体" w:eastAsia="宋体" w:cs="宋体"/>
          <w:b/>
          <w:bCs/>
          <w:snapToGrid w:val="0"/>
          <w:color w:val="auto"/>
          <w:kern w:val="0"/>
          <w:szCs w:val="24"/>
          <w:highlight w:val="none"/>
        </w:rPr>
        <w:t>3．监理服务费发票</w:t>
      </w:r>
      <w:bookmarkEnd w:id="197"/>
      <w:bookmarkEnd w:id="198"/>
      <w:bookmarkEnd w:id="199"/>
      <w:bookmarkEnd w:id="200"/>
      <w:bookmarkEnd w:id="201"/>
      <w:bookmarkEnd w:id="202"/>
      <w:bookmarkEnd w:id="203"/>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委托人每次支付监理服务费前，监理人均应提供有效的增值税</w:t>
      </w:r>
      <w:r>
        <w:rPr>
          <w:rFonts w:hint="eastAsia" w:hAnsi="宋体" w:cs="宋体"/>
          <w:snapToGrid w:val="0"/>
          <w:color w:val="auto"/>
          <w:kern w:val="0"/>
          <w:szCs w:val="24"/>
          <w:highlight w:val="none"/>
          <w:u w:val="single"/>
        </w:rPr>
        <w:t xml:space="preserve"> 普通 </w:t>
      </w:r>
      <w:r>
        <w:rPr>
          <w:rFonts w:hint="eastAsia" w:hAnsi="宋体" w:cs="宋体"/>
          <w:snapToGrid w:val="0"/>
          <w:color w:val="auto"/>
          <w:kern w:val="0"/>
          <w:szCs w:val="24"/>
          <w:highlight w:val="none"/>
        </w:rPr>
        <w:t xml:space="preserve">发票。如果监理人无法提供符合要求的监理服务费发票，由此造成的相应损失由监理人承担。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04" w:name="_Toc30294"/>
      <w:bookmarkStart w:id="205" w:name="_Toc32105"/>
      <w:bookmarkStart w:id="206" w:name="_Toc2147"/>
      <w:bookmarkStart w:id="207" w:name="_Toc31725"/>
      <w:bookmarkStart w:id="208" w:name="_Toc25406"/>
      <w:bookmarkStart w:id="209" w:name="_Toc22603"/>
      <w:bookmarkStart w:id="210" w:name="_Toc7557"/>
      <w:r>
        <w:rPr>
          <w:rFonts w:hint="eastAsia" w:hAnsi="宋体" w:cs="宋体"/>
          <w:b/>
          <w:bCs/>
          <w:snapToGrid w:val="0"/>
          <w:color w:val="auto"/>
          <w:kern w:val="0"/>
          <w:szCs w:val="24"/>
          <w:highlight w:val="none"/>
        </w:rPr>
        <w:t>4．违约责任</w:t>
      </w:r>
      <w:bookmarkEnd w:id="204"/>
      <w:bookmarkEnd w:id="205"/>
      <w:bookmarkEnd w:id="206"/>
      <w:bookmarkEnd w:id="207"/>
      <w:bookmarkEnd w:id="208"/>
      <w:bookmarkEnd w:id="209"/>
      <w:bookmarkEnd w:id="210"/>
    </w:p>
    <w:p w14:paraId="6CD4EE7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 若由于监理单位的过错或失职，对委托人造成损失的，监理人必须依法承担赔偿责任。</w:t>
      </w:r>
    </w:p>
    <w:p w14:paraId="2035E84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4.2 本工程质量必须达到合格标准。若因监理人原因，工程在竣工验收或分部工程验收时没有达到此标准，监理人按监理合同价款（指监理结算价款）的</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％向委托人返纳质量违约金，并对委托人的损失依法承担赔偿责任。</w:t>
      </w:r>
    </w:p>
    <w:p w14:paraId="7CA39C9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4.3 监理人必须按投标文件中的服务承诺条款履行合同。</w:t>
      </w:r>
    </w:p>
    <w:p w14:paraId="626FA5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4.4 监理人若是韶关市以外的企业，则其提供的监理费发票必须是在本工程所在地的税务部门开具的，委托人收到符合要求的发票后方可支付监理费。</w:t>
      </w:r>
    </w:p>
    <w:p w14:paraId="7059E59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4.5 监理人在监理期间应严格遵守国家、省、市有关防火、爆破和监理安全以及文明监理、深夜监理、环卫城管等规定，建立规章制度和防护措施。否则，由此造成的经济和法律责任，均由监理人负责。</w:t>
      </w:r>
    </w:p>
    <w:p w14:paraId="7698C4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4.6 监理人应按安全监理的要求，采取严格科学的安全措施，确保监理安全和第三者的安全，承担由于自身安全措施不力所造成的事故责任和发生的费用。</w:t>
      </w:r>
    </w:p>
    <w:p w14:paraId="204D2C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4.7 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666352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4.8 监理人须服从委托人及政府工程质量监督部门对监理工程全方位的监督，监理资料应及时报送委托人审查备案。</w:t>
      </w:r>
    </w:p>
    <w:p w14:paraId="569318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4.9 监理人在施工过程中若发生</w:t>
      </w:r>
      <w:r>
        <w:rPr>
          <w:rFonts w:hint="eastAsia" w:ascii="Times New Roman"/>
          <w:snapToGrid w:val="0"/>
          <w:color w:val="auto"/>
          <w:kern w:val="0"/>
          <w:highlight w:val="none"/>
          <w:lang w:val="en-US" w:eastAsia="zh-CN"/>
        </w:rPr>
        <w:t>工程量变更时</w:t>
      </w:r>
      <w:r>
        <w:rPr>
          <w:rFonts w:hint="eastAsia" w:ascii="Times New Roman"/>
          <w:snapToGrid w:val="0"/>
          <w:color w:val="auto"/>
          <w:kern w:val="0"/>
          <w:highlight w:val="none"/>
        </w:rPr>
        <w:t>，按委托人</w:t>
      </w:r>
      <w:r>
        <w:rPr>
          <w:rFonts w:hint="eastAsia" w:ascii="Times New Roman"/>
          <w:snapToGrid w:val="0"/>
          <w:color w:val="auto"/>
          <w:kern w:val="0"/>
          <w:highlight w:val="none"/>
          <w:lang w:val="en-US" w:eastAsia="zh-CN"/>
        </w:rPr>
        <w:t>变更</w:t>
      </w:r>
      <w:r>
        <w:rPr>
          <w:rFonts w:hint="eastAsia" w:ascii="Times New Roman"/>
          <w:snapToGrid w:val="0"/>
          <w:color w:val="auto"/>
          <w:kern w:val="0"/>
          <w:highlight w:val="none"/>
        </w:rPr>
        <w:t>管理办法执行。</w:t>
      </w:r>
    </w:p>
    <w:p w14:paraId="779166C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4.10 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22312BA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4.11 投标报价应充分考虑在施工中由于委托人造成停工或工期延误等因素所产生的相关费用，委托人不予另计费；停工发生后，若可复工时，监理人应在收到委托人发出的复工通知书的当日通知施工单位复工，并安排现场监理人员及时到场进行现场监理。</w:t>
      </w:r>
    </w:p>
    <w:p w14:paraId="30C1797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4.12 监理人若在韶关市无固定服务场所和固定专业负责人的，则在合同签订后尽快完成驻韶固定办公场所办理和安排固定项目负责人及其他相关监理人员驻韶办公。</w:t>
      </w:r>
    </w:p>
    <w:p w14:paraId="0394F5B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4.13 监理人拟派驻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若监理人拒不执行或无法在15个工作日内完成更换，则每发生一次扣除签约合同价的10%作为违约金。</w:t>
      </w:r>
    </w:p>
    <w:p w14:paraId="6A113065">
      <w:pPr>
        <w:wordWrap w:val="0"/>
        <w:adjustRightInd w:val="0"/>
        <w:snapToGrid w:val="0"/>
        <w:spacing w:line="440" w:lineRule="exact"/>
        <w:ind w:firstLine="560"/>
        <w:rPr>
          <w:rFonts w:hint="eastAsia" w:hAnsi="宋体"/>
          <w:color w:val="auto"/>
          <w:highlight w:val="none"/>
        </w:rPr>
      </w:pPr>
      <w:r>
        <w:rPr>
          <w:rFonts w:hint="eastAsia" w:ascii="Times New Roman"/>
          <w:snapToGrid w:val="0"/>
          <w:color w:val="auto"/>
          <w:kern w:val="0"/>
          <w:highlight w:val="none"/>
        </w:rPr>
        <w:t>4.14</w:t>
      </w:r>
      <w:r>
        <w:rPr>
          <w:rFonts w:hint="eastAsia" w:hAnsi="宋体"/>
          <w:color w:val="auto"/>
          <w:highlight w:val="none"/>
        </w:rPr>
        <w:t>监理人必须保证严格遵守有关法律法规及廉政规定。如监理人及其工作人员违反本承诺规定，给发包人造成经济损失的，依法给予赔偿。</w:t>
      </w:r>
    </w:p>
    <w:p w14:paraId="26D6847F">
      <w:pPr>
        <w:wordWrap w:val="0"/>
        <w:adjustRightInd w:val="0"/>
        <w:snapToGrid w:val="0"/>
        <w:spacing w:line="440" w:lineRule="exact"/>
        <w:ind w:firstLine="560"/>
        <w:rPr>
          <w:rFonts w:hint="eastAsia"/>
          <w:color w:val="auto"/>
          <w:highlight w:val="none"/>
          <w:lang w:val="en-US" w:eastAsia="zh-CN"/>
        </w:rPr>
      </w:pPr>
      <w:r>
        <w:rPr>
          <w:rFonts w:hint="eastAsia" w:ascii="Times New Roman" w:hAnsi="Times New Roman" w:eastAsia="宋体" w:cs="Times New Roman"/>
          <w:snapToGrid w:val="0"/>
          <w:color w:val="auto"/>
          <w:kern w:val="0"/>
          <w:sz w:val="24"/>
          <w:highlight w:val="none"/>
          <w:lang w:val="en-US" w:eastAsia="zh-CN" w:bidi="ar-SA"/>
        </w:rPr>
        <w:t>4.15</w:t>
      </w:r>
      <w:r>
        <w:rPr>
          <w:rFonts w:hint="eastAsia"/>
          <w:color w:val="auto"/>
          <w:highlight w:val="none"/>
          <w:lang w:val="en-US" w:eastAsia="zh-CN"/>
        </w:rPr>
        <w:t>因监理单位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4CA087E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color w:val="auto"/>
          <w:highlight w:val="none"/>
          <w:lang w:val="en-US" w:eastAsia="zh-CN"/>
        </w:rPr>
        <w:t>4.16项目总监理工程师或项目总监理工程师代表每月驻现场不少于28 天，未经招标人书面同意，每少1天，视为监理人发生监理不良行为一次，承担般违约责任一次，监理人向委托人交纳违约金 2000 元。</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11" w:name="_Toc27702"/>
      <w:bookmarkStart w:id="212" w:name="_Toc17944"/>
      <w:bookmarkStart w:id="213" w:name="_Toc8823"/>
      <w:bookmarkStart w:id="214" w:name="_Toc29596"/>
      <w:bookmarkStart w:id="215" w:name="_Toc4121"/>
      <w:bookmarkStart w:id="216" w:name="_Toc26193"/>
      <w:bookmarkStart w:id="217" w:name="_Toc8777"/>
      <w:r>
        <w:rPr>
          <w:rFonts w:hint="eastAsia" w:hAnsi="宋体" w:cs="宋体"/>
          <w:b/>
          <w:bCs/>
          <w:snapToGrid w:val="0"/>
          <w:color w:val="auto"/>
          <w:kern w:val="0"/>
          <w:szCs w:val="24"/>
          <w:highlight w:val="none"/>
        </w:rPr>
        <w:t>5．</w:t>
      </w:r>
      <w:r>
        <w:rPr>
          <w:rFonts w:hint="eastAsia" w:hAnsi="宋体" w:cs="宋体"/>
          <w:b/>
          <w:bCs/>
          <w:snapToGrid w:val="0"/>
          <w:color w:val="auto"/>
          <w:kern w:val="0"/>
          <w:szCs w:val="24"/>
          <w:highlight w:val="none"/>
          <w:lang w:val="en-US" w:eastAsia="zh-CN"/>
        </w:rPr>
        <w:t>监理服务费的</w:t>
      </w:r>
      <w:r>
        <w:rPr>
          <w:rFonts w:hint="eastAsia" w:hAnsi="宋体" w:cs="宋体"/>
          <w:b/>
          <w:bCs/>
          <w:snapToGrid w:val="0"/>
          <w:color w:val="auto"/>
          <w:kern w:val="0"/>
          <w:szCs w:val="24"/>
          <w:highlight w:val="none"/>
        </w:rPr>
        <w:t>支付</w:t>
      </w:r>
      <w:bookmarkEnd w:id="211"/>
      <w:bookmarkEnd w:id="212"/>
      <w:bookmarkEnd w:id="213"/>
      <w:bookmarkEnd w:id="214"/>
      <w:bookmarkEnd w:id="215"/>
      <w:bookmarkEnd w:id="216"/>
      <w:bookmarkEnd w:id="217"/>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18" w:name="_Toc26599"/>
      <w:bookmarkStart w:id="219" w:name="_Toc13619"/>
      <w:bookmarkStart w:id="220" w:name="_Toc9024"/>
      <w:bookmarkStart w:id="221" w:name="_Toc624"/>
      <w:r>
        <w:rPr>
          <w:rFonts w:hint="eastAsia" w:hAnsi="宋体" w:cs="宋体"/>
          <w:b/>
          <w:bCs/>
          <w:snapToGrid w:val="0"/>
          <w:color w:val="auto"/>
          <w:kern w:val="0"/>
          <w:szCs w:val="24"/>
          <w:highlight w:val="none"/>
        </w:rPr>
        <w:t>5.1</w:t>
      </w:r>
      <w:r>
        <w:rPr>
          <w:rFonts w:hint="eastAsia" w:hAnsi="宋体" w:cs="宋体"/>
          <w:snapToGrid w:val="0"/>
          <w:color w:val="auto"/>
          <w:kern w:val="0"/>
          <w:szCs w:val="24"/>
          <w:highlight w:val="none"/>
        </w:rPr>
        <w:t xml:space="preserve"> 支付货币</w:t>
      </w:r>
      <w:bookmarkEnd w:id="218"/>
      <w:bookmarkEnd w:id="219"/>
      <w:bookmarkEnd w:id="220"/>
      <w:bookmarkEnd w:id="221"/>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22" w:name="_Toc22466"/>
      <w:bookmarkStart w:id="223" w:name="_Toc10949"/>
      <w:bookmarkStart w:id="224" w:name="_Toc3949"/>
      <w:bookmarkStart w:id="225" w:name="_Toc7275"/>
      <w:r>
        <w:rPr>
          <w:rFonts w:hint="eastAsia" w:hAnsi="宋体" w:cs="宋体"/>
          <w:b/>
          <w:bCs/>
          <w:snapToGrid w:val="0"/>
          <w:color w:val="auto"/>
          <w:kern w:val="0"/>
          <w:szCs w:val="24"/>
          <w:highlight w:val="none"/>
        </w:rPr>
        <w:t>5.2</w:t>
      </w:r>
      <w:r>
        <w:rPr>
          <w:rFonts w:hint="eastAsia" w:hAnsi="宋体" w:cs="宋体"/>
          <w:snapToGrid w:val="0"/>
          <w:color w:val="auto"/>
          <w:kern w:val="0"/>
          <w:szCs w:val="24"/>
          <w:highlight w:val="none"/>
        </w:rPr>
        <w:t xml:space="preserve"> 支付申请</w:t>
      </w:r>
      <w:bookmarkEnd w:id="222"/>
      <w:bookmarkEnd w:id="223"/>
      <w:bookmarkEnd w:id="224"/>
      <w:bookmarkEnd w:id="225"/>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监理人应在本合同约定的每次应付款时间的7天前，向委托人提交支付申请书。支付申请书应当说明当期应付款总额，并列出当期应支付的款项及其金额。</w:t>
      </w:r>
    </w:p>
    <w:p w14:paraId="1080AE34">
      <w:pPr>
        <w:wordWrap w:val="0"/>
        <w:autoSpaceDE/>
        <w:autoSpaceDN/>
        <w:snapToGrid w:val="0"/>
        <w:spacing w:line="440" w:lineRule="exact"/>
        <w:ind w:firstLine="480"/>
        <w:jc w:val="both"/>
        <w:outlineLvl w:val="9"/>
        <w:rPr>
          <w:rFonts w:hint="eastAsia" w:ascii="Times New Roman"/>
          <w:b/>
          <w:snapToGrid w:val="0"/>
          <w:color w:val="auto"/>
          <w:szCs w:val="22"/>
          <w:highlight w:val="none"/>
        </w:rPr>
      </w:pPr>
      <w:bookmarkStart w:id="226" w:name="_Toc17883"/>
      <w:bookmarkStart w:id="227" w:name="_Toc10664"/>
      <w:bookmarkStart w:id="228" w:name="_Toc6801"/>
      <w:bookmarkStart w:id="229" w:name="_Toc25652"/>
      <w:r>
        <w:rPr>
          <w:rFonts w:hint="eastAsia" w:hAnsi="宋体" w:cs="宋体"/>
          <w:b/>
          <w:bCs/>
          <w:snapToGrid w:val="0"/>
          <w:color w:val="auto"/>
          <w:kern w:val="0"/>
          <w:szCs w:val="24"/>
          <w:highlight w:val="none"/>
        </w:rPr>
        <w:t xml:space="preserve">5.3 </w:t>
      </w:r>
      <w:bookmarkEnd w:id="226"/>
      <w:bookmarkEnd w:id="227"/>
      <w:bookmarkEnd w:id="228"/>
      <w:bookmarkEnd w:id="229"/>
      <w:r>
        <w:rPr>
          <w:rFonts w:hint="eastAsia" w:ascii="Times New Roman"/>
          <w:b/>
          <w:snapToGrid w:val="0"/>
          <w:color w:val="auto"/>
          <w:szCs w:val="22"/>
          <w:highlight w:val="none"/>
        </w:rPr>
        <w:t>监理人的服务内容</w:t>
      </w:r>
    </w:p>
    <w:p w14:paraId="167DB3B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5.1工程施工阶段服务内容</w:t>
      </w:r>
    </w:p>
    <w:p w14:paraId="2311810A">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012A8D0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5.1.1参与审阅施工图纸。</w:t>
      </w:r>
    </w:p>
    <w:p w14:paraId="7AD82EA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5.1.2协助招标人审核各项工程和设备质量，提出审核意见，并协助起草合同、完善合同条款。</w:t>
      </w:r>
    </w:p>
    <w:p w14:paraId="50AA25C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5.1.3协助招标人办理开工手续。</w:t>
      </w:r>
    </w:p>
    <w:p w14:paraId="319DDA2D">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5.1.4组织相关单位进行设计交底和施工图会审，负责做好会议记录和图纸会审记录。</w:t>
      </w:r>
    </w:p>
    <w:p w14:paraId="5E57D7FB">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5.1.5现场的移交：对现场的原始场地进行测量，作出书面记录，并在开工之前及时向施工单位移交，其次是测量放线定位的移交。</w:t>
      </w:r>
    </w:p>
    <w:p w14:paraId="7BED7C3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5.1.6审查施工单位提出的施工组织设计、施工技术方案、施工进度计划、施工质量保证体系和施工安全保证体系。</w:t>
      </w:r>
    </w:p>
    <w:p w14:paraId="207E88D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5.1.7督促、检查施工单位严格执行工程承包合同和国家工程技术规范、标准，协调招标人和施工单位之间的关系。</w:t>
      </w:r>
    </w:p>
    <w:p w14:paraId="49AFA721">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5.1.8审核施工单位提供的材料、设备、构配件和实际的数量及质量，按照规范和质监站的要求，对相关的材料进行见证取样复验。</w:t>
      </w:r>
    </w:p>
    <w:p w14:paraId="583E173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5.1.9根据施工单位提交的施工进度计划协助招标人督促现场施工进度；审核经质量验收合格的工程量，协助招标人进行工程竣工验收工作。</w:t>
      </w:r>
    </w:p>
    <w:p w14:paraId="11E6858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7DDE3BA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5.1.11督促施工单位严格按现行规范、规程、强制性质量控制标准和设计要求施工、控制工程质量。</w:t>
      </w:r>
    </w:p>
    <w:p w14:paraId="7F954DF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5.1.12在实施过程中，监理采取程序报验检查、平行检查、旁站检查、巡视检查、定期与不定期检查等各种手段，按照规范和施工组织设计的要求，克服施工过程中的质量通病。</w:t>
      </w:r>
    </w:p>
    <w:p w14:paraId="237A5C2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5.1.13督促、检查施工单位落实施工安全保证措施。</w:t>
      </w:r>
    </w:p>
    <w:p w14:paraId="37DED99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5.1.14协调参建各方之间的争议和冲突，协调各专业施工单位之间的关系，协调各专业施工作业的交接。</w:t>
      </w:r>
    </w:p>
    <w:p w14:paraId="625DE74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5.1.15组织分项工程和隐蔽工程的检查、验收，签发工程验收凭证。</w:t>
      </w:r>
    </w:p>
    <w:p w14:paraId="22C2FD4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5.1.16督促承建商整理合同文件和技术档案资料。</w:t>
      </w:r>
    </w:p>
    <w:p w14:paraId="15A13B6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5.1.17组织招标人、施工单位、设计单位进行竣工预验收。</w:t>
      </w:r>
    </w:p>
    <w:p w14:paraId="72FF635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5.1.18提出工程质量评估报告。</w:t>
      </w:r>
    </w:p>
    <w:p w14:paraId="7DA4C85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5.1.19检查工程状况，如发生质量事故，则参与事故的分析和处理，并鉴定质量责任。</w:t>
      </w:r>
    </w:p>
    <w:p w14:paraId="10F7523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5.1.20督促施工单位在工程竣工验收后，整理工程交工资料和竣工图纸。</w:t>
      </w:r>
    </w:p>
    <w:p w14:paraId="78AB5C6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5.1.21督促完善签署工程保修协议，督促施工单位回访。</w:t>
      </w:r>
    </w:p>
    <w:p w14:paraId="1819574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5.1.22督促施工单位及时完成未完工程尾项，协助招标人督促施工单位按照国家有关规定和保修协议开展维修工作，维修工程出现的缺陷，保证维修工作顺利进行。</w:t>
      </w:r>
    </w:p>
    <w:p w14:paraId="0EDDE0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olor w:val="auto"/>
          <w:highlight w:val="none"/>
        </w:rPr>
        <w:t>5.1.23保修期间如出现工程质量问题，接招标人通知后参与调查、分析，确定发生工程质量问题的原因责任，共同研究修补措施，并负责监督责任单位修补工作。</w:t>
      </w:r>
    </w:p>
    <w:p w14:paraId="295521EB">
      <w:pPr>
        <w:pStyle w:val="4"/>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0" w:name="_Toc8398"/>
      <w:bookmarkStart w:id="231" w:name="_Toc12317"/>
      <w:bookmarkStart w:id="232" w:name="_Toc11091"/>
      <w:bookmarkStart w:id="233" w:name="_Toc5107"/>
      <w:bookmarkStart w:id="234" w:name="_Toc878"/>
      <w:bookmarkStart w:id="235" w:name="_Toc6555"/>
      <w:bookmarkStart w:id="236" w:name="_Toc16162"/>
      <w:r>
        <w:rPr>
          <w:rFonts w:hint="eastAsia" w:hAnsi="宋体" w:cs="宋体"/>
          <w:b/>
          <w:bCs/>
          <w:snapToGrid w:val="0"/>
          <w:color w:val="auto"/>
          <w:kern w:val="0"/>
          <w:szCs w:val="24"/>
          <w:highlight w:val="none"/>
        </w:rPr>
        <w:t>6．</w:t>
      </w:r>
      <w:bookmarkEnd w:id="230"/>
      <w:bookmarkEnd w:id="231"/>
      <w:bookmarkEnd w:id="232"/>
      <w:bookmarkEnd w:id="233"/>
      <w:bookmarkEnd w:id="234"/>
      <w:r>
        <w:rPr>
          <w:rFonts w:hint="eastAsia" w:ascii="Times New Roman"/>
          <w:b/>
          <w:snapToGrid w:val="0"/>
          <w:color w:val="auto"/>
          <w:szCs w:val="22"/>
          <w:highlight w:val="none"/>
        </w:rPr>
        <w:t>监理人违约及违约责任</w:t>
      </w:r>
      <w:bookmarkEnd w:id="235"/>
      <w:bookmarkEnd w:id="236"/>
    </w:p>
    <w:p w14:paraId="2FAB8060">
      <w:pPr>
        <w:pStyle w:val="134"/>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所有的违约金在当期的监理服务费扣除。本附件将监理人违约分为监理不良行为、监理过失、监理渎职及监理不达标四大情形造成的违约，这四种违约情形及违约责任的承担作如下规定： </w:t>
      </w:r>
    </w:p>
    <w:p w14:paraId="40D5E07B">
      <w:pPr>
        <w:pStyle w:val="67"/>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6.1监理不良行为违约</w:t>
      </w:r>
    </w:p>
    <w:p w14:paraId="26EE7AB6">
      <w:pPr>
        <w:pStyle w:val="67"/>
        <w:spacing w:line="460" w:lineRule="exact"/>
        <w:rPr>
          <w:rFonts w:hint="eastAsia" w:hAnsi="宋体"/>
          <w:color w:val="auto"/>
          <w:sz w:val="24"/>
          <w:highlight w:val="none"/>
        </w:rPr>
      </w:pPr>
      <w:r>
        <w:rPr>
          <w:rFonts w:hint="eastAsia" w:hAnsi="宋体"/>
          <w:color w:val="auto"/>
          <w:sz w:val="24"/>
          <w:highlight w:val="none"/>
        </w:rPr>
        <w:t xml:space="preserve">    6.1.1监理不良行为违约的认定</w:t>
      </w:r>
    </w:p>
    <w:p w14:paraId="64B2C5C7">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委托人指明的监理人的义务工作，监理人却未能执行或执行不及时；3、委托人指出或发现监理人在实施监理行为过程中明显的签证错误、审批错误及指令错误。</w:t>
      </w:r>
    </w:p>
    <w:p w14:paraId="47D58650">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监理人的不良行为一旦被发现，由委托人管理人员在“监理行为记录档案”作记录，无论是否造成损失，即构成监理人违约。若该行为已造成实际损失，按本附件界定的监理过失违约规定处理。</w:t>
      </w:r>
    </w:p>
    <w:p w14:paraId="75D8593E">
      <w:pPr>
        <w:pStyle w:val="67"/>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66B1E3D3">
      <w:pPr>
        <w:pStyle w:val="67"/>
        <w:spacing w:line="460" w:lineRule="exact"/>
        <w:rPr>
          <w:rFonts w:hint="eastAsia" w:hAnsi="宋体"/>
          <w:color w:val="auto"/>
          <w:sz w:val="24"/>
          <w:highlight w:val="none"/>
        </w:rPr>
      </w:pPr>
      <w:r>
        <w:rPr>
          <w:rFonts w:hint="eastAsia" w:hAnsi="宋体"/>
          <w:color w:val="auto"/>
          <w:sz w:val="24"/>
          <w:highlight w:val="none"/>
        </w:rPr>
        <w:t xml:space="preserve">    6.1.2 监理不良行为违约的责任承担</w:t>
      </w:r>
    </w:p>
    <w:p w14:paraId="570472B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监理人发生监理不良行为一次，承担一般违约责任一次，监理人向委托人交纳违约金1000元。</w:t>
      </w:r>
    </w:p>
    <w:p w14:paraId="7FDC0DEF">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6.1.2.1 总监每月驻现场不少于10天，未经招标人书面同意，每少1天，视为监理人发生监理不良行为一次，承担一般违约责任一次，监理人向委托人交纳违约金1000元。</w:t>
      </w:r>
    </w:p>
    <w:p w14:paraId="3509ED2A">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6.1.2.2  总监或总监代表如果无故缺席例会或招标人组织的会议，每次交纳违约金2000元。</w:t>
      </w:r>
    </w:p>
    <w:p w14:paraId="4C28DC13">
      <w:pPr>
        <w:pStyle w:val="67"/>
        <w:spacing w:line="460" w:lineRule="exact"/>
        <w:ind w:firstLine="480" w:firstLineChars="200"/>
        <w:rPr>
          <w:rFonts w:hint="eastAsia" w:hAnsi="宋体"/>
          <w:b/>
          <w:bCs/>
          <w:color w:val="auto"/>
          <w:sz w:val="24"/>
          <w:highlight w:val="none"/>
          <w:u w:val="single"/>
        </w:rPr>
      </w:pPr>
      <w:r>
        <w:rPr>
          <w:rFonts w:hint="eastAsia" w:hAnsi="宋体"/>
          <w:color w:val="auto"/>
          <w:sz w:val="24"/>
          <w:highlight w:val="none"/>
        </w:rPr>
        <w:t xml:space="preserve">6.1.2.3 </w:t>
      </w:r>
      <w:r>
        <w:rPr>
          <w:rFonts w:hint="eastAsia" w:hAnsi="宋体"/>
          <w:b/>
          <w:bCs/>
          <w:color w:val="auto"/>
          <w:sz w:val="24"/>
          <w:highlight w:val="none"/>
          <w:u w:val="single"/>
        </w:rPr>
        <w:t>其他监理人员必须按配备要求在现场驻场监理，离开项目现场必须经委托人书面同意，如委托人发现监理人员非正常离岗，监理人向委托人每人次交纳违约金1000元。</w:t>
      </w:r>
    </w:p>
    <w:p w14:paraId="40A07E9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6.1.2.4 不按规定委派专业人员，不按时、准时参加各项验收和抽查的，不及时签署检查、验收记录的，一次向建设（委托）单位交纳违约金¥1000元/次、项。</w:t>
      </w:r>
    </w:p>
    <w:p w14:paraId="00A919FE">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6.1.2.5 不按规定委派相关人员参加项目竣工验收的，一次向建设（委托）单位交纳违约金¥</w:t>
      </w:r>
      <w:r>
        <w:rPr>
          <w:rFonts w:hint="eastAsia" w:hAnsi="宋体"/>
          <w:color w:val="auto"/>
          <w:sz w:val="24"/>
          <w:highlight w:val="none"/>
          <w:lang w:val="en-US" w:eastAsia="zh-CN"/>
        </w:rPr>
        <w:t>5000</w:t>
      </w:r>
      <w:r>
        <w:rPr>
          <w:rFonts w:hint="eastAsia" w:hAnsi="宋体"/>
          <w:color w:val="auto"/>
          <w:sz w:val="24"/>
          <w:highlight w:val="none"/>
        </w:rPr>
        <w:t>元/项，不签署意见的交纳违约金¥</w:t>
      </w:r>
      <w:r>
        <w:rPr>
          <w:rFonts w:hint="eastAsia" w:hAnsi="宋体"/>
          <w:color w:val="auto"/>
          <w:sz w:val="24"/>
          <w:highlight w:val="none"/>
          <w:lang w:val="en-US" w:eastAsia="zh-CN"/>
        </w:rPr>
        <w:t>5000</w:t>
      </w:r>
      <w:r>
        <w:rPr>
          <w:rFonts w:hint="eastAsia" w:hAnsi="宋体"/>
          <w:color w:val="auto"/>
          <w:sz w:val="24"/>
          <w:highlight w:val="none"/>
        </w:rPr>
        <w:t>元；</w:t>
      </w:r>
    </w:p>
    <w:p w14:paraId="7F533DF8">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6.1.2.6 不按时交纳资料的，交纳违约金¥</w:t>
      </w:r>
      <w:r>
        <w:rPr>
          <w:rFonts w:hint="eastAsia" w:hAnsi="宋体"/>
          <w:color w:val="auto"/>
          <w:sz w:val="24"/>
          <w:highlight w:val="none"/>
          <w:lang w:val="en-US" w:eastAsia="zh-CN"/>
        </w:rPr>
        <w:t>5</w:t>
      </w:r>
      <w:r>
        <w:rPr>
          <w:rFonts w:hint="eastAsia" w:hAnsi="宋体"/>
          <w:color w:val="auto"/>
          <w:sz w:val="24"/>
          <w:highlight w:val="none"/>
        </w:rPr>
        <w:t>万元，造成损失的，承担相应责任；</w:t>
      </w:r>
    </w:p>
    <w:p w14:paraId="779688EC">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6.1.2.7 同一问题未能按时整改，每重复一次监理人向委托人缴纳违约金1000元。</w:t>
      </w:r>
    </w:p>
    <w:p w14:paraId="1B0FB72B">
      <w:pPr>
        <w:pStyle w:val="67"/>
        <w:spacing w:line="460" w:lineRule="exact"/>
        <w:ind w:firstLine="482" w:firstLineChars="200"/>
        <w:rPr>
          <w:rFonts w:hint="eastAsia" w:hAnsi="宋体"/>
          <w:color w:val="auto"/>
          <w:sz w:val="24"/>
          <w:highlight w:val="none"/>
        </w:rPr>
      </w:pPr>
      <w:r>
        <w:rPr>
          <w:rFonts w:hint="eastAsia" w:hAnsi="宋体"/>
          <w:b/>
          <w:bCs/>
          <w:color w:val="auto"/>
          <w:sz w:val="24"/>
          <w:highlight w:val="none"/>
        </w:rPr>
        <w:t>6.2 监理过失事件违约</w:t>
      </w:r>
    </w:p>
    <w:p w14:paraId="32F6D49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6.2.1 监理过失事件违约的认定</w:t>
      </w:r>
    </w:p>
    <w:p w14:paraId="1A54557B">
      <w:pPr>
        <w:pStyle w:val="67"/>
        <w:spacing w:line="460" w:lineRule="exact"/>
        <w:rPr>
          <w:rFonts w:hint="eastAsia" w:hAnsi="宋体"/>
          <w:color w:val="auto"/>
          <w:sz w:val="24"/>
          <w:highlight w:val="none"/>
        </w:rPr>
      </w:pPr>
      <w:r>
        <w:rPr>
          <w:rFonts w:hint="eastAsia" w:hAnsi="宋体"/>
          <w:color w:val="auto"/>
          <w:sz w:val="24"/>
          <w:highlight w:val="none"/>
        </w:rPr>
        <w:t xml:space="preserve">    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57136A0A">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6.2.2 监理过失事件违约的责任承担</w:t>
      </w:r>
    </w:p>
    <w:p w14:paraId="294B43C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6.2.2.1 监理人发生监理过失事件违约一次，承担严重违约责任一次，监理人向委托人交纳违约金</w:t>
      </w:r>
      <w:r>
        <w:rPr>
          <w:rFonts w:hint="eastAsia" w:hAnsi="宋体"/>
          <w:color w:val="auto"/>
          <w:sz w:val="24"/>
          <w:highlight w:val="none"/>
          <w:lang w:val="en-US" w:eastAsia="zh-CN"/>
        </w:rPr>
        <w:t>5</w:t>
      </w:r>
      <w:r>
        <w:rPr>
          <w:rFonts w:hint="eastAsia" w:hAnsi="宋体"/>
          <w:color w:val="auto"/>
          <w:sz w:val="24"/>
          <w:highlight w:val="none"/>
        </w:rPr>
        <w:t>000元。</w:t>
      </w:r>
    </w:p>
    <w:p w14:paraId="0E4E3FC4">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6.2.2.2 如因监理人的原因而造成的经济损失，按如下规定向委托人赔偿： </w:t>
      </w:r>
    </w:p>
    <w:p w14:paraId="499CCC9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1）根据损失额（或工程变更引起增加额）与本工程签订的施工合同金额的比例，按相应比例双倍扣减监理酬金；若增加工程投资比例超过施工合同金额的20%时，委托人有权单方解除合同，并要求监理人赔偿委托人由此遭受的实际损失中的50%，累计不超过监理服务费的70%。</w:t>
      </w:r>
    </w:p>
    <w:p w14:paraId="15E547A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向委托人支付违约金。由于监理人责任导致工期延误，致使委托人要承担赔偿第三方责任的，监理人必须承担赔偿委托人由此遭受的实际损失中的50%。</w:t>
      </w:r>
    </w:p>
    <w:p w14:paraId="34467435">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6.2.2.3 监理人发生监理过失违约后，当委托人认为监理人无正当理由而又未履行监理义务时，有权部分解除合同或完全解除合同。</w:t>
      </w:r>
    </w:p>
    <w:p w14:paraId="0316EAAD">
      <w:pPr>
        <w:pStyle w:val="67"/>
        <w:spacing w:line="460" w:lineRule="exact"/>
        <w:rPr>
          <w:rFonts w:hint="eastAsia" w:hAnsi="宋体"/>
          <w:b/>
          <w:bCs/>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6.3 监理渎职事件违约</w:t>
      </w:r>
    </w:p>
    <w:p w14:paraId="141FA06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6.3.1 监理渎职事件违约的认定</w:t>
      </w:r>
    </w:p>
    <w:p w14:paraId="717DA5B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667AA1D3">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 6.3.2监理渎职事件违约的责任承担</w:t>
      </w:r>
    </w:p>
    <w:p w14:paraId="56249DD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6.3.2.1 监理人发生监理渎职违约一次，承担非常严重违约责任一次，扣除监理人违约金5000元。</w:t>
      </w:r>
    </w:p>
    <w:p w14:paraId="6BA85A70">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6.3.2.2 委托人勒令监理人更换监理人员，直至解除合同（合同解除办法同上）。</w:t>
      </w:r>
    </w:p>
    <w:p w14:paraId="134A9175">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6.3.2.3 如监理人的原因造成委托人或工程损失的，监理人承担全部赔偿责任。</w:t>
      </w:r>
    </w:p>
    <w:p w14:paraId="318F3568">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6.3.2.4 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¥10000元。如监理人违背了以下7款的任何情况，视为非常严重的违约，直接解除合同，不做费用补偿，且对已完成的监理服务，不再支付监理费用，并通报建设行政主管部门：</w:t>
      </w:r>
    </w:p>
    <w:p w14:paraId="677CAEB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1）禁止向委托人及承包人推销材料、设备，或以倾向性、排他性变相推销；</w:t>
      </w:r>
    </w:p>
    <w:p w14:paraId="7330B46C">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2）禁止与承包人串通，对不合格材料、产品、工程进行包庇及验收；</w:t>
      </w:r>
    </w:p>
    <w:p w14:paraId="478DF63A">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3）禁止与承包人串通，对材料用量、工程量进行虚假签认；</w:t>
      </w:r>
    </w:p>
    <w:p w14:paraId="55CE439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4）禁止与承包人串通，不合理提高施工难度及增加材料用量，以增大施工费用，获取不正当收益。</w:t>
      </w:r>
    </w:p>
    <w:p w14:paraId="5BE7D934">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5）禁止接受承包人的请吃送礼或变相受礼；</w:t>
      </w:r>
    </w:p>
    <w:p w14:paraId="4958A28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6）禁止向承包人介绍分包或推销材料、设备等；</w:t>
      </w:r>
    </w:p>
    <w:p w14:paraId="63E59BA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7）禁止故意刁难承包人以谋取私利，损害委托人的合法利益。</w:t>
      </w:r>
    </w:p>
    <w:p w14:paraId="22A09CB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6.3.2.5 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0C33A9D2">
      <w:pPr>
        <w:pStyle w:val="67"/>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6.4 监理不达标造成的违约</w:t>
      </w:r>
    </w:p>
    <w:p w14:paraId="101F443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6.4.1 监理不达标违约的认定</w:t>
      </w:r>
    </w:p>
    <w:p w14:paraId="1771CB90">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工程竣工结算后，监理协议书第三项监理目标的任何一项目标的不达标，均视为监理人的监理目标违约。</w:t>
      </w:r>
    </w:p>
    <w:p w14:paraId="6DD59B5C">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6.4.2 监理目标违约的责任承担</w:t>
      </w:r>
    </w:p>
    <w:p w14:paraId="2EA8D557">
      <w:pPr>
        <w:pStyle w:val="67"/>
        <w:spacing w:line="460" w:lineRule="exact"/>
        <w:rPr>
          <w:rFonts w:hint="eastAsia" w:hAnsi="宋体"/>
          <w:color w:val="auto"/>
          <w:sz w:val="24"/>
          <w:highlight w:val="none"/>
        </w:rPr>
      </w:pPr>
      <w:r>
        <w:rPr>
          <w:rFonts w:hint="eastAsia" w:hAnsi="宋体"/>
          <w:color w:val="auto"/>
          <w:sz w:val="24"/>
          <w:highlight w:val="none"/>
        </w:rPr>
        <w:t xml:space="preserve">    6.4.2.1 质量控制不达标：工程竣工验收质量未达到施工合同等级要求的，不管任何原因，结算扣减监理合同价款的3％。</w:t>
      </w:r>
    </w:p>
    <w:p w14:paraId="1EFA036F">
      <w:pPr>
        <w:pStyle w:val="67"/>
        <w:spacing w:line="460" w:lineRule="exact"/>
        <w:ind w:firstLine="480"/>
        <w:rPr>
          <w:rFonts w:hint="eastAsia" w:hAnsi="宋体"/>
          <w:color w:val="auto"/>
          <w:sz w:val="24"/>
          <w:highlight w:val="none"/>
        </w:rPr>
      </w:pPr>
      <w:r>
        <w:rPr>
          <w:rFonts w:hint="eastAsia" w:hAnsi="宋体"/>
          <w:color w:val="auto"/>
          <w:sz w:val="24"/>
          <w:highlight w:val="none"/>
        </w:rPr>
        <w:t>6.4.2.2 投资控制不达标：由监理单位编制投资控制计划和投资控制措施，报建设单位审核，若监理单位未能落实控制措施，出现投资增加，工程建安费结算价突破投资控制值的，每突破1％，结算扣减监理合同价款的1％。</w:t>
      </w:r>
    </w:p>
    <w:p w14:paraId="1B05263D">
      <w:pPr>
        <w:pStyle w:val="67"/>
        <w:spacing w:line="460" w:lineRule="exact"/>
        <w:ind w:firstLine="480"/>
        <w:rPr>
          <w:rFonts w:hint="eastAsia" w:hAnsi="宋体"/>
          <w:color w:val="auto"/>
          <w:sz w:val="24"/>
          <w:highlight w:val="none"/>
        </w:rPr>
      </w:pPr>
      <w:r>
        <w:rPr>
          <w:rFonts w:hint="eastAsia" w:hAnsi="宋体"/>
          <w:color w:val="auto"/>
          <w:sz w:val="24"/>
          <w:highlight w:val="none"/>
        </w:rPr>
        <w:t>6.4.2.3 进度控制不达标：工程竣工验收通过日延误的，委托人视监理人的责任情况结算扣减监理合同价款的1％－3％。</w:t>
      </w:r>
    </w:p>
    <w:p w14:paraId="47EB0213">
      <w:pPr>
        <w:pStyle w:val="67"/>
        <w:spacing w:line="460" w:lineRule="exact"/>
        <w:rPr>
          <w:rFonts w:hint="eastAsia" w:hAnsi="宋体"/>
          <w:color w:val="auto"/>
          <w:sz w:val="24"/>
          <w:highlight w:val="none"/>
        </w:rPr>
      </w:pPr>
      <w:r>
        <w:rPr>
          <w:rFonts w:hint="eastAsia" w:hAnsi="宋体"/>
          <w:color w:val="auto"/>
          <w:sz w:val="24"/>
          <w:highlight w:val="none"/>
        </w:rPr>
        <w:t xml:space="preserve">    6.4.2.4 安全管理不达标：工程发生一般安全生产事故，或被上级主管部门通报批评、被新闻媒体曝光的，结算扣减监理合同价款的1％；发生较大以上安全质量事故（按国家及合同有关规定界定）的，结算扣减监理合同价款的3％。情节严重的，委托人有权部分或全部解除合同。</w:t>
      </w:r>
    </w:p>
    <w:p w14:paraId="7FAF4CC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6.4.2.5 监理人应保证每季度进度计量（价）数据的准确性，如发生计量（价）误差＞5%，则视为监理人违约一次，扣除监理人违约金2000/次。</w:t>
      </w:r>
    </w:p>
    <w:p w14:paraId="7BE2691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6.4.2.6 对监理人上述违约处罚，不免除追究当事人和监理人的法律责任和相关赔偿责任。</w:t>
      </w:r>
    </w:p>
    <w:p w14:paraId="5719897F">
      <w:pPr>
        <w:pStyle w:val="67"/>
        <w:spacing w:line="460" w:lineRule="exact"/>
        <w:rPr>
          <w:rFonts w:hint="eastAsia" w:hAnsi="宋体"/>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6.5 监理违约的处理程序</w:t>
      </w:r>
    </w:p>
    <w:p w14:paraId="6E748AA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6.5.1 由委托人管理人员在“监理行为记录档案”中将监理人的具体违约情况记录，并将记录内容书面告知监理人。</w:t>
      </w:r>
    </w:p>
    <w:p w14:paraId="12C07D29">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6.5.2 委托人不定期将有关监理人的违约情况以记录、通知、会议纪要等书面形式通知监理人，指明其未能履约的内容和委托人要求其承担违约责任的等级。</w:t>
      </w:r>
    </w:p>
    <w:p w14:paraId="2852DF01">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6.5.3 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3E03E0DD">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6.5.4 委托人将进一步将监理人执行国家强制性规范、标准和履行合同、招投标文件义务的情况（包括但不限于由委托人组织的考核、考评通报、违约责任处理决定等）再报当地建设行政主管部门并在媒体上公开披露。</w:t>
      </w:r>
    </w:p>
    <w:p w14:paraId="7BA3621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6.5.5 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1D4C68F">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6.5.6 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4BE14420">
      <w:pPr>
        <w:pStyle w:val="4"/>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7" w:name="_Toc18555"/>
      <w:bookmarkStart w:id="238" w:name="_Toc15156"/>
      <w:bookmarkStart w:id="239" w:name="_Toc21519"/>
      <w:bookmarkStart w:id="240" w:name="_Toc22285"/>
      <w:r>
        <w:rPr>
          <w:rFonts w:hint="eastAsia" w:ascii="Times New Roman"/>
          <w:b/>
          <w:snapToGrid w:val="0"/>
          <w:color w:val="auto"/>
          <w:szCs w:val="22"/>
          <w:highlight w:val="none"/>
        </w:rPr>
        <w:t>7. 工程质量、造价、进度控制及安全生产管理</w:t>
      </w:r>
      <w:bookmarkEnd w:id="237"/>
      <w:bookmarkEnd w:id="238"/>
      <w:bookmarkEnd w:id="239"/>
      <w:bookmarkEnd w:id="240"/>
    </w:p>
    <w:p w14:paraId="052B44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 工程质量控制：</w:t>
      </w:r>
    </w:p>
    <w:p w14:paraId="17E18D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 工程开工前，项目监理机构应审查施工单位现场的质量管理组织机构、管理制度及专职管理人员和特种作业人员的资格。</w:t>
      </w:r>
    </w:p>
    <w:p w14:paraId="455E7DB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 总监理工程师应组织专业监理工程师审查施工单位报审的施工方案，符合要求后应予以签认。施工方案审查应包括下列基本内容：</w:t>
      </w:r>
    </w:p>
    <w:p w14:paraId="12AD25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572728C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5FD6D4F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7.1.3 施工方案报审表应按相应规范的要求填写。</w:t>
      </w:r>
    </w:p>
    <w:p w14:paraId="76AAFF2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7.1.4 专业监理工程师应审查施工单位报送的新材料、新工艺、新技术、新设备的质量认证材料和相关验收标准的适用性，必要时，应要求施工单位组织专题论证，审查合格后报总监理工程师签认。</w:t>
      </w:r>
    </w:p>
    <w:p w14:paraId="3D8D68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62243F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753C0AC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796848B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7.1.6 施工控制测量成果报验表应按相应规范的要求填写。</w:t>
      </w:r>
    </w:p>
    <w:p w14:paraId="2BC25C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7.1.7 专业监理工程师应检查施工单位为工程提供服务的试验室。</w:t>
      </w:r>
    </w:p>
    <w:p w14:paraId="4A8D2A7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3F1D69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083C22E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6188EF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7CDC8E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175389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7.1.8 施工单位的试验室报审表应按相应规范的要求填写。</w:t>
      </w:r>
    </w:p>
    <w:p w14:paraId="08372CD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7181CE0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7.1.10 专业监理工程师应审查施工单位定期提交影响工程质量的计量设备的检查和检定报告。</w:t>
      </w:r>
    </w:p>
    <w:p w14:paraId="0A2DFDB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7.1.11 项目监理机构应根据工程特点和施工单位报送的施工组织设计，确定旁站的关键部位、关键工序，安排监理人员进行旁站，并应及时记录旁站情况。旁站记录应按相应规范的要求填写。</w:t>
      </w:r>
    </w:p>
    <w:p w14:paraId="2B9D76A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7.1.12 项目监理机构应安排监理人员对工程施工质量进行巡视。巡视应包括下列主要内容：</w:t>
      </w:r>
    </w:p>
    <w:p w14:paraId="61D012E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52B664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42E824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13E44C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04FF7AB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7.1.13 项目监理机构应根据工程特点、专业要求，以及建设工程监理合同约定，对施工质量进行平行检验。</w:t>
      </w:r>
    </w:p>
    <w:p w14:paraId="5848EDA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50897D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3C86B2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7.1.16 对需要返工处理或加固补强的质量缺陷，项目监理机构应要求施工单位报送经设计等相关单位认可的处理方案，并应对质量缺陷的处理过程进行跟踪检查，同时应对处理结果进行验收。</w:t>
      </w:r>
    </w:p>
    <w:p w14:paraId="474DB2E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23CA89A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745CCB0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7.1.19 工程竣工预验收合格后，项目监理机构应编写工程质量评估报告，并应经总监理工程师和工程监理单位技术负责人审核签字后报建设单位。</w:t>
      </w:r>
    </w:p>
    <w:p w14:paraId="7D710A5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7.1.20 项目监理机构应参加由建设单位组织的竣工验收，对验收中提出的整改问题，应督促施工单位及时整改。工程质量符合要求的，总监理工程师应在工程竣工验收报告中签署意见。</w:t>
      </w:r>
    </w:p>
    <w:p w14:paraId="74C6A5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7.1.21 保修期满后，项目监理机构应参与保修期满质量复检，对复检中发现的问题提出整改意见并督促施工单位整改；整改合格后，总监理工程师在复检报告中签署意见。</w:t>
      </w:r>
    </w:p>
    <w:p w14:paraId="0A757B4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3BCC4A52">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7.2 工程造价控制：</w:t>
      </w:r>
    </w:p>
    <w:p w14:paraId="09D5150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7.2.1 项目监理机构应按下列程序进行工程计量和付款签证：</w:t>
      </w:r>
    </w:p>
    <w:p w14:paraId="7BBE9D5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5DDC942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10CB130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398555D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4F46741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7.2.2项目监理机构应编制月完成工程量统计表，对实际完成量与计划完成量进行比较分析，发现偏差的，应提出调整建议，并应在监理月报中向建设单位报告。</w:t>
      </w:r>
    </w:p>
    <w:p w14:paraId="7F9C80F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7.2.3 项目监理机构应按下列程序进行竣工结算款审核：</w:t>
      </w:r>
    </w:p>
    <w:p w14:paraId="0440067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60E9BF7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工程竣工结算款支付报审表及竣工结算款支付证书应按相应规范的要求填写。</w:t>
      </w:r>
    </w:p>
    <w:p w14:paraId="3FD6459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7.2.4项目监理单位应按上述要求和有关规定控制本项目的工程造价，若由于项目监理单位的过失造成工程造价提高，招标人按所提高造价额的50%从监理服务费中扣除，扣除累计不超过监理服务费的70%。</w:t>
      </w:r>
    </w:p>
    <w:p w14:paraId="731AD45B">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7.3 工程进度控制：</w:t>
      </w:r>
    </w:p>
    <w:p w14:paraId="3E1AF6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7.3.1 项目监理机构应审查施工单位报审的施工总进度计划和阶段性施工进度计划，提出审查意见，并应由总监理工程师审核后报建设单位。</w:t>
      </w:r>
    </w:p>
    <w:p w14:paraId="2D59DBC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7E8FAB1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00569D9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3C861E5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0BC42DF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093B1C0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0496196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2ACB63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36DEF7B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7.3.3 项目监理机构应比较分析工程施工实际进度与计划进度，预测实际进度对工程总工期的影响，并应在监理月报中向建设单位报告工程实际进展情况。</w:t>
      </w:r>
    </w:p>
    <w:p w14:paraId="5ABDE76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7.4 工程安全生产管理：</w:t>
      </w:r>
    </w:p>
    <w:p w14:paraId="15D9AE4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7.4.1 项目监理机构应根据法律法规、工程建设强制性标准，履行建设工程安全生产管理的监理职责，并应将安全生产管理的监理工作内容、方法和措施纳入监理规划及监理实施细则。</w:t>
      </w:r>
    </w:p>
    <w:p w14:paraId="643B3E7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9A0F99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F5790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489ED4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202BF9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15D6135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02665E5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7.4.4项目监理机构应巡视检查危险性较大的分部分项工程专项施工方案实施情况。发现未按专项施工方案实施时，应签发监理通知单，要求施工单位按专项施工方案实施。</w:t>
      </w:r>
    </w:p>
    <w:p w14:paraId="149AB1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3CBF63E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ascii="Times New Roman"/>
          <w:snapToGrid w:val="0"/>
          <w:color w:val="auto"/>
          <w:kern w:val="0"/>
          <w:highlight w:val="none"/>
        </w:rPr>
        <w:t>监理报告应按相应规范的要求填写。</w:t>
      </w:r>
    </w:p>
    <w:p w14:paraId="06BFFCA1">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D4094DE">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16FEEB7">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314BF6E">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6DE556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93AF343">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BE3E45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4E128E4">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AB7BD9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296E77F">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183EBD19">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1AE5DD62">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DA9969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bookmarkEnd w:id="179"/>
    <w:p w14:paraId="00DFB3FB">
      <w:pPr>
        <w:pStyle w:val="3"/>
        <w:tabs>
          <w:tab w:val="left" w:pos="885"/>
        </w:tabs>
        <w:wordWrap w:val="0"/>
        <w:autoSpaceDE/>
        <w:autoSpaceDN/>
        <w:snapToGrid w:val="0"/>
        <w:spacing w:line="440" w:lineRule="exact"/>
        <w:ind w:left="885" w:hanging="885"/>
        <w:jc w:val="center"/>
        <w:rPr>
          <w:rFonts w:ascii="Times New Roman"/>
          <w:b/>
          <w:snapToGrid w:val="0"/>
          <w:color w:val="auto"/>
          <w:sz w:val="32"/>
          <w:szCs w:val="22"/>
          <w:highlight w:val="none"/>
        </w:rPr>
      </w:pPr>
      <w:bookmarkStart w:id="241" w:name="_Toc21669"/>
      <w:bookmarkStart w:id="242" w:name="_Toc11137"/>
      <w:bookmarkStart w:id="243" w:name="_Toc12650"/>
      <w:bookmarkStart w:id="244" w:name="_Hlt69698796"/>
      <w:r>
        <w:rPr>
          <w:rFonts w:hint="eastAsia" w:ascii="Times New Roman"/>
          <w:b/>
          <w:snapToGrid w:val="0"/>
          <w:color w:val="auto"/>
          <w:sz w:val="32"/>
          <w:szCs w:val="22"/>
          <w:highlight w:val="none"/>
        </w:rPr>
        <w:t>第四章</w:t>
      </w:r>
      <w:bookmarkStart w:id="245" w:name="_Hlt87793853"/>
      <w:bookmarkEnd w:id="245"/>
      <w:r>
        <w:rPr>
          <w:rFonts w:hint="eastAsia" w:ascii="Times New Roman"/>
          <w:b/>
          <w:snapToGrid w:val="0"/>
          <w:color w:val="auto"/>
          <w:sz w:val="32"/>
          <w:szCs w:val="22"/>
          <w:highlight w:val="none"/>
        </w:rPr>
        <w:t xml:space="preserve"> 技术要求</w:t>
      </w:r>
      <w:bookmarkEnd w:id="241"/>
      <w:bookmarkEnd w:id="242"/>
      <w:bookmarkEnd w:id="243"/>
    </w:p>
    <w:bookmarkEnd w:id="244"/>
    <w:p w14:paraId="69F644B1">
      <w:pPr>
        <w:wordWrap w:val="0"/>
        <w:adjustRightInd w:val="0"/>
        <w:snapToGrid w:val="0"/>
        <w:spacing w:line="440" w:lineRule="exact"/>
        <w:rPr>
          <w:rFonts w:hint="eastAsia" w:hAnsi="宋体" w:cs="宋体"/>
          <w:bCs/>
          <w:snapToGrid w:val="0"/>
          <w:color w:val="auto"/>
          <w:kern w:val="0"/>
          <w:highlight w:val="none"/>
        </w:rPr>
      </w:pPr>
      <w:bookmarkStart w:id="246" w:name="_Hlt69359335"/>
      <w:bookmarkEnd w:id="246"/>
      <w:bookmarkStart w:id="247" w:name="_Hlt87793346"/>
      <w:bookmarkEnd w:id="247"/>
      <w:bookmarkStart w:id="248" w:name="_Hlt68774758"/>
      <w:bookmarkEnd w:id="248"/>
      <w:bookmarkStart w:id="249" w:name="_Hlt69358207"/>
      <w:bookmarkEnd w:id="249"/>
      <w:bookmarkStart w:id="250" w:name="_Hlt75685840"/>
      <w:bookmarkEnd w:id="250"/>
      <w:bookmarkStart w:id="251" w:name="_Hlt69265216"/>
      <w:bookmarkEnd w:id="251"/>
      <w:bookmarkStart w:id="252" w:name="_Hlt69116854"/>
      <w:bookmarkEnd w:id="252"/>
      <w:bookmarkStart w:id="253" w:name="_Hlt87793370"/>
      <w:bookmarkEnd w:id="253"/>
      <w:bookmarkStart w:id="254" w:name="_Hlt69357851"/>
      <w:bookmarkEnd w:id="254"/>
      <w:bookmarkStart w:id="255" w:name="_Hlt66104926"/>
      <w:bookmarkEnd w:id="255"/>
      <w:bookmarkStart w:id="256" w:name="_Hlt80411122"/>
      <w:bookmarkEnd w:id="256"/>
      <w:bookmarkStart w:id="257" w:name="_Toc2392"/>
      <w:bookmarkStart w:id="258" w:name="_Toc7515"/>
    </w:p>
    <w:bookmarkEnd w:id="257"/>
    <w:bookmarkEnd w:id="258"/>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59" w:name="_Hlt69116863"/>
      <w:bookmarkEnd w:id="259"/>
      <w:bookmarkStart w:id="260" w:name="_Hlt66848640"/>
      <w:bookmarkEnd w:id="260"/>
      <w:bookmarkStart w:id="261" w:name="_Hlt69265207"/>
      <w:bookmarkEnd w:id="261"/>
      <w:bookmarkStart w:id="262" w:name="_Hlt69358336"/>
      <w:bookmarkEnd w:id="262"/>
      <w:bookmarkStart w:id="263" w:name="_Hlt69635247"/>
      <w:bookmarkEnd w:id="263"/>
      <w:bookmarkStart w:id="264" w:name="_Hlt69338190"/>
      <w:bookmarkEnd w:id="264"/>
      <w:bookmarkStart w:id="265" w:name="_Toc29213"/>
      <w:bookmarkStart w:id="266" w:name="_Toc29899"/>
      <w:bookmarkStart w:id="267" w:name="_Toc25992"/>
      <w:bookmarkStart w:id="268" w:name="_Toc22126"/>
      <w:bookmarkStart w:id="269" w:name="_Toc16011"/>
      <w:bookmarkStart w:id="270" w:name="_Hlt69698785"/>
      <w:r>
        <w:rPr>
          <w:rFonts w:hint="eastAsia" w:ascii="宋体" w:hAnsi="宋体" w:eastAsia="宋体" w:cs="宋体"/>
          <w:b/>
          <w:snapToGrid w:val="0"/>
          <w:color w:val="auto"/>
          <w:kern w:val="0"/>
          <w:highlight w:val="none"/>
        </w:rPr>
        <w:t>1．房屋建筑工程建设项目</w:t>
      </w:r>
      <w:bookmarkEnd w:id="265"/>
      <w:bookmarkEnd w:id="266"/>
      <w:bookmarkEnd w:id="267"/>
      <w:bookmarkEnd w:id="268"/>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71" w:name="_Hlt69635252"/>
      <w:bookmarkEnd w:id="271"/>
      <w:bookmarkStart w:id="272" w:name="_Hlt69358458"/>
      <w:bookmarkEnd w:id="272"/>
      <w:bookmarkStart w:id="273" w:name="_Hlt78709799"/>
      <w:bookmarkEnd w:id="273"/>
      <w:bookmarkStart w:id="274" w:name="_Hlt69359243"/>
      <w:bookmarkEnd w:id="274"/>
      <w:bookmarkStart w:id="275" w:name="_Hlt69116858"/>
      <w:bookmarkEnd w:id="275"/>
      <w:bookmarkStart w:id="276" w:name="_Hlt69359086"/>
      <w:bookmarkEnd w:id="276"/>
      <w:bookmarkStart w:id="277" w:name="_Hlt69359245"/>
      <w:bookmarkEnd w:id="277"/>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78" w:name="_Hlt78795211"/>
      <w:bookmarkEnd w:id="278"/>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Cs/>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279" w:name="_Toc23789"/>
      <w:bookmarkStart w:id="280" w:name="_Toc2706"/>
      <w:bookmarkStart w:id="281" w:name="_Toc3631"/>
      <w:bookmarkStart w:id="282" w:name="_Toc16196"/>
      <w:r>
        <w:rPr>
          <w:rFonts w:hint="eastAsia" w:ascii="宋体" w:hAnsi="宋体" w:eastAsia="宋体" w:cs="宋体"/>
          <w:b/>
          <w:snapToGrid w:val="0"/>
          <w:color w:val="auto"/>
          <w:kern w:val="0"/>
          <w:highlight w:val="none"/>
        </w:rPr>
        <w:t>2．市政基础设施工程建设项目</w:t>
      </w:r>
      <w:bookmarkEnd w:id="279"/>
      <w:bookmarkEnd w:id="280"/>
      <w:bookmarkEnd w:id="281"/>
      <w:bookmarkEnd w:id="282"/>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3" w:name="_Toc20464"/>
      <w:bookmarkStart w:id="284" w:name="_Toc8840"/>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283"/>
      <w:bookmarkEnd w:id="284"/>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285" w:name="_Toc8828"/>
      <w:bookmarkStart w:id="286" w:name="_Toc12769"/>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285"/>
      <w:bookmarkEnd w:id="286"/>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7" w:name="_Toc17054"/>
      <w:bookmarkStart w:id="288" w:name="_Toc5338"/>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287"/>
      <w:bookmarkEnd w:id="288"/>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289" w:name="_Toc15704"/>
      <w:bookmarkStart w:id="290" w:name="_Toc17302"/>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289"/>
      <w:bookmarkEnd w:id="290"/>
    </w:p>
    <w:p w14:paraId="0F08A875">
      <w:pPr>
        <w:pStyle w:val="155"/>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91" w:name="_Toc5246"/>
      <w:bookmarkStart w:id="292" w:name="_Toc20571"/>
      <w:r>
        <w:rPr>
          <w:rFonts w:hint="eastAsia" w:ascii="宋体" w:hAnsi="宋体" w:eastAsia="宋体" w:cs="宋体"/>
          <w:b/>
          <w:snapToGrid w:val="0"/>
          <w:color w:val="auto"/>
          <w:kern w:val="0"/>
          <w:highlight w:val="none"/>
        </w:rPr>
        <w:t>3．备查要求</w:t>
      </w:r>
      <w:bookmarkEnd w:id="291"/>
      <w:bookmarkEnd w:id="292"/>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293" w:name="_Hlt69670335"/>
      <w:bookmarkEnd w:id="293"/>
    </w:p>
    <w:p w14:paraId="2C01AB53">
      <w:pPr>
        <w:pStyle w:val="3"/>
        <w:wordWrap w:val="0"/>
        <w:autoSpaceDE/>
        <w:autoSpaceDN/>
        <w:snapToGrid w:val="0"/>
        <w:spacing w:line="440" w:lineRule="exact"/>
        <w:jc w:val="center"/>
        <w:rPr>
          <w:rFonts w:ascii="Times New Roman"/>
          <w:b/>
          <w:snapToGrid w:val="0"/>
          <w:color w:val="auto"/>
          <w:sz w:val="32"/>
          <w:szCs w:val="22"/>
          <w:highlight w:val="none"/>
        </w:rPr>
      </w:pPr>
      <w:bookmarkStart w:id="294" w:name="_Toc27904"/>
      <w:r>
        <w:rPr>
          <w:rFonts w:hint="eastAsia" w:ascii="Times New Roman"/>
          <w:b/>
          <w:snapToGrid w:val="0"/>
          <w:color w:val="auto"/>
          <w:sz w:val="32"/>
          <w:szCs w:val="22"/>
          <w:highlight w:val="none"/>
        </w:rPr>
        <w:t xml:space="preserve">第五章 </w:t>
      </w:r>
      <w:bookmarkStart w:id="295" w:name="_Hlt75747044"/>
      <w:bookmarkEnd w:id="295"/>
      <w:r>
        <w:rPr>
          <w:rFonts w:hint="eastAsia" w:ascii="Times New Roman"/>
          <w:b/>
          <w:snapToGrid w:val="0"/>
          <w:color w:val="auto"/>
          <w:sz w:val="32"/>
          <w:szCs w:val="22"/>
          <w:highlight w:val="none"/>
        </w:rPr>
        <w:t>投标文件格式</w:t>
      </w:r>
      <w:bookmarkEnd w:id="269"/>
      <w:bookmarkEnd w:id="294"/>
    </w:p>
    <w:bookmarkEnd w:id="270"/>
    <w:p w14:paraId="7A6D8682">
      <w:pPr>
        <w:pStyle w:val="73"/>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highlight w:val="none"/>
        </w:rPr>
      </w:pPr>
      <w:bookmarkStart w:id="296" w:name="_附件一：投标函"/>
      <w:bookmarkEnd w:id="296"/>
      <w:bookmarkStart w:id="297" w:name="_附件五：综合评审合理低价法"/>
      <w:bookmarkEnd w:id="297"/>
      <w:bookmarkStart w:id="298" w:name="_附件四：工期承诺书"/>
      <w:bookmarkEnd w:id="298"/>
      <w:bookmarkStart w:id="299" w:name="_附件一：对招标文件条款自愿接受承诺书"/>
      <w:bookmarkEnd w:id="299"/>
      <w:bookmarkStart w:id="300" w:name="_附件二：近三年度主要施工项目（竣工及在建）一览表"/>
      <w:bookmarkEnd w:id="300"/>
      <w:bookmarkStart w:id="301" w:name="_附件二：工期承诺书"/>
      <w:bookmarkEnd w:id="301"/>
      <w:bookmarkStart w:id="302" w:name="_Toc137621693"/>
      <w:bookmarkStart w:id="303" w:name="_Toc200338097"/>
      <w:bookmarkStart w:id="304" w:name="_Hlt66847557"/>
      <w:bookmarkStart w:id="305" w:name="_Toc66849200"/>
    </w:p>
    <w:p w14:paraId="605BD047">
      <w:pPr>
        <w:pStyle w:val="73"/>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highlight w:val="none"/>
        </w:rPr>
      </w:pPr>
      <w:bookmarkStart w:id="306" w:name="_Toc63"/>
      <w:bookmarkStart w:id="307" w:name="_Toc31809"/>
      <w:r>
        <w:rPr>
          <w:rFonts w:hint="eastAsia" w:ascii="Times New Roman"/>
          <w:b/>
          <w:snapToGrid w:val="0"/>
          <w:color w:val="auto"/>
          <w:highlight w:val="none"/>
        </w:rPr>
        <w:t>格式一 封面</w:t>
      </w:r>
      <w:bookmarkEnd w:id="306"/>
      <w:bookmarkEnd w:id="307"/>
    </w:p>
    <w:p w14:paraId="5DF40F53">
      <w:pPr>
        <w:pStyle w:val="74"/>
        <w:widowControl w:val="0"/>
        <w:wordWrap w:val="0"/>
        <w:adjustRightInd w:val="0"/>
        <w:snapToGrid w:val="0"/>
        <w:spacing w:line="240" w:lineRule="auto"/>
        <w:rPr>
          <w:rFonts w:ascii="Times New Roman"/>
          <w:b/>
          <w:snapToGrid w:val="0"/>
          <w:color w:val="auto"/>
          <w:sz w:val="24"/>
          <w:highlight w:val="none"/>
        </w:rPr>
      </w:pPr>
    </w:p>
    <w:p w14:paraId="6FBB4A80">
      <w:pPr>
        <w:pStyle w:val="74"/>
        <w:widowControl w:val="0"/>
        <w:wordWrap w:val="0"/>
        <w:adjustRightInd w:val="0"/>
        <w:snapToGrid w:val="0"/>
        <w:spacing w:line="240" w:lineRule="auto"/>
        <w:jc w:val="right"/>
        <w:rPr>
          <w:rFonts w:ascii="Times New Roman"/>
          <w:b/>
          <w:snapToGrid w:val="0"/>
          <w:color w:val="auto"/>
          <w:sz w:val="24"/>
          <w:highlight w:val="none"/>
        </w:rPr>
      </w:pPr>
    </w:p>
    <w:p w14:paraId="59746A92">
      <w:pPr>
        <w:pStyle w:val="74"/>
        <w:widowControl w:val="0"/>
        <w:wordWrap w:val="0"/>
        <w:adjustRightInd w:val="0"/>
        <w:snapToGrid w:val="0"/>
        <w:spacing w:line="240" w:lineRule="auto"/>
        <w:rPr>
          <w:rFonts w:ascii="Times New Roman"/>
          <w:b/>
          <w:snapToGrid w:val="0"/>
          <w:color w:val="auto"/>
          <w:sz w:val="24"/>
          <w:highlight w:val="none"/>
        </w:rPr>
      </w:pPr>
    </w:p>
    <w:p w14:paraId="0294BCEE">
      <w:pPr>
        <w:pStyle w:val="74"/>
        <w:widowControl w:val="0"/>
        <w:wordWrap w:val="0"/>
        <w:adjustRightInd w:val="0"/>
        <w:snapToGrid w:val="0"/>
        <w:spacing w:line="240" w:lineRule="auto"/>
        <w:rPr>
          <w:rFonts w:ascii="Times New Roman"/>
          <w:b/>
          <w:snapToGrid w:val="0"/>
          <w:color w:val="auto"/>
          <w:sz w:val="24"/>
          <w:highlight w:val="none"/>
        </w:rPr>
      </w:pPr>
    </w:p>
    <w:p w14:paraId="7513099E">
      <w:pPr>
        <w:pStyle w:val="74"/>
        <w:widowControl w:val="0"/>
        <w:wordWrap w:val="0"/>
        <w:adjustRightInd w:val="0"/>
        <w:snapToGrid w:val="0"/>
        <w:spacing w:line="240" w:lineRule="auto"/>
        <w:rPr>
          <w:rFonts w:ascii="Times New Roman"/>
          <w:b/>
          <w:snapToGrid w:val="0"/>
          <w:color w:val="auto"/>
          <w:sz w:val="24"/>
          <w:highlight w:val="none"/>
        </w:rPr>
      </w:pPr>
    </w:p>
    <w:p w14:paraId="4875FFE9">
      <w:pPr>
        <w:pStyle w:val="74"/>
        <w:widowControl w:val="0"/>
        <w:wordWrap w:val="0"/>
        <w:adjustRightInd w:val="0"/>
        <w:snapToGrid w:val="0"/>
        <w:spacing w:line="240" w:lineRule="auto"/>
        <w:rPr>
          <w:rFonts w:ascii="Times New Roman"/>
          <w:b/>
          <w:snapToGrid w:val="0"/>
          <w:color w:val="auto"/>
          <w:sz w:val="24"/>
          <w:highlight w:val="none"/>
        </w:rPr>
      </w:pPr>
    </w:p>
    <w:p w14:paraId="2D9D39D4">
      <w:pPr>
        <w:pStyle w:val="74"/>
        <w:widowControl w:val="0"/>
        <w:wordWrap w:val="0"/>
        <w:adjustRightInd w:val="0"/>
        <w:snapToGrid w:val="0"/>
        <w:spacing w:line="240" w:lineRule="auto"/>
        <w:rPr>
          <w:rFonts w:ascii="Times New Roman"/>
          <w:b/>
          <w:snapToGrid w:val="0"/>
          <w:color w:val="auto"/>
          <w:sz w:val="24"/>
          <w:highlight w:val="none"/>
        </w:rPr>
      </w:pPr>
    </w:p>
    <w:p w14:paraId="5F4307BB">
      <w:pPr>
        <w:pStyle w:val="74"/>
        <w:widowControl w:val="0"/>
        <w:wordWrap w:val="0"/>
        <w:adjustRightInd w:val="0"/>
        <w:snapToGrid w:val="0"/>
        <w:spacing w:line="240" w:lineRule="auto"/>
        <w:rPr>
          <w:rFonts w:ascii="Times New Roman"/>
          <w:b/>
          <w:snapToGrid w:val="0"/>
          <w:color w:val="auto"/>
          <w:sz w:val="24"/>
          <w:highlight w:val="none"/>
        </w:rPr>
      </w:pPr>
    </w:p>
    <w:p w14:paraId="0005A7BA">
      <w:pPr>
        <w:pStyle w:val="74"/>
        <w:widowControl w:val="0"/>
        <w:wordWrap w:val="0"/>
        <w:adjustRightInd w:val="0"/>
        <w:snapToGrid w:val="0"/>
        <w:spacing w:line="240" w:lineRule="auto"/>
        <w:rPr>
          <w:rFonts w:ascii="Times New Roman"/>
          <w:b/>
          <w:snapToGrid w:val="0"/>
          <w:color w:val="auto"/>
          <w:sz w:val="24"/>
          <w:highlight w:val="none"/>
        </w:rPr>
      </w:pPr>
    </w:p>
    <w:p w14:paraId="38D03B0C">
      <w:pPr>
        <w:pStyle w:val="74"/>
        <w:widowControl w:val="0"/>
        <w:wordWrap w:val="0"/>
        <w:adjustRightInd w:val="0"/>
        <w:snapToGrid w:val="0"/>
        <w:spacing w:line="240" w:lineRule="auto"/>
        <w:rPr>
          <w:rFonts w:ascii="Times New Roman"/>
          <w:b/>
          <w:snapToGrid w:val="0"/>
          <w:color w:val="auto"/>
          <w:sz w:val="24"/>
          <w:highlight w:val="none"/>
        </w:rPr>
      </w:pPr>
    </w:p>
    <w:p w14:paraId="01F56212">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3BD1E3C7">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3D2A6112">
      <w:pPr>
        <w:pStyle w:val="74"/>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5A4D8E98">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189B292E">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p>
    <w:p w14:paraId="21D0A39E">
      <w:pPr>
        <w:pStyle w:val="74"/>
        <w:widowControl w:val="0"/>
        <w:wordWrap w:val="0"/>
        <w:adjustRightInd w:val="0"/>
        <w:snapToGrid w:val="0"/>
        <w:spacing w:line="240" w:lineRule="auto"/>
        <w:rPr>
          <w:rFonts w:ascii="Times New Roman"/>
          <w:b/>
          <w:snapToGrid w:val="0"/>
          <w:color w:val="auto"/>
          <w:highlight w:val="none"/>
        </w:rPr>
      </w:pPr>
    </w:p>
    <w:p w14:paraId="47BA86B9">
      <w:pPr>
        <w:pStyle w:val="74"/>
        <w:widowControl w:val="0"/>
        <w:wordWrap w:val="0"/>
        <w:adjustRightInd w:val="0"/>
        <w:snapToGrid w:val="0"/>
        <w:spacing w:line="240" w:lineRule="auto"/>
        <w:rPr>
          <w:rFonts w:ascii="Times New Roman"/>
          <w:b/>
          <w:snapToGrid w:val="0"/>
          <w:color w:val="auto"/>
          <w:sz w:val="32"/>
          <w:highlight w:val="none"/>
        </w:rPr>
      </w:pPr>
    </w:p>
    <w:p w14:paraId="65C3F1D5">
      <w:pPr>
        <w:pStyle w:val="74"/>
        <w:widowControl w:val="0"/>
        <w:wordWrap w:val="0"/>
        <w:adjustRightInd w:val="0"/>
        <w:snapToGrid w:val="0"/>
        <w:spacing w:line="240" w:lineRule="auto"/>
        <w:rPr>
          <w:rFonts w:ascii="Times New Roman"/>
          <w:b/>
          <w:snapToGrid w:val="0"/>
          <w:color w:val="auto"/>
          <w:sz w:val="32"/>
          <w:highlight w:val="none"/>
        </w:rPr>
      </w:pPr>
    </w:p>
    <w:p w14:paraId="04CF17A0">
      <w:pPr>
        <w:pStyle w:val="74"/>
        <w:widowControl w:val="0"/>
        <w:wordWrap w:val="0"/>
        <w:adjustRightInd w:val="0"/>
        <w:snapToGrid w:val="0"/>
        <w:spacing w:line="240" w:lineRule="auto"/>
        <w:rPr>
          <w:rFonts w:ascii="Times New Roman"/>
          <w:b/>
          <w:snapToGrid w:val="0"/>
          <w:color w:val="auto"/>
          <w:sz w:val="32"/>
          <w:highlight w:val="none"/>
        </w:rPr>
      </w:pPr>
    </w:p>
    <w:p w14:paraId="70B9E93C">
      <w:pPr>
        <w:pStyle w:val="74"/>
        <w:widowControl w:val="0"/>
        <w:wordWrap w:val="0"/>
        <w:adjustRightInd w:val="0"/>
        <w:snapToGrid w:val="0"/>
        <w:spacing w:line="240" w:lineRule="auto"/>
        <w:rPr>
          <w:rFonts w:ascii="Times New Roman"/>
          <w:b/>
          <w:snapToGrid w:val="0"/>
          <w:color w:val="auto"/>
          <w:sz w:val="32"/>
          <w:highlight w:val="none"/>
        </w:rPr>
      </w:pPr>
    </w:p>
    <w:p w14:paraId="1ECCE2FB">
      <w:pPr>
        <w:pStyle w:val="74"/>
        <w:widowControl w:val="0"/>
        <w:wordWrap w:val="0"/>
        <w:adjustRightInd w:val="0"/>
        <w:snapToGrid w:val="0"/>
        <w:spacing w:line="240" w:lineRule="auto"/>
        <w:rPr>
          <w:rFonts w:ascii="Times New Roman"/>
          <w:b/>
          <w:snapToGrid w:val="0"/>
          <w:color w:val="auto"/>
          <w:sz w:val="32"/>
          <w:highlight w:val="none"/>
        </w:rPr>
      </w:pPr>
    </w:p>
    <w:p w14:paraId="1EB2808C">
      <w:pPr>
        <w:pStyle w:val="74"/>
        <w:widowControl w:val="0"/>
        <w:wordWrap w:val="0"/>
        <w:adjustRightInd w:val="0"/>
        <w:snapToGrid w:val="0"/>
        <w:spacing w:line="240" w:lineRule="auto"/>
        <w:rPr>
          <w:rFonts w:ascii="Times New Roman"/>
          <w:b/>
          <w:snapToGrid w:val="0"/>
          <w:color w:val="auto"/>
          <w:sz w:val="32"/>
          <w:highlight w:val="none"/>
        </w:rPr>
      </w:pPr>
    </w:p>
    <w:p w14:paraId="759F596E">
      <w:pPr>
        <w:pStyle w:val="74"/>
        <w:widowControl w:val="0"/>
        <w:wordWrap w:val="0"/>
        <w:adjustRightInd w:val="0"/>
        <w:snapToGrid w:val="0"/>
        <w:spacing w:line="240" w:lineRule="auto"/>
        <w:rPr>
          <w:rFonts w:ascii="Times New Roman"/>
          <w:b/>
          <w:snapToGrid w:val="0"/>
          <w:color w:val="auto"/>
          <w:sz w:val="32"/>
          <w:highlight w:val="none"/>
        </w:rPr>
      </w:pPr>
    </w:p>
    <w:p w14:paraId="146D5E17">
      <w:pPr>
        <w:pStyle w:val="74"/>
        <w:widowControl w:val="0"/>
        <w:wordWrap w:val="0"/>
        <w:adjustRightInd w:val="0"/>
        <w:snapToGrid w:val="0"/>
        <w:spacing w:line="240" w:lineRule="auto"/>
        <w:rPr>
          <w:rFonts w:ascii="Times New Roman"/>
          <w:b/>
          <w:snapToGrid w:val="0"/>
          <w:color w:val="auto"/>
          <w:sz w:val="32"/>
          <w:highlight w:val="none"/>
        </w:rPr>
      </w:pPr>
    </w:p>
    <w:p w14:paraId="6742C860">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DAF0F5D">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0642C6A2">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60435907">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6A449385">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234CEA92">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565FD46B">
      <w:pPr>
        <w:pStyle w:val="74"/>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1A771D3C">
      <w:pPr>
        <w:pStyle w:val="74"/>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2B7C22CA">
      <w:pPr>
        <w:pStyle w:val="74"/>
        <w:widowControl w:val="0"/>
        <w:wordWrap w:val="0"/>
        <w:adjustRightInd w:val="0"/>
        <w:snapToGrid w:val="0"/>
        <w:rPr>
          <w:rFonts w:ascii="Times New Roman"/>
          <w:b/>
          <w:snapToGrid w:val="0"/>
          <w:color w:val="auto"/>
          <w:highlight w:val="none"/>
        </w:rPr>
      </w:pPr>
    </w:p>
    <w:p w14:paraId="60968DD1">
      <w:pPr>
        <w:pStyle w:val="74"/>
        <w:widowControl w:val="0"/>
        <w:wordWrap w:val="0"/>
        <w:adjustRightInd w:val="0"/>
        <w:snapToGrid w:val="0"/>
        <w:rPr>
          <w:rFonts w:ascii="Times New Roman"/>
          <w:b/>
          <w:snapToGrid w:val="0"/>
          <w:color w:val="auto"/>
          <w:highlight w:val="none"/>
        </w:rPr>
      </w:pPr>
    </w:p>
    <w:p w14:paraId="20B8FB5C">
      <w:pPr>
        <w:pStyle w:val="74"/>
        <w:widowControl w:val="0"/>
        <w:wordWrap w:val="0"/>
        <w:adjustRightInd w:val="0"/>
        <w:snapToGrid w:val="0"/>
        <w:rPr>
          <w:rFonts w:ascii="Times New Roman"/>
          <w:b/>
          <w:snapToGrid w:val="0"/>
          <w:color w:val="auto"/>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5A266C5">
      <w:pPr>
        <w:pStyle w:val="4"/>
        <w:wordWrap w:val="0"/>
        <w:autoSpaceDE/>
        <w:autoSpaceDN/>
        <w:snapToGrid w:val="0"/>
        <w:spacing w:line="440" w:lineRule="exact"/>
        <w:rPr>
          <w:rFonts w:ascii="Times New Roman"/>
          <w:b/>
          <w:snapToGrid w:val="0"/>
          <w:color w:val="auto"/>
          <w:highlight w:val="none"/>
        </w:rPr>
      </w:pPr>
      <w:bookmarkStart w:id="308" w:name="_Toc21838"/>
      <w:bookmarkStart w:id="309" w:name="_Toc29299"/>
      <w:bookmarkStart w:id="310" w:name="_Toc104711098"/>
      <w:bookmarkStart w:id="311" w:name="_Toc106418843"/>
      <w:r>
        <w:rPr>
          <w:rFonts w:hint="eastAsia" w:ascii="Times New Roman"/>
          <w:b/>
          <w:snapToGrid w:val="0"/>
          <w:color w:val="auto"/>
          <w:highlight w:val="none"/>
        </w:rPr>
        <w:t>格式</w:t>
      </w:r>
      <w:bookmarkStart w:id="312" w:name="_Hlt97526007"/>
      <w:bookmarkEnd w:id="312"/>
      <w:r>
        <w:rPr>
          <w:rFonts w:hint="eastAsia" w:ascii="Times New Roman"/>
          <w:b/>
          <w:snapToGrid w:val="0"/>
          <w:color w:val="auto"/>
          <w:highlight w:val="none"/>
        </w:rPr>
        <w:t>二 投标函</w:t>
      </w:r>
      <w:bookmarkEnd w:id="308"/>
      <w:bookmarkEnd w:id="309"/>
    </w:p>
    <w:p w14:paraId="47DFBF08">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310"/>
      <w:bookmarkEnd w:id="311"/>
    </w:p>
    <w:p w14:paraId="7699421D">
      <w:pPr>
        <w:wordWrap w:val="0"/>
        <w:adjustRightInd w:val="0"/>
        <w:snapToGrid w:val="0"/>
        <w:spacing w:line="440" w:lineRule="exact"/>
        <w:jc w:val="center"/>
        <w:rPr>
          <w:rFonts w:ascii="Times New Roman"/>
          <w:b/>
          <w:snapToGrid w:val="0"/>
          <w:color w:val="auto"/>
          <w:kern w:val="0"/>
          <w:highlight w:val="none"/>
        </w:rPr>
      </w:pPr>
    </w:p>
    <w:p w14:paraId="6A37BA44">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2F2551D">
      <w:pPr>
        <w:wordWrap w:val="0"/>
        <w:adjustRightInd w:val="0"/>
        <w:snapToGrid w:val="0"/>
        <w:spacing w:line="500" w:lineRule="exact"/>
        <w:ind w:firstLine="570"/>
        <w:rPr>
          <w:rFonts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我方在仔细研究</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 xml:space="preserve">（小写）：（¥ </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）竞投本项目监理及相关服务</w:t>
      </w:r>
      <w:r>
        <w:rPr>
          <w:rFonts w:hint="eastAsia" w:hAnsi="宋体" w:cs="宋体"/>
          <w:snapToGrid w:val="0"/>
          <w:color w:val="auto"/>
          <w:kern w:val="0"/>
          <w:szCs w:val="22"/>
          <w:highlight w:val="none"/>
          <w:lang w:eastAsia="zh-CN"/>
        </w:rPr>
        <w:t>，投标取费费率为</w:t>
      </w:r>
      <w:r>
        <w:rPr>
          <w:rFonts w:hint="eastAsia" w:hAnsi="宋体" w:cs="宋体"/>
          <w:snapToGrid w:val="0"/>
          <w:color w:val="auto"/>
          <w:kern w:val="0"/>
          <w:szCs w:val="22"/>
          <w:highlight w:val="none"/>
          <w:u w:val="single"/>
          <w:lang w:eastAsia="zh-CN"/>
        </w:rPr>
        <w:t xml:space="preserve">     </w:t>
      </w:r>
      <w:r>
        <w:rPr>
          <w:rFonts w:hint="eastAsia" w:hAnsi="宋体" w:cs="宋体"/>
          <w:snapToGrid w:val="0"/>
          <w:color w:val="auto"/>
          <w:kern w:val="0"/>
          <w:szCs w:val="22"/>
          <w:highlight w:val="none"/>
          <w:lang w:eastAsia="zh-CN"/>
        </w:rPr>
        <w:t>%</w:t>
      </w:r>
      <w:r>
        <w:rPr>
          <w:rFonts w:hint="eastAsia" w:hAnsi="宋体" w:cs="宋体"/>
          <w:snapToGrid w:val="0"/>
          <w:color w:val="auto"/>
          <w:kern w:val="0"/>
          <w:szCs w:val="22"/>
          <w:highlight w:val="none"/>
        </w:rPr>
        <w:t>。</w:t>
      </w:r>
    </w:p>
    <w:p w14:paraId="00F3B9EA">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highlight w:val="none"/>
        </w:rPr>
      </w:pPr>
      <w:bookmarkStart w:id="313" w:name="_Hlt68771070"/>
      <w:bookmarkEnd w:id="313"/>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28C057D">
      <w:pPr>
        <w:wordWrap w:val="0"/>
        <w:adjustRightInd w:val="0"/>
        <w:snapToGrid w:val="0"/>
        <w:spacing w:line="440" w:lineRule="exact"/>
        <w:rPr>
          <w:rFonts w:ascii="Times New Roman"/>
          <w:snapToGrid w:val="0"/>
          <w:color w:val="auto"/>
          <w:kern w:val="0"/>
          <w:highlight w:val="none"/>
        </w:rPr>
      </w:pPr>
    </w:p>
    <w:p w14:paraId="276EABA1">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4CA7B314">
      <w:pPr>
        <w:wordWrap w:val="0"/>
        <w:adjustRightInd w:val="0"/>
        <w:snapToGrid w:val="0"/>
        <w:spacing w:line="440" w:lineRule="exact"/>
        <w:jc w:val="right"/>
        <w:rPr>
          <w:rFonts w:ascii="Times New Roman"/>
          <w:snapToGrid w:val="0"/>
          <w:color w:val="auto"/>
          <w:kern w:val="0"/>
          <w:highlight w:val="none"/>
        </w:rPr>
      </w:pPr>
    </w:p>
    <w:p w14:paraId="387ED88C">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highlight w:val="none"/>
        </w:rPr>
      </w:pPr>
    </w:p>
    <w:p w14:paraId="28DC9D94">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5B8347D">
      <w:pPr>
        <w:pStyle w:val="74"/>
        <w:widowControl w:val="0"/>
        <w:wordWrap w:val="0"/>
        <w:adjustRightInd w:val="0"/>
        <w:snapToGrid w:val="0"/>
        <w:spacing w:line="400" w:lineRule="exact"/>
        <w:ind w:firstLine="0"/>
        <w:outlineLvl w:val="1"/>
        <w:rPr>
          <w:rFonts w:hAnsi="宋体" w:cs="宋体"/>
          <w:b/>
          <w:snapToGrid w:val="0"/>
          <w:color w:val="auto"/>
          <w:sz w:val="24"/>
          <w:highlight w:val="none"/>
        </w:rPr>
      </w:pPr>
      <w:bookmarkStart w:id="314" w:name="_Toc1644"/>
      <w:r>
        <w:rPr>
          <w:rFonts w:hint="eastAsia" w:hAnsi="宋体" w:cs="宋体"/>
          <w:b/>
          <w:snapToGrid w:val="0"/>
          <w:color w:val="auto"/>
          <w:sz w:val="24"/>
          <w:highlight w:val="none"/>
        </w:rPr>
        <w:t>格式三 各项承诺一览表</w:t>
      </w:r>
      <w:bookmarkEnd w:id="314"/>
    </w:p>
    <w:p w14:paraId="20B05016">
      <w:pPr>
        <w:pStyle w:val="73"/>
        <w:keepNext w:val="0"/>
        <w:keepLines w:val="0"/>
        <w:widowControl w:val="0"/>
        <w:wordWrap w:val="0"/>
        <w:adjustRightInd w:val="0"/>
        <w:snapToGrid w:val="0"/>
        <w:spacing w:before="260" w:after="260" w:line="440" w:lineRule="exact"/>
        <w:ind w:firstLine="0"/>
        <w:outlineLvl w:val="9"/>
        <w:rPr>
          <w:rFonts w:hAnsi="宋体" w:cs="宋体"/>
          <w:b/>
          <w:snapToGrid w:val="0"/>
          <w:color w:val="auto"/>
          <w:highlight w:val="none"/>
        </w:rPr>
      </w:pPr>
      <w:bookmarkStart w:id="315" w:name="_Toc24548"/>
      <w:bookmarkStart w:id="316" w:name="_Toc11270"/>
      <w:bookmarkStart w:id="317" w:name="_Toc18253"/>
      <w:bookmarkStart w:id="318" w:name="_Toc27092"/>
      <w:bookmarkStart w:id="319" w:name="_Toc7685"/>
      <w:r>
        <w:rPr>
          <w:rFonts w:hint="eastAsia" w:hAnsi="宋体" w:cs="宋体"/>
          <w:b/>
          <w:snapToGrid w:val="0"/>
          <w:color w:val="auto"/>
          <w:sz w:val="30"/>
          <w:highlight w:val="none"/>
        </w:rPr>
        <w:t>各项承诺一览表</w:t>
      </w:r>
      <w:bookmarkEnd w:id="315"/>
      <w:bookmarkEnd w:id="316"/>
      <w:bookmarkEnd w:id="317"/>
      <w:bookmarkEnd w:id="318"/>
      <w:bookmarkEnd w:id="319"/>
    </w:p>
    <w:tbl>
      <w:tblPr>
        <w:tblStyle w:val="31"/>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序号</w:t>
            </w:r>
          </w:p>
        </w:tc>
        <w:tc>
          <w:tcPr>
            <w:tcW w:w="1573" w:type="dxa"/>
            <w:tcBorders>
              <w:tl2br w:val="nil"/>
              <w:tr2bl w:val="nil"/>
            </w:tcBorders>
            <w:vAlign w:val="center"/>
          </w:tcPr>
          <w:p w14:paraId="0DD645C3">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承诺事项</w:t>
            </w:r>
          </w:p>
        </w:tc>
        <w:tc>
          <w:tcPr>
            <w:tcW w:w="2923" w:type="dxa"/>
            <w:tcBorders>
              <w:tl2br w:val="nil"/>
              <w:tr2bl w:val="nil"/>
            </w:tcBorders>
            <w:vAlign w:val="center"/>
          </w:tcPr>
          <w:p w14:paraId="286917BA">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承诺内容</w:t>
            </w:r>
          </w:p>
        </w:tc>
        <w:tc>
          <w:tcPr>
            <w:tcW w:w="4019" w:type="dxa"/>
            <w:tcBorders>
              <w:tl2br w:val="nil"/>
              <w:tr2bl w:val="nil"/>
            </w:tcBorders>
            <w:vAlign w:val="center"/>
          </w:tcPr>
          <w:p w14:paraId="5A051E55">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tcBorders>
              <w:tl2br w:val="nil"/>
              <w:tr2bl w:val="nil"/>
            </w:tcBorders>
            <w:vAlign w:val="center"/>
          </w:tcPr>
          <w:p w14:paraId="746B30D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71ED28B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923" w:type="dxa"/>
            <w:tcBorders>
              <w:tl2br w:val="nil"/>
              <w:tr2bl w:val="nil"/>
            </w:tcBorders>
            <w:vAlign w:val="center"/>
          </w:tcPr>
          <w:p w14:paraId="2D307866">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tcBorders>
              <w:tl2br w:val="nil"/>
              <w:tr2bl w:val="nil"/>
            </w:tcBorders>
            <w:vAlign w:val="center"/>
          </w:tcPr>
          <w:p w14:paraId="4E13328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2E04458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923" w:type="dxa"/>
            <w:tcBorders>
              <w:tl2br w:val="nil"/>
              <w:tr2bl w:val="nil"/>
            </w:tcBorders>
            <w:vAlign w:val="center"/>
          </w:tcPr>
          <w:p w14:paraId="6A2783C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60B01B1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tcBorders>
              <w:tl2br w:val="nil"/>
              <w:tr2bl w:val="nil"/>
            </w:tcBorders>
            <w:vAlign w:val="center"/>
          </w:tcPr>
          <w:p w14:paraId="7327796A">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6537DAA0">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3A865B06">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923" w:type="dxa"/>
            <w:tcBorders>
              <w:tl2br w:val="nil"/>
              <w:tr2bl w:val="nil"/>
            </w:tcBorders>
            <w:vAlign w:val="center"/>
          </w:tcPr>
          <w:p w14:paraId="1074D0F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tcBorders>
              <w:tl2br w:val="nil"/>
              <w:tr2bl w:val="nil"/>
            </w:tcBorders>
            <w:vAlign w:val="center"/>
          </w:tcPr>
          <w:p w14:paraId="754EDB94">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4D5B47C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923" w:type="dxa"/>
            <w:tcBorders>
              <w:tl2br w:val="nil"/>
              <w:tr2bl w:val="nil"/>
            </w:tcBorders>
            <w:vAlign w:val="center"/>
          </w:tcPr>
          <w:p w14:paraId="0015B20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tcBorders>
              <w:tl2br w:val="nil"/>
              <w:tr2bl w:val="nil"/>
            </w:tcBorders>
            <w:vAlign w:val="center"/>
          </w:tcPr>
          <w:p w14:paraId="003F6C1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5656361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923" w:type="dxa"/>
            <w:tcBorders>
              <w:tl2br w:val="nil"/>
              <w:tr2bl w:val="nil"/>
            </w:tcBorders>
            <w:vAlign w:val="center"/>
          </w:tcPr>
          <w:p w14:paraId="3AAF78A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537798B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tcBorders>
              <w:tl2br w:val="nil"/>
              <w:tr2bl w:val="nil"/>
            </w:tcBorders>
            <w:vAlign w:val="center"/>
          </w:tcPr>
          <w:p w14:paraId="4626B0C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3294E70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923" w:type="dxa"/>
            <w:tcBorders>
              <w:tl2br w:val="nil"/>
              <w:tr2bl w:val="nil"/>
            </w:tcBorders>
            <w:vAlign w:val="center"/>
          </w:tcPr>
          <w:p w14:paraId="0BD5A69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val="en-US" w:eastAsia="zh-CN"/>
              </w:rPr>
              <w:t>7</w:t>
            </w:r>
          </w:p>
        </w:tc>
        <w:tc>
          <w:tcPr>
            <w:tcW w:w="1573" w:type="dxa"/>
            <w:tcBorders>
              <w:tl2br w:val="nil"/>
              <w:tr2bl w:val="nil"/>
            </w:tcBorders>
            <w:vAlign w:val="center"/>
          </w:tcPr>
          <w:p w14:paraId="7E0FB44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3DA8757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923" w:type="dxa"/>
            <w:tcBorders>
              <w:tl2br w:val="nil"/>
              <w:tr2bl w:val="nil"/>
            </w:tcBorders>
            <w:vAlign w:val="center"/>
          </w:tcPr>
          <w:p w14:paraId="108034D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5"/>
        <w:wordWrap w:val="0"/>
        <w:adjustRightInd w:val="0"/>
        <w:snapToGrid w:val="0"/>
        <w:spacing w:line="420" w:lineRule="exact"/>
        <w:jc w:val="left"/>
        <w:rPr>
          <w:rFonts w:hAnsi="宋体" w:cs="宋体"/>
          <w:snapToGrid w:val="0"/>
          <w:color w:val="auto"/>
          <w:kern w:val="0"/>
          <w:highlight w:val="none"/>
        </w:rPr>
      </w:pPr>
    </w:p>
    <w:p w14:paraId="4B6FF6DB">
      <w:pPr>
        <w:pStyle w:val="75"/>
        <w:wordWrap w:val="0"/>
        <w:adjustRightInd w:val="0"/>
        <w:snapToGrid w:val="0"/>
        <w:spacing w:line="420" w:lineRule="exact"/>
        <w:jc w:val="left"/>
        <w:rPr>
          <w:rFonts w:hAnsi="宋体" w:cs="宋体"/>
          <w:snapToGrid w:val="0"/>
          <w:color w:val="auto"/>
          <w:kern w:val="0"/>
          <w:highlight w:val="none"/>
        </w:rPr>
      </w:pPr>
    </w:p>
    <w:p w14:paraId="148553C2">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28CA7502">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BE8168B">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172B28D">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40FD3ED2">
      <w:pPr>
        <w:pStyle w:val="17"/>
        <w:wordWrap w:val="0"/>
        <w:adjustRightInd w:val="0"/>
        <w:snapToGrid w:val="0"/>
        <w:spacing w:line="420" w:lineRule="exact"/>
        <w:ind w:firstLine="480" w:firstLineChars="200"/>
        <w:rPr>
          <w:rFonts w:hAnsi="宋体" w:cs="宋体"/>
          <w:snapToGrid w:val="0"/>
          <w:color w:val="auto"/>
          <w:kern w:val="0"/>
          <w:szCs w:val="24"/>
          <w:highlight w:val="none"/>
        </w:rPr>
      </w:pPr>
    </w:p>
    <w:p w14:paraId="498998F1">
      <w:pPr>
        <w:pStyle w:val="17"/>
        <w:wordWrap w:val="0"/>
        <w:adjustRightInd w:val="0"/>
        <w:snapToGrid w:val="0"/>
        <w:spacing w:line="420" w:lineRule="exact"/>
        <w:ind w:firstLine="480" w:firstLineChars="200"/>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3E8D0F6D">
      <w:pPr>
        <w:wordWrap w:val="0"/>
        <w:adjustRightInd w:val="0"/>
        <w:snapToGrid w:val="0"/>
        <w:spacing w:line="420" w:lineRule="exact"/>
        <w:jc w:val="left"/>
        <w:rPr>
          <w:rFonts w:hAnsi="宋体" w:cs="宋体"/>
          <w:b/>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highlight w:val="none"/>
        </w:rPr>
      </w:pPr>
      <w:bookmarkStart w:id="320" w:name="_Toc32644"/>
      <w:r>
        <w:rPr>
          <w:rFonts w:hint="eastAsia" w:hAnsi="宋体" w:cs="宋体"/>
          <w:b/>
          <w:bCs/>
          <w:snapToGrid w:val="0"/>
          <w:color w:val="auto"/>
          <w:kern w:val="0"/>
          <w:szCs w:val="24"/>
          <w:highlight w:val="none"/>
        </w:rPr>
        <w:t>格式四 授权委托书</w:t>
      </w:r>
      <w:bookmarkEnd w:id="320"/>
    </w:p>
    <w:p w14:paraId="759A7BEF">
      <w:pPr>
        <w:wordWrap w:val="0"/>
        <w:adjustRightInd w:val="0"/>
        <w:snapToGrid w:val="0"/>
        <w:spacing w:line="440" w:lineRule="exact"/>
        <w:rPr>
          <w:rFonts w:hAnsi="宋体" w:cs="宋体"/>
          <w:b/>
          <w:bCs/>
          <w:snapToGrid w:val="0"/>
          <w:color w:val="auto"/>
          <w:kern w:val="0"/>
          <w:szCs w:val="24"/>
          <w:highlight w:val="none"/>
        </w:rPr>
      </w:pPr>
    </w:p>
    <w:p w14:paraId="1D02247C">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授权委托书</w:t>
      </w:r>
    </w:p>
    <w:p w14:paraId="2077EBE8">
      <w:pPr>
        <w:wordWrap w:val="0"/>
        <w:adjustRightInd w:val="0"/>
        <w:snapToGrid w:val="0"/>
        <w:spacing w:line="440" w:lineRule="exact"/>
        <w:rPr>
          <w:rFonts w:hAnsi="宋体" w:cs="宋体"/>
          <w:snapToGrid w:val="0"/>
          <w:color w:val="auto"/>
          <w:kern w:val="0"/>
          <w:szCs w:val="28"/>
          <w:highlight w:val="none"/>
        </w:rPr>
      </w:pPr>
    </w:p>
    <w:p w14:paraId="30754A5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i/>
          <w:iCs/>
          <w:snapToGrid w:val="0"/>
          <w:color w:val="auto"/>
          <w:kern w:val="0"/>
          <w:szCs w:val="21"/>
          <w:highlight w:val="none"/>
          <w:u w:val="single"/>
        </w:rPr>
        <w:t>（不得短于招标文件规定的投标有效期）</w:t>
      </w:r>
      <w:r>
        <w:rPr>
          <w:rFonts w:hint="eastAsia" w:hAnsi="宋体" w:cs="宋体"/>
          <w:snapToGrid w:val="0"/>
          <w:color w:val="auto"/>
          <w:kern w:val="0"/>
          <w:szCs w:val="21"/>
          <w:highlight w:val="none"/>
        </w:rPr>
        <w:t xml:space="preserve"> 。</w:t>
      </w:r>
    </w:p>
    <w:p w14:paraId="58D1757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highlight w:val="none"/>
        </w:rPr>
      </w:pPr>
    </w:p>
    <w:p w14:paraId="2168011B">
      <w:pPr>
        <w:wordWrap w:val="0"/>
        <w:adjustRightInd w:val="0"/>
        <w:snapToGrid w:val="0"/>
        <w:spacing w:line="440" w:lineRule="exact"/>
        <w:ind w:firstLine="480" w:firstLineChars="200"/>
        <w:rPr>
          <w:rFonts w:hAnsi="宋体" w:cs="宋体"/>
          <w:snapToGrid w:val="0"/>
          <w:color w:val="auto"/>
          <w:kern w:val="0"/>
          <w:szCs w:val="21"/>
          <w:highlight w:val="none"/>
        </w:rPr>
      </w:pPr>
    </w:p>
    <w:p w14:paraId="5D117B02">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657F48EA">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5A982326">
      <w:pPr>
        <w:wordWrap w:val="0"/>
        <w:adjustRightInd w:val="0"/>
        <w:snapToGrid w:val="0"/>
        <w:spacing w:line="440" w:lineRule="exact"/>
        <w:ind w:firstLine="480" w:firstLineChars="200"/>
        <w:rPr>
          <w:rFonts w:hAnsi="宋体" w:cs="宋体"/>
          <w:snapToGrid w:val="0"/>
          <w:color w:val="auto"/>
          <w:kern w:val="0"/>
          <w:szCs w:val="21"/>
          <w:highlight w:val="none"/>
        </w:rPr>
      </w:pPr>
    </w:p>
    <w:p w14:paraId="47DE65D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highlight w:val="none"/>
        </w:rPr>
      </w:pPr>
    </w:p>
    <w:p w14:paraId="636F605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07FCA71E">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764F8561">
      <w:pPr>
        <w:wordWrap w:val="0"/>
        <w:adjustRightInd w:val="0"/>
        <w:snapToGrid w:val="0"/>
        <w:spacing w:line="440" w:lineRule="exact"/>
        <w:ind w:firstLine="480" w:firstLineChars="200"/>
        <w:rPr>
          <w:rFonts w:hAnsi="宋体" w:cs="宋体"/>
          <w:snapToGrid w:val="0"/>
          <w:color w:val="auto"/>
          <w:kern w:val="0"/>
          <w:szCs w:val="21"/>
          <w:highlight w:val="none"/>
        </w:rPr>
      </w:pPr>
    </w:p>
    <w:p w14:paraId="79AD2214">
      <w:pPr>
        <w:wordWrap w:val="0"/>
        <w:adjustRightInd w:val="0"/>
        <w:snapToGrid w:val="0"/>
        <w:spacing w:line="440" w:lineRule="exact"/>
        <w:ind w:firstLine="480" w:firstLineChars="200"/>
        <w:rPr>
          <w:rFonts w:hAnsi="宋体" w:cs="宋体"/>
          <w:snapToGrid w:val="0"/>
          <w:color w:val="auto"/>
          <w:kern w:val="0"/>
          <w:szCs w:val="21"/>
          <w:highlight w:val="none"/>
        </w:rPr>
      </w:pPr>
    </w:p>
    <w:p w14:paraId="523F244E">
      <w:pPr>
        <w:wordWrap w:val="0"/>
        <w:adjustRightInd w:val="0"/>
        <w:snapToGrid w:val="0"/>
        <w:ind w:firstLine="6440" w:firstLineChars="2300"/>
        <w:rPr>
          <w:rFonts w:hAnsi="宋体" w:cs="宋体"/>
          <w:snapToGrid w:val="0"/>
          <w:color w:val="auto"/>
          <w:kern w:val="0"/>
          <w:szCs w:val="24"/>
          <w:highlight w:val="none"/>
        </w:rPr>
      </w:pPr>
      <w:r>
        <w:rPr>
          <w:rFonts w:hint="eastAsia" w:hAnsi="宋体" w:cs="宋体"/>
          <w:snapToGrid w:val="0"/>
          <w:color w:val="auto"/>
          <w:kern w:val="0"/>
          <w:sz w:val="28"/>
          <w:szCs w:val="28"/>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1"/>
        <w:wordWrap w:val="0"/>
        <w:adjustRightInd w:val="0"/>
        <w:snapToGrid w:val="0"/>
        <w:rPr>
          <w:rFonts w:hAnsi="宋体" w:cs="宋体"/>
          <w:snapToGrid w:val="0"/>
          <w:color w:val="auto"/>
          <w:kern w:val="0"/>
          <w:szCs w:val="24"/>
          <w:highlight w:val="none"/>
        </w:rPr>
      </w:pPr>
    </w:p>
    <w:p w14:paraId="3DEB4B42">
      <w:pPr>
        <w:bidi w:val="0"/>
        <w:rPr>
          <w:color w:val="auto"/>
          <w:highlight w:val="none"/>
        </w:rPr>
      </w:pPr>
    </w:p>
    <w:p w14:paraId="4EE63B06">
      <w:pPr>
        <w:wordWrap w:val="0"/>
        <w:adjustRightInd w:val="0"/>
        <w:snapToGrid w:val="0"/>
        <w:rPr>
          <w:rFonts w:hAnsi="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highlight w:val="none"/>
        </w:rPr>
      </w:pPr>
      <w:bookmarkStart w:id="321" w:name="_Toc27423"/>
      <w:r>
        <w:rPr>
          <w:rFonts w:hint="eastAsia" w:hAnsi="宋体" w:cs="宋体"/>
          <w:b/>
          <w:snapToGrid w:val="0"/>
          <w:color w:val="auto"/>
          <w:kern w:val="0"/>
          <w:highlight w:val="none"/>
        </w:rPr>
        <w:t>格式五 法定代表人身份证明</w:t>
      </w:r>
      <w:bookmarkEnd w:id="321"/>
    </w:p>
    <w:p w14:paraId="6BB79DDB">
      <w:pPr>
        <w:wordWrap w:val="0"/>
        <w:adjustRightInd w:val="0"/>
        <w:snapToGrid w:val="0"/>
        <w:spacing w:line="440" w:lineRule="exact"/>
        <w:rPr>
          <w:rFonts w:hAnsi="宋体" w:cs="宋体"/>
          <w:b/>
          <w:snapToGrid w:val="0"/>
          <w:color w:val="auto"/>
          <w:kern w:val="0"/>
          <w:highlight w:val="none"/>
        </w:rPr>
      </w:pPr>
    </w:p>
    <w:p w14:paraId="16729C42">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2FF4BF41">
      <w:pPr>
        <w:wordWrap w:val="0"/>
        <w:adjustRightInd w:val="0"/>
        <w:snapToGrid w:val="0"/>
        <w:spacing w:line="440" w:lineRule="exact"/>
        <w:rPr>
          <w:rFonts w:hAnsi="宋体" w:cs="宋体"/>
          <w:snapToGrid w:val="0"/>
          <w:color w:val="auto"/>
          <w:kern w:val="0"/>
          <w:szCs w:val="21"/>
          <w:highlight w:val="none"/>
        </w:rPr>
      </w:pPr>
    </w:p>
    <w:p w14:paraId="7DB8BCD1">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5F87A2BE">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49E9994E">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EC840B0">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6BD5A741">
      <w:pPr>
        <w:wordWrap w:val="0"/>
        <w:adjustRightInd w:val="0"/>
        <w:snapToGrid w:val="0"/>
        <w:spacing w:line="440" w:lineRule="exact"/>
        <w:rPr>
          <w:rFonts w:hAnsi="宋体" w:cs="宋体"/>
          <w:snapToGrid w:val="0"/>
          <w:color w:val="auto"/>
          <w:kern w:val="0"/>
          <w:szCs w:val="21"/>
          <w:highlight w:val="none"/>
        </w:rPr>
      </w:pPr>
    </w:p>
    <w:p w14:paraId="2E95E920">
      <w:pPr>
        <w:wordWrap w:val="0"/>
        <w:adjustRightInd w:val="0"/>
        <w:snapToGrid w:val="0"/>
        <w:spacing w:line="440" w:lineRule="exact"/>
        <w:rPr>
          <w:rFonts w:hAnsi="宋体" w:cs="宋体"/>
          <w:snapToGrid w:val="0"/>
          <w:color w:val="auto"/>
          <w:kern w:val="0"/>
          <w:szCs w:val="21"/>
          <w:highlight w:val="none"/>
        </w:rPr>
      </w:pPr>
    </w:p>
    <w:p w14:paraId="2BAF37F3">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5931070">
      <w:pPr>
        <w:wordWrap w:val="0"/>
        <w:adjustRightInd w:val="0"/>
        <w:snapToGrid w:val="0"/>
        <w:spacing w:line="440" w:lineRule="exact"/>
        <w:jc w:val="right"/>
        <w:rPr>
          <w:rFonts w:hAnsi="宋体" w:cs="宋体"/>
          <w:snapToGrid w:val="0"/>
          <w:color w:val="auto"/>
          <w:kern w:val="0"/>
          <w:szCs w:val="21"/>
          <w:highlight w:val="none"/>
        </w:rPr>
      </w:pPr>
    </w:p>
    <w:p w14:paraId="4E9E006A">
      <w:pPr>
        <w:wordWrap w:val="0"/>
        <w:adjustRightInd w:val="0"/>
        <w:snapToGrid w:val="0"/>
        <w:spacing w:line="440" w:lineRule="exact"/>
        <w:jc w:val="right"/>
        <w:rPr>
          <w:rFonts w:hAnsi="宋体" w:cs="宋体"/>
          <w:snapToGrid w:val="0"/>
          <w:color w:val="auto"/>
          <w:kern w:val="0"/>
          <w:szCs w:val="21"/>
          <w:highlight w:val="none"/>
        </w:rPr>
      </w:pPr>
    </w:p>
    <w:p w14:paraId="6E1D2B4A">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C11D6D8">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649928B">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highlight w:val="none"/>
        </w:rPr>
      </w:pPr>
    </w:p>
    <w:p w14:paraId="658B356B">
      <w:pPr>
        <w:wordWrap w:val="0"/>
        <w:adjustRightInd w:val="0"/>
        <w:snapToGrid w:val="0"/>
        <w:spacing w:line="440" w:lineRule="exact"/>
        <w:ind w:firstLine="240" w:firstLineChars="100"/>
        <w:rPr>
          <w:rFonts w:hAnsi="宋体" w:cs="宋体"/>
          <w:snapToGrid w:val="0"/>
          <w:color w:val="auto"/>
          <w:kern w:val="0"/>
          <w:szCs w:val="21"/>
          <w:highlight w:val="none"/>
        </w:rPr>
      </w:pPr>
    </w:p>
    <w:p w14:paraId="5B344952">
      <w:pPr>
        <w:wordWrap w:val="0"/>
        <w:adjustRightInd w:val="0"/>
        <w:snapToGrid w:val="0"/>
        <w:spacing w:line="440" w:lineRule="exact"/>
        <w:ind w:firstLine="720" w:firstLineChars="300"/>
        <w:rPr>
          <w:rFonts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1F32B462">
      <w:pPr>
        <w:wordWrap w:val="0"/>
        <w:adjustRightInd w:val="0"/>
        <w:snapToGrid w:val="0"/>
        <w:rPr>
          <w:rFonts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114300" distR="114300" simplePos="0" relativeHeight="251660288"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60288;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highlight w:val="none"/>
        </w:rPr>
      </w:pPr>
    </w:p>
    <w:p w14:paraId="42859630">
      <w:pPr>
        <w:wordWrap w:val="0"/>
        <w:adjustRightInd w:val="0"/>
        <w:snapToGrid w:val="0"/>
        <w:spacing w:line="480" w:lineRule="exact"/>
        <w:jc w:val="center"/>
        <w:rPr>
          <w:rFonts w:hAnsi="宋体" w:cs="宋体"/>
          <w:b/>
          <w:snapToGrid w:val="0"/>
          <w:color w:val="auto"/>
          <w:kern w:val="0"/>
          <w:sz w:val="28"/>
          <w:szCs w:val="28"/>
          <w:highlight w:val="none"/>
        </w:rPr>
      </w:pPr>
    </w:p>
    <w:p w14:paraId="67FF2234">
      <w:pPr>
        <w:wordWrap w:val="0"/>
        <w:adjustRightInd w:val="0"/>
        <w:snapToGrid w:val="0"/>
        <w:spacing w:line="480" w:lineRule="exact"/>
        <w:jc w:val="center"/>
        <w:rPr>
          <w:rFonts w:hAnsi="宋体" w:cs="宋体"/>
          <w:b/>
          <w:snapToGrid w:val="0"/>
          <w:color w:val="auto"/>
          <w:kern w:val="0"/>
          <w:sz w:val="28"/>
          <w:szCs w:val="28"/>
          <w:highlight w:val="none"/>
        </w:rPr>
      </w:pPr>
    </w:p>
    <w:p w14:paraId="75D1150B">
      <w:pPr>
        <w:wordWrap w:val="0"/>
        <w:adjustRightInd w:val="0"/>
        <w:snapToGrid w:val="0"/>
        <w:spacing w:line="480" w:lineRule="exact"/>
        <w:jc w:val="center"/>
        <w:rPr>
          <w:rFonts w:hAnsi="宋体" w:cs="宋体"/>
          <w:b/>
          <w:snapToGrid w:val="0"/>
          <w:color w:val="auto"/>
          <w:kern w:val="0"/>
          <w:sz w:val="28"/>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highlight w:val="none"/>
        </w:rPr>
      </w:pPr>
      <w:bookmarkStart w:id="322" w:name="_Toc474"/>
      <w:r>
        <w:rPr>
          <w:rFonts w:hint="eastAsia" w:hAnsi="宋体" w:cs="宋体"/>
          <w:b/>
          <w:bCs/>
          <w:snapToGrid w:val="0"/>
          <w:color w:val="auto"/>
          <w:kern w:val="0"/>
          <w:szCs w:val="24"/>
          <w:highlight w:val="none"/>
        </w:rPr>
        <w:t>格式六 投标人基本情况表</w:t>
      </w:r>
      <w:bookmarkEnd w:id="322"/>
    </w:p>
    <w:p w14:paraId="3C45457B">
      <w:pPr>
        <w:pStyle w:val="74"/>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29F5C9C3">
            <w:pPr>
              <w:pStyle w:val="138"/>
              <w:wordWrap w:val="0"/>
              <w:adjustRightInd w:val="0"/>
              <w:snapToGrid w:val="0"/>
              <w:jc w:val="center"/>
              <w:rPr>
                <w:rFonts w:ascii="宋体" w:hAnsi="宋体" w:cs="宋体"/>
                <w:snapToGrid w:val="0"/>
                <w:color w:val="auto"/>
                <w:kern w:val="0"/>
                <w:szCs w:val="21"/>
                <w:highlight w:val="none"/>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41522393">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0BEA5ED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515E2314">
            <w:pPr>
              <w:pStyle w:val="138"/>
              <w:wordWrap w:val="0"/>
              <w:adjustRightInd w:val="0"/>
              <w:snapToGrid w:val="0"/>
              <w:jc w:val="center"/>
              <w:rPr>
                <w:rFonts w:ascii="宋体" w:hAnsi="宋体" w:cs="宋体"/>
                <w:snapToGrid w:val="0"/>
                <w:color w:val="auto"/>
                <w:kern w:val="0"/>
                <w:szCs w:val="21"/>
                <w:highlight w:val="none"/>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7594670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164B535F">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7B9898D">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137FBF1E">
            <w:pPr>
              <w:pStyle w:val="138"/>
              <w:wordWrap w:val="0"/>
              <w:adjustRightInd w:val="0"/>
              <w:snapToGrid w:val="0"/>
              <w:jc w:val="center"/>
              <w:rPr>
                <w:rFonts w:ascii="宋体" w:hAnsi="宋体" w:cs="宋体"/>
                <w:snapToGrid w:val="0"/>
                <w:color w:val="auto"/>
                <w:kern w:val="0"/>
                <w:szCs w:val="21"/>
                <w:highlight w:val="none"/>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8"/>
              <w:wordWrap w:val="0"/>
              <w:adjustRightInd w:val="0"/>
              <w:snapToGrid w:val="0"/>
              <w:jc w:val="center"/>
              <w:rPr>
                <w:rFonts w:ascii="宋体" w:hAnsi="宋体" w:cs="宋体"/>
                <w:snapToGrid w:val="0"/>
                <w:color w:val="auto"/>
                <w:kern w:val="0"/>
                <w:szCs w:val="21"/>
                <w:highlight w:val="none"/>
              </w:rPr>
            </w:pPr>
          </w:p>
        </w:tc>
        <w:tc>
          <w:tcPr>
            <w:tcW w:w="897" w:type="dxa"/>
            <w:vAlign w:val="center"/>
          </w:tcPr>
          <w:p w14:paraId="321DEB8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4DCC7DF0">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0A861B3">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2B81EB7B">
            <w:pPr>
              <w:pStyle w:val="138"/>
              <w:wordWrap w:val="0"/>
              <w:adjustRightInd w:val="0"/>
              <w:snapToGrid w:val="0"/>
              <w:jc w:val="center"/>
              <w:rPr>
                <w:rFonts w:ascii="宋体" w:hAnsi="宋体" w:cs="宋体"/>
                <w:snapToGrid w:val="0"/>
                <w:color w:val="auto"/>
                <w:kern w:val="0"/>
                <w:szCs w:val="21"/>
                <w:highlight w:val="none"/>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7308E28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01032AE9">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0722914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7AD6FF43">
            <w:pPr>
              <w:pStyle w:val="138"/>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6E7CBB9E">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44831199">
            <w:pPr>
              <w:pStyle w:val="138"/>
              <w:wordWrap w:val="0"/>
              <w:adjustRightInd w:val="0"/>
              <w:snapToGrid w:val="0"/>
              <w:jc w:val="center"/>
              <w:rPr>
                <w:rFonts w:ascii="宋体" w:hAnsi="宋体" w:cs="宋体"/>
                <w:snapToGrid w:val="0"/>
                <w:color w:val="auto"/>
                <w:kern w:val="0"/>
                <w:szCs w:val="21"/>
                <w:highlight w:val="none"/>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2CF40332">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F32A38E">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76373BE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414D5E8B">
            <w:pPr>
              <w:pStyle w:val="138"/>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25D8523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00E4877">
            <w:pPr>
              <w:pStyle w:val="138"/>
              <w:wordWrap w:val="0"/>
              <w:adjustRightInd w:val="0"/>
              <w:snapToGrid w:val="0"/>
              <w:jc w:val="center"/>
              <w:rPr>
                <w:rFonts w:ascii="宋体" w:hAnsi="宋体" w:cs="宋体"/>
                <w:snapToGrid w:val="0"/>
                <w:color w:val="auto"/>
                <w:kern w:val="0"/>
                <w:szCs w:val="21"/>
                <w:highlight w:val="none"/>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31845C08">
            <w:pPr>
              <w:pStyle w:val="138"/>
              <w:wordWrap w:val="0"/>
              <w:adjustRightInd w:val="0"/>
              <w:snapToGrid w:val="0"/>
              <w:jc w:val="center"/>
              <w:rPr>
                <w:rFonts w:ascii="宋体" w:hAnsi="宋体" w:cs="宋体"/>
                <w:snapToGrid w:val="0"/>
                <w:color w:val="auto"/>
                <w:kern w:val="0"/>
                <w:szCs w:val="21"/>
                <w:highlight w:val="none"/>
              </w:rPr>
            </w:pPr>
          </w:p>
        </w:tc>
        <w:tc>
          <w:tcPr>
            <w:tcW w:w="4434" w:type="dxa"/>
            <w:gridSpan w:val="6"/>
            <w:vAlign w:val="center"/>
          </w:tcPr>
          <w:p w14:paraId="5488CAE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0FDE49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3FBBCF9F">
            <w:pPr>
              <w:pStyle w:val="138"/>
              <w:wordWrap w:val="0"/>
              <w:adjustRightInd w:val="0"/>
              <w:snapToGrid w:val="0"/>
              <w:jc w:val="left"/>
              <w:rPr>
                <w:rFonts w:ascii="宋体" w:hAnsi="宋体" w:cs="宋体"/>
                <w:snapToGrid w:val="0"/>
                <w:color w:val="auto"/>
                <w:kern w:val="0"/>
                <w:szCs w:val="21"/>
                <w:highlight w:val="none"/>
              </w:rPr>
            </w:pPr>
          </w:p>
        </w:tc>
        <w:tc>
          <w:tcPr>
            <w:tcW w:w="1089" w:type="dxa"/>
            <w:gridSpan w:val="2"/>
            <w:vMerge w:val="restart"/>
            <w:vAlign w:val="center"/>
          </w:tcPr>
          <w:p w14:paraId="53F8BA9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13106D9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66A45836">
            <w:pPr>
              <w:pStyle w:val="138"/>
              <w:wordWrap w:val="0"/>
              <w:adjustRightInd w:val="0"/>
              <w:snapToGrid w:val="0"/>
              <w:jc w:val="center"/>
              <w:rPr>
                <w:rFonts w:ascii="宋体" w:hAnsi="宋体" w:cs="宋体"/>
                <w:snapToGrid w:val="0"/>
                <w:color w:val="auto"/>
                <w:kern w:val="0"/>
                <w:szCs w:val="21"/>
                <w:highlight w:val="none"/>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37F167F">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2FE95C77">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58F77C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6727EBCF">
            <w:pPr>
              <w:pStyle w:val="138"/>
              <w:wordWrap w:val="0"/>
              <w:adjustRightInd w:val="0"/>
              <w:snapToGrid w:val="0"/>
              <w:jc w:val="center"/>
              <w:rPr>
                <w:rFonts w:ascii="宋体" w:hAnsi="宋体" w:cs="宋体"/>
                <w:snapToGrid w:val="0"/>
                <w:color w:val="auto"/>
                <w:kern w:val="0"/>
                <w:szCs w:val="21"/>
                <w:highlight w:val="none"/>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6B4F28EE">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339F6456">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099C1C6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5467645F">
            <w:pPr>
              <w:pStyle w:val="138"/>
              <w:wordWrap w:val="0"/>
              <w:adjustRightInd w:val="0"/>
              <w:snapToGrid w:val="0"/>
              <w:jc w:val="center"/>
              <w:rPr>
                <w:rFonts w:ascii="宋体" w:hAnsi="宋体" w:cs="宋体"/>
                <w:snapToGrid w:val="0"/>
                <w:color w:val="auto"/>
                <w:kern w:val="0"/>
                <w:szCs w:val="21"/>
                <w:highlight w:val="none"/>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6D9813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31EB950">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6FB92093">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7786B5B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5AAF3BA2">
            <w:pPr>
              <w:pStyle w:val="138"/>
              <w:wordWrap w:val="0"/>
              <w:adjustRightInd w:val="0"/>
              <w:snapToGrid w:val="0"/>
              <w:jc w:val="center"/>
              <w:rPr>
                <w:rFonts w:ascii="宋体" w:hAnsi="宋体" w:cs="宋体"/>
                <w:snapToGrid w:val="0"/>
                <w:color w:val="auto"/>
                <w:kern w:val="0"/>
                <w:szCs w:val="21"/>
                <w:highlight w:val="none"/>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41FAD38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5F82E5BB">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4376DF60">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4671252B">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5F52F934">
            <w:pPr>
              <w:pStyle w:val="138"/>
              <w:wordWrap w:val="0"/>
              <w:adjustRightInd w:val="0"/>
              <w:snapToGrid w:val="0"/>
              <w:jc w:val="center"/>
              <w:rPr>
                <w:rFonts w:ascii="宋体" w:hAnsi="宋体" w:cs="宋体"/>
                <w:snapToGrid w:val="0"/>
                <w:color w:val="auto"/>
                <w:kern w:val="0"/>
                <w:szCs w:val="21"/>
                <w:highlight w:val="none"/>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28B3173C">
            <w:pPr>
              <w:pStyle w:val="138"/>
              <w:wordWrap w:val="0"/>
              <w:adjustRightInd w:val="0"/>
              <w:snapToGrid w:val="0"/>
              <w:jc w:val="center"/>
              <w:rPr>
                <w:rFonts w:ascii="宋体" w:hAnsi="宋体" w:cs="宋体"/>
                <w:snapToGrid w:val="0"/>
                <w:color w:val="auto"/>
                <w:kern w:val="0"/>
                <w:szCs w:val="21"/>
                <w:highlight w:val="none"/>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627CBE37">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8866B0F">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2B8DF13B">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8C5A631">
            <w:pPr>
              <w:pStyle w:val="138"/>
              <w:wordWrap w:val="0"/>
              <w:adjustRightInd w:val="0"/>
              <w:snapToGrid w:val="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0B7A9410">
            <w:pPr>
              <w:pStyle w:val="138"/>
              <w:wordWrap w:val="0"/>
              <w:adjustRightInd w:val="0"/>
              <w:snapToGrid w:val="0"/>
              <w:jc w:val="center"/>
              <w:rPr>
                <w:rFonts w:ascii="宋体" w:hAnsi="宋体" w:cs="宋体"/>
                <w:snapToGrid w:val="0"/>
                <w:color w:val="auto"/>
                <w:kern w:val="0"/>
                <w:szCs w:val="21"/>
                <w:highlight w:val="none"/>
              </w:rPr>
            </w:pPr>
          </w:p>
        </w:tc>
      </w:tr>
    </w:tbl>
    <w:p w14:paraId="31CF04E5">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8B0DF88">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77700285">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w:t>
      </w:r>
      <w:r>
        <w:rPr>
          <w:rFonts w:hint="eastAsia" w:ascii="宋体" w:hAnsi="宋体" w:cs="宋体"/>
          <w:snapToGrid w:val="0"/>
          <w:color w:val="auto"/>
          <w:kern w:val="0"/>
          <w:szCs w:val="21"/>
          <w:highlight w:val="none"/>
          <w:lang w:val="en-US" w:eastAsia="zh-CN"/>
        </w:rPr>
        <w:t>彩色</w:t>
      </w:r>
      <w:r>
        <w:rPr>
          <w:rFonts w:hint="eastAsia" w:ascii="宋体" w:hAnsi="宋体" w:cs="宋体"/>
          <w:snapToGrid w:val="0"/>
          <w:color w:val="auto"/>
          <w:kern w:val="0"/>
          <w:szCs w:val="21"/>
          <w:highlight w:val="none"/>
        </w:rPr>
        <w:t>扫描件（因推行电子证照，企业的营业执照、资质证书等可以提供电子证照）；</w:t>
      </w:r>
    </w:p>
    <w:p w14:paraId="3B9DB170">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“进粤企业和人员诚信信息登记平台”企业信息情况打印页。（适用于省外企业）</w:t>
      </w:r>
      <w:r>
        <w:rPr>
          <w:rFonts w:hint="eastAsia" w:ascii="宋体" w:hAnsi="宋体" w:cs="宋体"/>
          <w:snapToGrid w:val="0"/>
          <w:color w:val="auto"/>
          <w:kern w:val="0"/>
          <w:szCs w:val="21"/>
          <w:highlight w:val="none"/>
        </w:rPr>
        <w:t>。</w:t>
      </w:r>
    </w:p>
    <w:p w14:paraId="6A573612">
      <w:pPr>
        <w:pStyle w:val="74"/>
        <w:widowControl w:val="0"/>
        <w:wordWrap w:val="0"/>
        <w:adjustRightInd w:val="0"/>
        <w:snapToGrid w:val="0"/>
        <w:spacing w:line="400" w:lineRule="exact"/>
        <w:rPr>
          <w:rFonts w:hAnsi="宋体" w:cs="宋体"/>
          <w:snapToGrid w:val="0"/>
          <w:color w:val="auto"/>
          <w:sz w:val="21"/>
          <w:szCs w:val="21"/>
          <w:highlight w:val="none"/>
        </w:rPr>
      </w:pPr>
      <w:r>
        <w:rPr>
          <w:rFonts w:hint="eastAsia" w:hAnsi="宋体" w:cs="宋体"/>
          <w:snapToGrid w:val="0"/>
          <w:color w:val="auto"/>
          <w:sz w:val="21"/>
          <w:szCs w:val="21"/>
          <w:highlight w:val="none"/>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highlight w:val="none"/>
        </w:rPr>
      </w:pPr>
      <w:bookmarkStart w:id="323" w:name="_Toc22135"/>
      <w:r>
        <w:rPr>
          <w:rFonts w:hint="eastAsia" w:hAnsi="宋体" w:cs="宋体"/>
          <w:b/>
          <w:snapToGrid w:val="0"/>
          <w:color w:val="auto"/>
          <w:kern w:val="0"/>
          <w:highlight w:val="none"/>
        </w:rPr>
        <w:t>格式七 总监理工程师任职声明（适用于无任职项目）</w:t>
      </w:r>
      <w:bookmarkEnd w:id="323"/>
    </w:p>
    <w:p w14:paraId="6FD021E2">
      <w:pPr>
        <w:wordWrap w:val="0"/>
        <w:adjustRightInd w:val="0"/>
        <w:snapToGrid w:val="0"/>
        <w:spacing w:line="440" w:lineRule="exact"/>
        <w:jc w:val="left"/>
        <w:rPr>
          <w:rFonts w:hAnsi="宋体" w:cs="宋体"/>
          <w:b/>
          <w:snapToGrid w:val="0"/>
          <w:color w:val="auto"/>
          <w:kern w:val="0"/>
          <w:highlight w:val="none"/>
        </w:rPr>
      </w:pPr>
    </w:p>
    <w:p w14:paraId="7734BDAC">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F3A4633">
      <w:pPr>
        <w:wordWrap w:val="0"/>
        <w:adjustRightInd w:val="0"/>
        <w:snapToGrid w:val="0"/>
        <w:spacing w:line="440" w:lineRule="exact"/>
        <w:jc w:val="center"/>
        <w:rPr>
          <w:rFonts w:hAnsi="宋体" w:cs="宋体"/>
          <w:snapToGrid w:val="0"/>
          <w:color w:val="auto"/>
          <w:kern w:val="0"/>
          <w:szCs w:val="28"/>
          <w:highlight w:val="none"/>
        </w:rPr>
      </w:pPr>
    </w:p>
    <w:p w14:paraId="14B6B195">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36EB755F">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特此承诺　　</w:t>
      </w:r>
    </w:p>
    <w:p w14:paraId="699B7C56">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244A9EE">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FB105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2A604D50">
      <w:pPr>
        <w:wordWrap w:val="0"/>
        <w:adjustRightInd w:val="0"/>
        <w:snapToGrid w:val="0"/>
        <w:spacing w:line="440" w:lineRule="exact"/>
        <w:jc w:val="right"/>
        <w:rPr>
          <w:rFonts w:hAnsi="宋体" w:cs="宋体"/>
          <w:snapToGrid w:val="0"/>
          <w:color w:val="auto"/>
          <w:kern w:val="0"/>
          <w:szCs w:val="28"/>
          <w:highlight w:val="none"/>
        </w:rPr>
      </w:pPr>
    </w:p>
    <w:p w14:paraId="71BB53AD">
      <w:pPr>
        <w:wordWrap w:val="0"/>
        <w:adjustRightInd w:val="0"/>
        <w:snapToGrid w:val="0"/>
        <w:spacing w:line="440" w:lineRule="exact"/>
        <w:jc w:val="right"/>
        <w:rPr>
          <w:rFonts w:hAnsi="宋体" w:cs="宋体"/>
          <w:snapToGrid w:val="0"/>
          <w:color w:val="auto"/>
          <w:kern w:val="0"/>
          <w:szCs w:val="28"/>
          <w:highlight w:val="none"/>
        </w:rPr>
      </w:pPr>
    </w:p>
    <w:p w14:paraId="0C3A73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7AE6CC90">
      <w:pPr>
        <w:wordWrap w:val="0"/>
        <w:adjustRightInd w:val="0"/>
        <w:snapToGrid w:val="0"/>
        <w:spacing w:line="440" w:lineRule="exact"/>
        <w:jc w:val="right"/>
        <w:rPr>
          <w:rFonts w:hAnsi="宋体" w:cs="宋体"/>
          <w:snapToGrid w:val="0"/>
          <w:color w:val="auto"/>
          <w:kern w:val="0"/>
          <w:szCs w:val="28"/>
          <w:highlight w:val="none"/>
        </w:rPr>
      </w:pPr>
    </w:p>
    <w:p w14:paraId="3C9B11CD">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7BA2FE9F">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highlight w:val="none"/>
        </w:rPr>
      </w:pPr>
      <w:bookmarkStart w:id="324" w:name="_Toc24032"/>
      <w:r>
        <w:rPr>
          <w:rFonts w:hint="eastAsia" w:hAnsi="宋体" w:cs="宋体"/>
          <w:b/>
          <w:snapToGrid w:val="0"/>
          <w:color w:val="auto"/>
          <w:kern w:val="0"/>
          <w:highlight w:val="none"/>
        </w:rPr>
        <w:t>格式八 总监理工程师任职声明（适用于有任职项目）</w:t>
      </w:r>
      <w:bookmarkEnd w:id="324"/>
    </w:p>
    <w:p w14:paraId="449B4FD5">
      <w:pPr>
        <w:wordWrap w:val="0"/>
        <w:adjustRightInd w:val="0"/>
        <w:snapToGrid w:val="0"/>
        <w:spacing w:line="440" w:lineRule="exact"/>
        <w:jc w:val="left"/>
        <w:rPr>
          <w:rFonts w:hAnsi="宋体" w:cs="宋体"/>
          <w:b/>
          <w:snapToGrid w:val="0"/>
          <w:color w:val="auto"/>
          <w:kern w:val="0"/>
          <w:highlight w:val="none"/>
        </w:rPr>
      </w:pPr>
    </w:p>
    <w:p w14:paraId="14A50C1D">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B3ED8C9">
      <w:pPr>
        <w:wordWrap w:val="0"/>
        <w:adjustRightInd w:val="0"/>
        <w:snapToGrid w:val="0"/>
        <w:spacing w:line="440" w:lineRule="exact"/>
        <w:jc w:val="center"/>
        <w:rPr>
          <w:rFonts w:hAnsi="宋体" w:cs="宋体"/>
          <w:snapToGrid w:val="0"/>
          <w:color w:val="auto"/>
          <w:kern w:val="0"/>
          <w:szCs w:val="28"/>
          <w:highlight w:val="none"/>
        </w:rPr>
      </w:pPr>
    </w:p>
    <w:p w14:paraId="45489580">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（总监理工程师姓名）现阶段正在担任</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1FA625A2">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特此承诺</w:t>
      </w:r>
    </w:p>
    <w:p w14:paraId="46BFCB72">
      <w:pPr>
        <w:wordWrap w:val="0"/>
        <w:adjustRightInd w:val="0"/>
        <w:snapToGrid w:val="0"/>
        <w:spacing w:line="440" w:lineRule="exact"/>
        <w:ind w:firstLine="480"/>
        <w:rPr>
          <w:rFonts w:hAnsi="宋体" w:cs="宋体"/>
          <w:snapToGrid w:val="0"/>
          <w:color w:val="auto"/>
          <w:kern w:val="0"/>
          <w:szCs w:val="28"/>
          <w:highlight w:val="none"/>
        </w:rPr>
      </w:pPr>
    </w:p>
    <w:p w14:paraId="627F814D">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47D291EC">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1B4B0533">
      <w:pPr>
        <w:wordWrap w:val="0"/>
        <w:adjustRightInd w:val="0"/>
        <w:snapToGrid w:val="0"/>
        <w:spacing w:line="440" w:lineRule="exact"/>
        <w:jc w:val="right"/>
        <w:rPr>
          <w:rFonts w:hAnsi="宋体" w:cs="宋体"/>
          <w:snapToGrid w:val="0"/>
          <w:color w:val="auto"/>
          <w:kern w:val="0"/>
          <w:szCs w:val="28"/>
          <w:highlight w:val="none"/>
        </w:rPr>
      </w:pPr>
    </w:p>
    <w:p w14:paraId="487F86BE">
      <w:pPr>
        <w:wordWrap w:val="0"/>
        <w:adjustRightInd w:val="0"/>
        <w:snapToGrid w:val="0"/>
        <w:spacing w:line="440" w:lineRule="exact"/>
        <w:jc w:val="right"/>
        <w:rPr>
          <w:rFonts w:hAnsi="宋体" w:cs="宋体"/>
          <w:snapToGrid w:val="0"/>
          <w:color w:val="auto"/>
          <w:kern w:val="0"/>
          <w:szCs w:val="28"/>
          <w:highlight w:val="none"/>
        </w:rPr>
      </w:pPr>
    </w:p>
    <w:p w14:paraId="7D65E6AD">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029F2B4C">
      <w:pPr>
        <w:wordWrap w:val="0"/>
        <w:adjustRightInd w:val="0"/>
        <w:snapToGrid w:val="0"/>
        <w:spacing w:line="440" w:lineRule="exact"/>
        <w:jc w:val="right"/>
        <w:rPr>
          <w:rFonts w:hAnsi="宋体" w:cs="宋体"/>
          <w:snapToGrid w:val="0"/>
          <w:color w:val="auto"/>
          <w:kern w:val="0"/>
          <w:szCs w:val="28"/>
          <w:highlight w:val="none"/>
        </w:rPr>
      </w:pPr>
    </w:p>
    <w:p w14:paraId="1E734F3E">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19DAFB93">
      <w:pPr>
        <w:wordWrap w:val="0"/>
        <w:adjustRightInd w:val="0"/>
        <w:snapToGrid w:val="0"/>
        <w:spacing w:line="440" w:lineRule="exact"/>
        <w:jc w:val="center"/>
        <w:rPr>
          <w:rFonts w:hAnsi="宋体" w:cs="宋体"/>
          <w:snapToGrid w:val="0"/>
          <w:color w:val="auto"/>
          <w:kern w:val="0"/>
          <w:szCs w:val="28"/>
          <w:highlight w:val="none"/>
        </w:rPr>
      </w:pPr>
    </w:p>
    <w:p w14:paraId="77D57279">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highlight w:val="none"/>
        </w:rPr>
      </w:pPr>
      <w:bookmarkStart w:id="325" w:name="_Toc2263"/>
      <w:r>
        <w:rPr>
          <w:rFonts w:hint="eastAsia" w:hAnsi="宋体" w:cs="宋体"/>
          <w:b/>
          <w:bCs/>
          <w:snapToGrid w:val="0"/>
          <w:color w:val="auto"/>
          <w:kern w:val="0"/>
          <w:szCs w:val="24"/>
          <w:highlight w:val="none"/>
        </w:rPr>
        <w:t>格式九 总监理工程师任职项目情况表</w:t>
      </w:r>
      <w:bookmarkEnd w:id="325"/>
    </w:p>
    <w:p w14:paraId="1C05E0FA">
      <w:pPr>
        <w:wordWrap w:val="0"/>
        <w:adjustRightInd w:val="0"/>
        <w:snapToGrid w:val="0"/>
        <w:spacing w:line="440" w:lineRule="exact"/>
        <w:rPr>
          <w:rFonts w:hAnsi="宋体" w:cs="宋体"/>
          <w:b/>
          <w:bCs/>
          <w:snapToGrid w:val="0"/>
          <w:color w:val="auto"/>
          <w:kern w:val="0"/>
          <w:szCs w:val="24"/>
          <w:highlight w:val="none"/>
        </w:rPr>
      </w:pPr>
    </w:p>
    <w:p w14:paraId="1E110BE9">
      <w:pPr>
        <w:pStyle w:val="74"/>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 xml:space="preserve"> 总监理工程师任职项目情况表（）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项目名称</w:t>
            </w:r>
          </w:p>
        </w:tc>
        <w:tc>
          <w:tcPr>
            <w:tcW w:w="2771" w:type="dxa"/>
            <w:vAlign w:val="center"/>
          </w:tcPr>
          <w:p w14:paraId="2DFCFA84">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6AC2BA1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项目所在地</w:t>
            </w:r>
          </w:p>
        </w:tc>
        <w:tc>
          <w:tcPr>
            <w:tcW w:w="2594" w:type="dxa"/>
            <w:vAlign w:val="center"/>
          </w:tcPr>
          <w:p w14:paraId="24CD9F05">
            <w:pPr>
              <w:pStyle w:val="138"/>
              <w:wordWrap w:val="0"/>
              <w:adjustRightInd w:val="0"/>
              <w:snapToGrid w:val="0"/>
              <w:jc w:val="center"/>
              <w:rPr>
                <w:rFonts w:ascii="宋体" w:hAnsi="宋体" w:cs="宋体"/>
                <w:snapToGrid w:val="0"/>
                <w:color w:val="auto"/>
                <w:kern w:val="0"/>
                <w:szCs w:val="21"/>
                <w:highlight w:val="none"/>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委托人名称</w:t>
            </w:r>
          </w:p>
        </w:tc>
        <w:tc>
          <w:tcPr>
            <w:tcW w:w="2771" w:type="dxa"/>
            <w:vAlign w:val="center"/>
          </w:tcPr>
          <w:p w14:paraId="5F8E80CE">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1BC9377E">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委托人地址</w:t>
            </w:r>
          </w:p>
        </w:tc>
        <w:tc>
          <w:tcPr>
            <w:tcW w:w="2594" w:type="dxa"/>
            <w:vAlign w:val="center"/>
          </w:tcPr>
          <w:p w14:paraId="334897D3">
            <w:pPr>
              <w:pStyle w:val="138"/>
              <w:wordWrap w:val="0"/>
              <w:adjustRightInd w:val="0"/>
              <w:snapToGrid w:val="0"/>
              <w:jc w:val="center"/>
              <w:rPr>
                <w:rFonts w:ascii="宋体" w:hAnsi="宋体" w:cs="宋体"/>
                <w:snapToGrid w:val="0"/>
                <w:color w:val="auto"/>
                <w:kern w:val="0"/>
                <w:szCs w:val="21"/>
                <w:highlight w:val="none"/>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委托人电话</w:t>
            </w:r>
          </w:p>
        </w:tc>
        <w:tc>
          <w:tcPr>
            <w:tcW w:w="2771" w:type="dxa"/>
            <w:vAlign w:val="center"/>
          </w:tcPr>
          <w:p w14:paraId="2AAC336B">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0B3B4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总监理工程师</w:t>
            </w:r>
          </w:p>
        </w:tc>
        <w:tc>
          <w:tcPr>
            <w:tcW w:w="2594" w:type="dxa"/>
            <w:vAlign w:val="center"/>
          </w:tcPr>
          <w:p w14:paraId="2993C8DD">
            <w:pPr>
              <w:pStyle w:val="138"/>
              <w:wordWrap w:val="0"/>
              <w:adjustRightInd w:val="0"/>
              <w:snapToGrid w:val="0"/>
              <w:jc w:val="center"/>
              <w:rPr>
                <w:rFonts w:ascii="宋体" w:hAnsi="宋体" w:cs="宋体"/>
                <w:snapToGrid w:val="0"/>
                <w:color w:val="auto"/>
                <w:kern w:val="0"/>
                <w:szCs w:val="21"/>
                <w:highlight w:val="none"/>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监理服务期限</w:t>
            </w:r>
          </w:p>
        </w:tc>
        <w:tc>
          <w:tcPr>
            <w:tcW w:w="2771" w:type="dxa"/>
            <w:vAlign w:val="center"/>
          </w:tcPr>
          <w:p w14:paraId="253ECA3C">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79C80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监理内容</w:t>
            </w:r>
          </w:p>
        </w:tc>
        <w:tc>
          <w:tcPr>
            <w:tcW w:w="2594" w:type="dxa"/>
            <w:vAlign w:val="center"/>
          </w:tcPr>
          <w:p w14:paraId="1EEFB69A">
            <w:pPr>
              <w:pStyle w:val="138"/>
              <w:wordWrap w:val="0"/>
              <w:adjustRightInd w:val="0"/>
              <w:snapToGrid w:val="0"/>
              <w:jc w:val="center"/>
              <w:rPr>
                <w:rFonts w:ascii="宋体" w:hAnsi="宋体" w:cs="宋体"/>
                <w:snapToGrid w:val="0"/>
                <w:color w:val="auto"/>
                <w:kern w:val="0"/>
                <w:szCs w:val="21"/>
                <w:highlight w:val="none"/>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项目描述</w:t>
            </w:r>
          </w:p>
        </w:tc>
        <w:tc>
          <w:tcPr>
            <w:tcW w:w="7000" w:type="dxa"/>
            <w:gridSpan w:val="3"/>
            <w:vAlign w:val="center"/>
          </w:tcPr>
          <w:p w14:paraId="21A54D72">
            <w:pPr>
              <w:pStyle w:val="138"/>
              <w:wordWrap w:val="0"/>
              <w:adjustRightInd w:val="0"/>
              <w:snapToGrid w:val="0"/>
              <w:jc w:val="left"/>
              <w:rPr>
                <w:rFonts w:ascii="宋体" w:hAnsi="宋体" w:cs="宋体"/>
                <w:snapToGrid w:val="0"/>
                <w:color w:val="auto"/>
                <w:kern w:val="0"/>
                <w:szCs w:val="21"/>
                <w:highlight w:val="none"/>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委托人声明</w:t>
            </w:r>
          </w:p>
        </w:tc>
        <w:tc>
          <w:tcPr>
            <w:tcW w:w="7000" w:type="dxa"/>
            <w:gridSpan w:val="3"/>
            <w:vAlign w:val="center"/>
          </w:tcPr>
          <w:p w14:paraId="418BE4BE">
            <w:pPr>
              <w:pStyle w:val="138"/>
              <w:adjustRightInd w:val="0"/>
              <w:snapToGrid w:val="0"/>
              <w:spacing w:line="360" w:lineRule="auto"/>
              <w:rPr>
                <w:rFonts w:ascii="宋体" w:hAnsi="宋体" w:cs="宋体"/>
                <w:snapToGrid w:val="0"/>
                <w:color w:val="auto"/>
                <w:kern w:val="0"/>
                <w:szCs w:val="21"/>
                <w:highlight w:val="none"/>
              </w:rPr>
            </w:pPr>
          </w:p>
          <w:p w14:paraId="602D8050">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致：</w:t>
            </w:r>
            <w:r>
              <w:rPr>
                <w:rFonts w:hint="eastAsia" w:ascii="宋体" w:hAnsi="宋体" w:cs="宋体"/>
                <w:snapToGrid w:val="0"/>
                <w:color w:val="auto"/>
                <w:kern w:val="0"/>
                <w:szCs w:val="21"/>
                <w:highlight w:val="none"/>
                <w:u w:val="single"/>
              </w:rPr>
              <w:t>（本招标项目招标人名称）</w:t>
            </w:r>
          </w:p>
          <w:p w14:paraId="37F7ABA7">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我方在此声明：</w:t>
            </w:r>
          </w:p>
          <w:p w14:paraId="221BF42B">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一、在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同志任我方在施项目总监理工程师期间，如果</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中标你方招标项目监理业务，在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6DBCA6A9">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二、无论</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同志是否担任其他建设项目的总监理工程师，</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都必须完全、严格履行我方在施项目监理合同中约定的所有义务，并确保服务内容、服务质量不得有任何减少或降低。</w:t>
            </w:r>
          </w:p>
          <w:p w14:paraId="092F9495">
            <w:pPr>
              <w:pStyle w:val="138"/>
              <w:adjustRightInd w:val="0"/>
              <w:snapToGrid w:val="0"/>
              <w:spacing w:line="360" w:lineRule="auto"/>
              <w:rPr>
                <w:rFonts w:ascii="宋体" w:hAnsi="宋体" w:cs="宋体"/>
                <w:snapToGrid w:val="0"/>
                <w:color w:val="auto"/>
                <w:kern w:val="0"/>
                <w:szCs w:val="21"/>
                <w:highlight w:val="none"/>
              </w:rPr>
            </w:pPr>
          </w:p>
          <w:p w14:paraId="2DED7437">
            <w:pPr>
              <w:pStyle w:val="138"/>
              <w:adjustRightInd w:val="0"/>
              <w:snapToGrid w:val="0"/>
              <w:spacing w:line="360" w:lineRule="auto"/>
              <w:rPr>
                <w:rFonts w:ascii="宋体" w:hAnsi="宋体" w:cs="宋体"/>
                <w:snapToGrid w:val="0"/>
                <w:color w:val="auto"/>
                <w:kern w:val="0"/>
                <w:szCs w:val="21"/>
                <w:highlight w:val="none"/>
              </w:rPr>
            </w:pPr>
          </w:p>
          <w:p w14:paraId="599D977E">
            <w:pPr>
              <w:pStyle w:val="138"/>
              <w:adjustRightInd w:val="0"/>
              <w:snapToGrid w:val="0"/>
              <w:spacing w:line="360" w:lineRule="auto"/>
              <w:jc w:val="righ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建设单位名称：</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（盖单位章）</w:t>
            </w:r>
          </w:p>
          <w:p w14:paraId="1047DB8F">
            <w:pPr>
              <w:pStyle w:val="138"/>
              <w:adjustRightInd w:val="0"/>
              <w:snapToGrid w:val="0"/>
              <w:spacing w:line="360" w:lineRule="auto"/>
              <w:jc w:val="right"/>
              <w:rPr>
                <w:rFonts w:ascii="宋体" w:hAnsi="宋体" w:cs="宋体"/>
                <w:snapToGrid w:val="0"/>
                <w:color w:val="auto"/>
                <w:kern w:val="0"/>
                <w:szCs w:val="21"/>
                <w:highlight w:val="none"/>
              </w:rPr>
            </w:pPr>
          </w:p>
          <w:p w14:paraId="36196D25">
            <w:pPr>
              <w:pStyle w:val="138"/>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XXXX年XX月XX日</w:t>
            </w:r>
          </w:p>
        </w:tc>
      </w:tr>
    </w:tbl>
    <w:p w14:paraId="01E57326">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621617A">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3AD580BD">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每份情况表后应附该项目的合同协议书彩色扫描件。</w:t>
      </w:r>
    </w:p>
    <w:p w14:paraId="5D509C1C">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8"/>
          <w:highlight w:val="none"/>
        </w:rPr>
        <w:t>．投标人填写本</w:t>
      </w:r>
      <w:r>
        <w:rPr>
          <w:rFonts w:hint="eastAsia" w:ascii="宋体" w:hAnsi="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highlight w:val="none"/>
        </w:rPr>
      </w:pPr>
      <w:bookmarkStart w:id="326" w:name="_Toc4492"/>
      <w:bookmarkStart w:id="327" w:name="_Toc200338098"/>
      <w:bookmarkStart w:id="328" w:name="_Toc8264"/>
      <w:r>
        <w:rPr>
          <w:rFonts w:hint="eastAsia" w:hAnsi="宋体" w:cs="宋体"/>
          <w:b/>
          <w:snapToGrid w:val="0"/>
          <w:color w:val="auto"/>
          <w:kern w:val="0"/>
          <w:highlight w:val="none"/>
        </w:rPr>
        <w:t>格式</w:t>
      </w:r>
      <w:bookmarkStart w:id="329" w:name="_Hlt287950384"/>
      <w:bookmarkEnd w:id="329"/>
      <w:r>
        <w:rPr>
          <w:rFonts w:hint="eastAsia" w:hAnsi="宋体" w:cs="宋体"/>
          <w:b/>
          <w:bCs/>
          <w:snapToGrid w:val="0"/>
          <w:color w:val="auto"/>
          <w:kern w:val="0"/>
          <w:szCs w:val="24"/>
          <w:highlight w:val="none"/>
        </w:rPr>
        <w:t>十 项目监理机构组成人员汇总表</w:t>
      </w:r>
      <w:bookmarkEnd w:id="326"/>
    </w:p>
    <w:p w14:paraId="58540D5A">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highlight w:val="none"/>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highlight w:val="none"/>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highlight w:val="none"/>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highlight w:val="none"/>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highlight w:val="none"/>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highlight w:val="none"/>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highlight w:val="none"/>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highlight w:val="none"/>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highlight w:val="none"/>
              </w:rPr>
            </w:pPr>
          </w:p>
        </w:tc>
        <w:bookmarkStart w:id="330" w:name="_附件十：单项工程费汇总表"/>
        <w:bookmarkStart w:id="331" w:name="_附件二十五：综合评审合理低价法"/>
        <w:bookmarkStart w:id="332" w:name="_Hlt69116778"/>
        <w:bookmarkStart w:id="333" w:name="_Hlt68774664"/>
        <w:bookmarkStart w:id="334" w:name="_附件二十四：技术标提问单"/>
      </w:tr>
      <w:bookmarkEnd w:id="327"/>
      <w:bookmarkEnd w:id="328"/>
      <w:bookmarkEnd w:id="330"/>
      <w:bookmarkEnd w:id="331"/>
      <w:bookmarkEnd w:id="332"/>
      <w:bookmarkEnd w:id="333"/>
      <w:bookmarkEnd w:id="334"/>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highlight w:val="none"/>
              </w:rPr>
            </w:pPr>
          </w:p>
        </w:tc>
      </w:tr>
    </w:tbl>
    <w:p w14:paraId="4CDFA701">
      <w:pPr>
        <w:pStyle w:val="74"/>
        <w:widowControl w:val="0"/>
        <w:wordWrap w:val="0"/>
        <w:adjustRightInd w:val="0"/>
        <w:snapToGrid w:val="0"/>
        <w:spacing w:line="400" w:lineRule="exact"/>
        <w:rPr>
          <w:rFonts w:hAnsi="宋体" w:cs="宋体"/>
          <w:snapToGrid w:val="0"/>
          <w:color w:val="auto"/>
          <w:sz w:val="21"/>
          <w:highlight w:val="none"/>
        </w:rPr>
      </w:pPr>
      <w:r>
        <w:rPr>
          <w:rFonts w:hint="eastAsia" w:hAnsi="宋体" w:cs="宋体"/>
          <w:snapToGrid w:val="0"/>
          <w:color w:val="auto"/>
          <w:sz w:val="21"/>
          <w:highlight w:val="none"/>
        </w:rPr>
        <w:t>说明：</w:t>
      </w:r>
    </w:p>
    <w:p w14:paraId="24312D3D">
      <w:pPr>
        <w:pStyle w:val="74"/>
        <w:widowControl w:val="0"/>
        <w:wordWrap w:val="0"/>
        <w:adjustRightInd w:val="0"/>
        <w:snapToGrid w:val="0"/>
        <w:spacing w:line="400" w:lineRule="exact"/>
        <w:rPr>
          <w:rFonts w:hAnsi="宋体" w:cs="宋体"/>
          <w:snapToGrid w:val="0"/>
          <w:color w:val="auto"/>
          <w:sz w:val="21"/>
          <w:highlight w:val="none"/>
        </w:rPr>
        <w:sectPr>
          <w:endnotePr>
            <w:numFmt w:val="decimal"/>
          </w:endnotePr>
          <w:pgSz w:w="16838" w:h="11906" w:orient="landscape"/>
          <w:pgMar w:top="1417" w:right="1417" w:bottom="1417" w:left="1417" w:header="850" w:footer="992" w:gutter="0"/>
          <w:pgNumType w:fmt="decimal"/>
          <w:cols w:space="0" w:num="1"/>
          <w:docGrid w:linePitch="327" w:charSpace="0"/>
        </w:sect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bookmarkEnd w:id="302"/>
      <w:bookmarkEnd w:id="303"/>
      <w:bookmarkEnd w:id="304"/>
      <w:bookmarkEnd w:id="305"/>
    </w:p>
    <w:p w14:paraId="63F60130">
      <w:pPr>
        <w:pStyle w:val="150"/>
        <w:keepNext/>
        <w:keepLines/>
        <w:snapToGrid w:val="0"/>
        <w:spacing w:line="400" w:lineRule="exact"/>
        <w:jc w:val="both"/>
        <w:rPr>
          <w:rFonts w:ascii="宋体" w:hAnsi="宋体" w:cs="宋体"/>
          <w:b/>
          <w:bCs/>
          <w:snapToGrid w:val="0"/>
          <w:color w:val="auto"/>
          <w:highlight w:val="none"/>
        </w:rPr>
      </w:pPr>
      <w:bookmarkStart w:id="335" w:name="_Toc13068"/>
      <w:bookmarkStart w:id="336" w:name="_Toc24916"/>
      <w:r>
        <w:rPr>
          <w:rFonts w:hint="eastAsia" w:ascii="宋体" w:hAnsi="宋体" w:cs="宋体"/>
          <w:b/>
          <w:bCs/>
          <w:snapToGrid w:val="0"/>
          <w:color w:val="auto"/>
          <w:highlight w:val="none"/>
        </w:rPr>
        <w:t>格式十一 总监理工程师简历表</w:t>
      </w:r>
      <w:bookmarkEnd w:id="335"/>
      <w:bookmarkEnd w:id="336"/>
    </w:p>
    <w:p w14:paraId="6461E15D">
      <w:pPr>
        <w:adjustRightInd w:val="0"/>
        <w:snapToGrid w:val="0"/>
        <w:spacing w:line="400" w:lineRule="exact"/>
        <w:jc w:val="center"/>
        <w:rPr>
          <w:rFonts w:hAnsi="宋体" w:cs="宋体"/>
          <w:b/>
          <w:bCs/>
          <w:color w:val="auto"/>
          <w:sz w:val="32"/>
          <w:szCs w:val="22"/>
          <w:highlight w:val="none"/>
        </w:rPr>
      </w:pPr>
    </w:p>
    <w:p w14:paraId="13A99F0A">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总监理工程师简历表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highlight w:val="none"/>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highlight w:val="none"/>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highlight w:val="none"/>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highlight w:val="none"/>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highlight w:val="none"/>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highlight w:val="none"/>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highlight w:val="none"/>
              </w:rPr>
            </w:pPr>
          </w:p>
        </w:tc>
      </w:tr>
    </w:tbl>
    <w:p w14:paraId="05AF772E">
      <w:pPr>
        <w:adjustRightInd w:val="0"/>
        <w:snapToGrid w:val="0"/>
        <w:spacing w:line="400" w:lineRule="exact"/>
        <w:rPr>
          <w:rFonts w:hAnsi="宋体" w:cs="宋体"/>
          <w:color w:val="auto"/>
          <w:highlight w:val="none"/>
        </w:rPr>
      </w:pPr>
    </w:p>
    <w:p w14:paraId="55649CDC">
      <w:pPr>
        <w:pStyle w:val="75"/>
        <w:wordWrap w:val="0"/>
        <w:adjustRightInd w:val="0"/>
        <w:snapToGrid w:val="0"/>
        <w:spacing w:line="400" w:lineRule="exact"/>
        <w:jc w:val="right"/>
        <w:rPr>
          <w:rFonts w:hAnsi="宋体" w:cs="宋体"/>
          <w:snapToGrid w:val="0"/>
          <w:color w:val="auto"/>
          <w:kern w:val="0"/>
          <w:highlight w:val="none"/>
        </w:rPr>
      </w:pPr>
    </w:p>
    <w:p w14:paraId="5212B167">
      <w:pPr>
        <w:pStyle w:val="75"/>
        <w:wordWrap w:val="0"/>
        <w:adjustRightInd w:val="0"/>
        <w:snapToGrid w:val="0"/>
        <w:spacing w:line="400" w:lineRule="exact"/>
        <w:jc w:val="right"/>
        <w:rPr>
          <w:rFonts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0C2580C4">
      <w:pPr>
        <w:pStyle w:val="75"/>
        <w:wordWrap w:val="0"/>
        <w:adjustRightInd w:val="0"/>
        <w:snapToGrid w:val="0"/>
        <w:spacing w:line="400" w:lineRule="exact"/>
        <w:jc w:val="center"/>
        <w:rPr>
          <w:rFonts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54D577A5">
      <w:pPr>
        <w:wordWrap w:val="0"/>
        <w:adjustRightInd w:val="0"/>
        <w:snapToGrid w:val="0"/>
        <w:spacing w:line="400" w:lineRule="exact"/>
        <w:ind w:firstLine="570"/>
        <w:rPr>
          <w:rFonts w:hAnsi="宋体" w:cs="宋体"/>
          <w:snapToGrid w:val="0"/>
          <w:color w:val="auto"/>
          <w:kern w:val="0"/>
          <w:szCs w:val="28"/>
          <w:highlight w:val="none"/>
        </w:rPr>
      </w:pPr>
    </w:p>
    <w:p w14:paraId="1CA52C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hAnsi="宋体" w:cs="宋体"/>
          <w:snapToGrid w:val="0"/>
          <w:color w:val="auto"/>
          <w:kern w:val="0"/>
          <w:sz w:val="21"/>
          <w:szCs w:val="28"/>
          <w:highlight w:val="none"/>
        </w:rPr>
        <w:t>；</w:t>
      </w:r>
    </w:p>
    <w:p w14:paraId="4FD46B7A">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05</w:t>
      </w:r>
      <w:r>
        <w:rPr>
          <w:rFonts w:hint="eastAsia" w:ascii="宋体" w:hAnsi="宋体" w:eastAsia="宋体" w:cs="宋体"/>
          <w:caps w:val="0"/>
          <w:smallCaps w:val="0"/>
          <w:snapToGrid w:val="0"/>
          <w:color w:val="auto"/>
          <w:spacing w:val="0"/>
          <w:kern w:val="0"/>
          <w:sz w:val="21"/>
          <w:szCs w:val="28"/>
          <w:highlight w:val="none"/>
          <w:lang w:val="en-US" w:eastAsia="zh-CN"/>
        </w:rPr>
        <w:t>月）彩色扫描件。</w:t>
      </w:r>
    </w:p>
    <w:p w14:paraId="2DC2A311">
      <w:pPr>
        <w:pStyle w:val="10"/>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4.“进粤企业和人员诚信信息登记平台”个人（总监理工程师等）信息情况截图。（适用于省外建筑企业）</w:t>
      </w:r>
    </w:p>
    <w:p w14:paraId="1FF4E9EC">
      <w:pPr>
        <w:pStyle w:val="10"/>
        <w:snapToGrid w:val="0"/>
        <w:spacing w:line="400" w:lineRule="exact"/>
        <w:rPr>
          <w:rFonts w:hAnsi="宋体" w:cs="宋体"/>
          <w:snapToGrid w:val="0"/>
          <w:color w:val="auto"/>
          <w:sz w:val="21"/>
          <w:highlight w:val="none"/>
        </w:rPr>
      </w:pPr>
    </w:p>
    <w:p w14:paraId="1F51A155">
      <w:pPr>
        <w:adjustRightInd w:val="0"/>
        <w:snapToGrid w:val="0"/>
        <w:spacing w:line="400" w:lineRule="exact"/>
        <w:rPr>
          <w:rFonts w:hAnsi="宋体" w:cs="宋体"/>
          <w:b/>
          <w:bCs/>
          <w:snapToGrid w:val="0"/>
          <w:color w:val="auto"/>
          <w:kern w:val="0"/>
          <w:szCs w:val="24"/>
          <w:highlight w:val="none"/>
        </w:rPr>
      </w:pPr>
      <w:bookmarkStart w:id="337" w:name="_Toc19546"/>
      <w:r>
        <w:rPr>
          <w:rFonts w:hint="eastAsia" w:hAnsi="宋体" w:cs="宋体"/>
          <w:b/>
          <w:bCs/>
          <w:snapToGrid w:val="0"/>
          <w:color w:val="auto"/>
          <w:kern w:val="0"/>
          <w:szCs w:val="24"/>
          <w:highlight w:val="none"/>
        </w:rPr>
        <w:br w:type="page"/>
      </w:r>
    </w:p>
    <w:p w14:paraId="32B105E3">
      <w:pPr>
        <w:pStyle w:val="150"/>
        <w:keepNext/>
        <w:keepLines/>
        <w:snapToGrid w:val="0"/>
        <w:spacing w:line="400" w:lineRule="exact"/>
        <w:jc w:val="both"/>
        <w:rPr>
          <w:rFonts w:ascii="宋体" w:hAnsi="宋体" w:cs="宋体"/>
          <w:b/>
          <w:bCs/>
          <w:snapToGrid w:val="0"/>
          <w:color w:val="auto"/>
          <w:highlight w:val="none"/>
        </w:rPr>
      </w:pPr>
      <w:bookmarkStart w:id="338" w:name="_Toc21090"/>
      <w:r>
        <w:rPr>
          <w:rFonts w:hint="eastAsia" w:ascii="宋体" w:hAnsi="宋体" w:cs="宋体"/>
          <w:b/>
          <w:bCs/>
          <w:snapToGrid w:val="0"/>
          <w:color w:val="auto"/>
          <w:highlight w:val="none"/>
        </w:rPr>
        <w:t>格式十二 其他拟派人员简历表</w:t>
      </w:r>
      <w:bookmarkEnd w:id="337"/>
      <w:bookmarkEnd w:id="338"/>
    </w:p>
    <w:p w14:paraId="6BB2F130">
      <w:pPr>
        <w:adjustRightInd w:val="0"/>
        <w:snapToGrid w:val="0"/>
        <w:spacing w:line="400" w:lineRule="exact"/>
        <w:jc w:val="center"/>
        <w:rPr>
          <w:rFonts w:hAnsi="宋体" w:cs="宋体"/>
          <w:b/>
          <w:bCs/>
          <w:color w:val="auto"/>
          <w:sz w:val="32"/>
          <w:szCs w:val="22"/>
          <w:highlight w:val="none"/>
        </w:rPr>
      </w:pPr>
    </w:p>
    <w:p w14:paraId="3FF56886">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其他拟派人员简历表（）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highlight w:val="none"/>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highlight w:val="none"/>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highlight w:val="none"/>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AEF7FE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6A8FC6B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highlight w:val="none"/>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highlight w:val="none"/>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highlight w:val="none"/>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highlight w:val="none"/>
              </w:rPr>
            </w:pPr>
          </w:p>
        </w:tc>
      </w:tr>
    </w:tbl>
    <w:p w14:paraId="77C02387">
      <w:pPr>
        <w:pStyle w:val="75"/>
        <w:wordWrap w:val="0"/>
        <w:adjustRightInd w:val="0"/>
        <w:snapToGrid w:val="0"/>
        <w:spacing w:line="400" w:lineRule="exact"/>
        <w:rPr>
          <w:rFonts w:hAnsi="宋体" w:cs="宋体"/>
          <w:snapToGrid w:val="0"/>
          <w:color w:val="auto"/>
          <w:kern w:val="0"/>
          <w:highlight w:val="none"/>
        </w:rPr>
      </w:pPr>
    </w:p>
    <w:p w14:paraId="51FC9EC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2C895D48">
      <w:pPr>
        <w:wordWrap w:val="0"/>
        <w:adjustRightInd w:val="0"/>
        <w:snapToGrid w:val="0"/>
        <w:spacing w:line="400" w:lineRule="exact"/>
        <w:ind w:firstLine="420"/>
        <w:rPr>
          <w:rFonts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highlight w:val="none"/>
        </w:rPr>
        <w:t>并标明序号。</w:t>
      </w:r>
    </w:p>
    <w:p w14:paraId="784C9BD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highlight w:val="none"/>
          <w:lang w:val="en-US" w:eastAsia="zh-CN"/>
        </w:rPr>
      </w:pPr>
      <w:r>
        <w:rPr>
          <w:rFonts w:hint="eastAsia" w:hAnsi="宋体" w:cs="宋体"/>
          <w:snapToGrid w:val="0"/>
          <w:color w:val="auto"/>
          <w:kern w:val="0"/>
          <w:sz w:val="21"/>
          <w:szCs w:val="28"/>
          <w:highlight w:val="none"/>
        </w:rPr>
        <w:t>（2）相关证书彩色扫描件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须彩色扫描至变更注册栏</w:t>
      </w:r>
      <w:r>
        <w:rPr>
          <w:rFonts w:hint="eastAsia" w:hAnsi="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05</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highlight w:val="none"/>
        </w:rPr>
        <w:t>彩色扫描件。</w:t>
      </w:r>
    </w:p>
    <w:p w14:paraId="14218DA9">
      <w:pPr>
        <w:pStyle w:val="10"/>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3.“进粤企业和人员诚信信息登记平台”个人信息情况截图。（适用于省外建筑企业）</w:t>
      </w:r>
    </w:p>
    <w:p w14:paraId="16DC49F0">
      <w:pPr>
        <w:rPr>
          <w:color w:val="auto"/>
          <w:highlight w:val="none"/>
        </w:rPr>
      </w:pPr>
      <w:bookmarkStart w:id="339" w:name="_Toc25312"/>
      <w:bookmarkStart w:id="340" w:name="_Toc593"/>
    </w:p>
    <w:p w14:paraId="4F5701AB">
      <w:pPr>
        <w:rPr>
          <w:color w:val="auto"/>
          <w:highlight w:val="none"/>
        </w:rPr>
      </w:pPr>
    </w:p>
    <w:p w14:paraId="0B0CC3A8">
      <w:pPr>
        <w:rPr>
          <w:color w:val="auto"/>
          <w:highlight w:val="none"/>
        </w:rPr>
      </w:pPr>
    </w:p>
    <w:p w14:paraId="0887FC9D">
      <w:pPr>
        <w:rPr>
          <w:color w:val="auto"/>
          <w:highlight w:val="none"/>
        </w:rPr>
      </w:pPr>
    </w:p>
    <w:p w14:paraId="746FE86D">
      <w:pPr>
        <w:rPr>
          <w:color w:val="auto"/>
          <w:highlight w:val="none"/>
        </w:rPr>
      </w:pPr>
    </w:p>
    <w:p w14:paraId="4A3461BE">
      <w:pPr>
        <w:bidi w:val="0"/>
        <w:rPr>
          <w:color w:val="auto"/>
          <w:highlight w:val="none"/>
        </w:rPr>
      </w:pPr>
    </w:p>
    <w:p w14:paraId="20F0C669">
      <w:pPr>
        <w:pStyle w:val="4"/>
        <w:bidi w:val="0"/>
        <w:rPr>
          <w:rFonts w:hint="default"/>
          <w:b/>
          <w:bCs/>
          <w:color w:val="auto"/>
          <w:highlight w:val="none"/>
          <w:lang w:val="en-US" w:eastAsia="zh-CN"/>
        </w:rPr>
      </w:pPr>
      <w:bookmarkStart w:id="341" w:name="_Toc1230"/>
      <w:r>
        <w:rPr>
          <w:rFonts w:hint="eastAsia"/>
          <w:b/>
          <w:bCs/>
          <w:color w:val="auto"/>
          <w:highlight w:val="none"/>
          <w:lang w:val="en-US" w:eastAsia="zh-CN"/>
        </w:rPr>
        <w:t>格式十三 原件一览表</w:t>
      </w:r>
      <w:bookmarkEnd w:id="341"/>
    </w:p>
    <w:tbl>
      <w:tblPr>
        <w:tblStyle w:val="3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highlight w:val="none"/>
              </w:rPr>
            </w:pPr>
            <w:r>
              <w:rPr>
                <w:rFonts w:hAnsi="宋体" w:cs="宋体"/>
                <w:b/>
                <w:color w:val="auto"/>
                <w:highlight w:val="none"/>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highlight w:val="none"/>
              </w:rPr>
            </w:pPr>
            <w:r>
              <w:rPr>
                <w:rFonts w:hAnsi="宋体" w:cs="宋体"/>
                <w:color w:val="auto"/>
                <w:sz w:val="24"/>
                <w:szCs w:val="24"/>
                <w:highlight w:val="none"/>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highlight w:val="none"/>
              </w:rPr>
            </w:pPr>
            <w:r>
              <w:rPr>
                <w:rFonts w:hAnsi="宋体" w:cs="宋体"/>
                <w:color w:val="auto"/>
                <w:sz w:val="24"/>
                <w:szCs w:val="24"/>
                <w:highlight w:val="none"/>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highlight w:val="none"/>
              </w:rPr>
            </w:pPr>
            <w:r>
              <w:rPr>
                <w:rFonts w:hAnsi="宋体" w:cs="宋体"/>
                <w:color w:val="auto"/>
                <w:sz w:val="24"/>
                <w:szCs w:val="24"/>
                <w:highlight w:val="none"/>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highlight w:val="none"/>
              </w:rPr>
            </w:pPr>
            <w:r>
              <w:rPr>
                <w:rFonts w:hAnsi="宋体" w:cs="宋体"/>
                <w:color w:val="auto"/>
                <w:sz w:val="24"/>
                <w:szCs w:val="24"/>
                <w:highlight w:val="none"/>
              </w:rPr>
              <w:t>投标人法定代表人或其</w:t>
            </w:r>
          </w:p>
          <w:p w14:paraId="77524DC3">
            <w:pPr>
              <w:jc w:val="center"/>
              <w:rPr>
                <w:rFonts w:hAnsi="宋体" w:cs="宋体"/>
                <w:color w:val="auto"/>
                <w:sz w:val="24"/>
                <w:szCs w:val="24"/>
                <w:highlight w:val="none"/>
              </w:rPr>
            </w:pPr>
            <w:r>
              <w:rPr>
                <w:rFonts w:hAnsi="宋体" w:cs="宋体"/>
                <w:color w:val="auto"/>
                <w:sz w:val="24"/>
                <w:szCs w:val="24"/>
                <w:highlight w:val="none"/>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highlight w:val="none"/>
              </w:rPr>
            </w:pPr>
            <w:r>
              <w:rPr>
                <w:rFonts w:hAnsi="宋体" w:cs="宋体"/>
                <w:color w:val="auto"/>
                <w:sz w:val="24"/>
                <w:szCs w:val="24"/>
                <w:highlight w:val="none"/>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highlight w:val="none"/>
              </w:rPr>
            </w:pPr>
            <w:r>
              <w:rPr>
                <w:rFonts w:hAnsi="宋体" w:cs="宋体"/>
                <w:color w:val="auto"/>
                <w:sz w:val="24"/>
                <w:szCs w:val="24"/>
                <w:highlight w:val="none"/>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highlight w:val="none"/>
              </w:rPr>
            </w:pPr>
            <w:r>
              <w:rPr>
                <w:rFonts w:hAnsi="宋体" w:cs="宋体"/>
                <w:color w:val="auto"/>
                <w:sz w:val="24"/>
                <w:szCs w:val="24"/>
                <w:highlight w:val="none"/>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highlight w:val="none"/>
              </w:rPr>
            </w:pPr>
            <w:r>
              <w:rPr>
                <w:rFonts w:hAnsi="宋体" w:cs="宋体"/>
                <w:color w:val="auto"/>
                <w:sz w:val="24"/>
                <w:szCs w:val="24"/>
                <w:highlight w:val="none"/>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highlight w:val="none"/>
              </w:rPr>
            </w:pPr>
            <w:r>
              <w:rPr>
                <w:rFonts w:hAnsi="宋体" w:cs="宋体"/>
                <w:color w:val="auto"/>
                <w:sz w:val="24"/>
                <w:szCs w:val="24"/>
                <w:highlight w:val="none"/>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highlight w:val="none"/>
              </w:rPr>
            </w:pPr>
            <w:r>
              <w:rPr>
                <w:rFonts w:hAnsi="宋体" w:cs="宋体"/>
                <w:color w:val="auto"/>
                <w:sz w:val="24"/>
                <w:szCs w:val="24"/>
                <w:highlight w:val="none"/>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highlight w:val="none"/>
              </w:rPr>
            </w:pPr>
            <w:r>
              <w:rPr>
                <w:rFonts w:hAnsi="宋体" w:cs="宋体"/>
                <w:color w:val="auto"/>
                <w:sz w:val="24"/>
                <w:szCs w:val="24"/>
                <w:highlight w:val="none"/>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highlight w:val="none"/>
              </w:rPr>
            </w:pPr>
            <w:r>
              <w:rPr>
                <w:rFonts w:hAnsi="宋体" w:cs="宋体"/>
                <w:color w:val="auto"/>
                <w:sz w:val="24"/>
                <w:szCs w:val="24"/>
                <w:highlight w:val="none"/>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highlight w:val="none"/>
              </w:rPr>
            </w:pPr>
            <w:r>
              <w:rPr>
                <w:rFonts w:hint="eastAsia" w:hAnsi="宋体" w:cs="宋体"/>
                <w:color w:val="auto"/>
                <w:sz w:val="24"/>
                <w:szCs w:val="24"/>
                <w:highlight w:val="none"/>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highlight w:val="none"/>
              </w:rPr>
            </w:pPr>
            <w:r>
              <w:rPr>
                <w:rFonts w:hAnsi="宋体" w:cs="宋体"/>
                <w:color w:val="auto"/>
                <w:sz w:val="24"/>
                <w:szCs w:val="24"/>
                <w:highlight w:val="none"/>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highlight w:val="none"/>
              </w:rPr>
            </w:pPr>
            <w:r>
              <w:rPr>
                <w:rFonts w:hint="eastAsia" w:hAnsi="宋体" w:cs="宋体"/>
                <w:color w:val="auto"/>
                <w:sz w:val="24"/>
                <w:szCs w:val="24"/>
                <w:highlight w:val="none"/>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highlight w:val="none"/>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highlight w:val="none"/>
              </w:rPr>
            </w:pPr>
            <w:r>
              <w:rPr>
                <w:rFonts w:hint="eastAsia" w:hAnsi="宋体" w:cs="宋体"/>
                <w:color w:val="auto"/>
                <w:sz w:val="24"/>
                <w:szCs w:val="24"/>
                <w:highlight w:val="none"/>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highlight w:val="none"/>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highlight w:val="none"/>
              </w:rPr>
            </w:pPr>
            <w:r>
              <w:rPr>
                <w:rFonts w:hint="eastAsia" w:hAnsi="宋体" w:cs="宋体"/>
                <w:color w:val="auto"/>
                <w:sz w:val="24"/>
                <w:szCs w:val="24"/>
                <w:highlight w:val="none"/>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highlight w:val="none"/>
              </w:rPr>
            </w:pPr>
            <w:r>
              <w:rPr>
                <w:rFonts w:hAnsi="宋体" w:cs="宋体"/>
                <w:color w:val="auto"/>
                <w:sz w:val="24"/>
                <w:szCs w:val="24"/>
                <w:highlight w:val="none"/>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highlight w:val="none"/>
              </w:rPr>
            </w:pPr>
            <w:r>
              <w:rPr>
                <w:rFonts w:hint="eastAsia" w:hAnsi="宋体" w:cs="宋体"/>
                <w:color w:val="auto"/>
                <w:sz w:val="24"/>
                <w:szCs w:val="24"/>
                <w:highlight w:val="none"/>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highlight w:val="none"/>
              </w:rPr>
            </w:pPr>
            <w:r>
              <w:rPr>
                <w:rFonts w:hint="eastAsia" w:hAnsi="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highlight w:val="none"/>
              </w:rPr>
            </w:pPr>
            <w:r>
              <w:rPr>
                <w:rFonts w:hint="eastAsia" w:hAnsi="宋体" w:cs="宋体"/>
                <w:color w:val="auto"/>
                <w:sz w:val="24"/>
                <w:szCs w:val="24"/>
                <w:highlight w:val="none"/>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highlight w:val="none"/>
              </w:rPr>
            </w:pPr>
            <w:r>
              <w:rPr>
                <w:rFonts w:hint="eastAsia" w:hAnsi="宋体" w:cs="宋体"/>
                <w:color w:val="auto"/>
                <w:sz w:val="24"/>
                <w:szCs w:val="24"/>
                <w:highlight w:val="none"/>
              </w:rPr>
              <w:t>接收时间：</w:t>
            </w:r>
          </w:p>
        </w:tc>
        <w:tc>
          <w:tcPr>
            <w:tcW w:w="3282" w:type="dxa"/>
            <w:gridSpan w:val="3"/>
            <w:shd w:val="clear" w:color="auto" w:fill="auto"/>
            <w:noWrap w:val="0"/>
            <w:tcMar>
              <w:left w:w="108" w:type="dxa"/>
              <w:right w:w="108" w:type="dxa"/>
            </w:tcMar>
            <w:vAlign w:val="center"/>
          </w:tcPr>
          <w:p w14:paraId="5F3DDF19">
            <w:pPr>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highlight w:val="none"/>
              </w:rPr>
            </w:pPr>
            <w:r>
              <w:rPr>
                <w:rFonts w:hint="eastAsia" w:hAnsi="宋体" w:cs="宋体"/>
                <w:color w:val="auto"/>
                <w:sz w:val="24"/>
                <w:szCs w:val="24"/>
                <w:highlight w:val="none"/>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highlight w:val="none"/>
              </w:rPr>
            </w:pPr>
            <w:r>
              <w:rPr>
                <w:rFonts w:hint="eastAsia" w:hAnsi="宋体" w:cs="宋体"/>
                <w:color w:val="auto"/>
                <w:sz w:val="24"/>
                <w:szCs w:val="24"/>
                <w:highlight w:val="none"/>
              </w:rPr>
              <w:t>退还时间：</w:t>
            </w:r>
          </w:p>
        </w:tc>
        <w:tc>
          <w:tcPr>
            <w:tcW w:w="3282" w:type="dxa"/>
            <w:gridSpan w:val="3"/>
            <w:shd w:val="clear" w:color="auto" w:fill="auto"/>
            <w:noWrap w:val="0"/>
            <w:tcMar>
              <w:left w:w="108" w:type="dxa"/>
              <w:right w:w="108" w:type="dxa"/>
            </w:tcMar>
            <w:vAlign w:val="center"/>
          </w:tcPr>
          <w:p w14:paraId="1B2E0C0D">
            <w:pPr>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bl>
    <w:p w14:paraId="2043B9AC">
      <w:pPr>
        <w:bidi w:val="0"/>
        <w:rPr>
          <w:color w:val="auto"/>
          <w:highlight w:val="none"/>
        </w:rPr>
      </w:pPr>
    </w:p>
    <w:p w14:paraId="59158BD3">
      <w:pPr>
        <w:rPr>
          <w:color w:val="auto"/>
          <w:highlight w:val="none"/>
        </w:rPr>
      </w:pPr>
    </w:p>
    <w:p w14:paraId="65603D6D">
      <w:pPr>
        <w:bidi w:val="0"/>
        <w:rPr>
          <w:color w:val="auto"/>
          <w:highlight w:val="none"/>
        </w:rPr>
      </w:pPr>
    </w:p>
    <w:p w14:paraId="47E51DDB">
      <w:pPr>
        <w:pStyle w:val="15"/>
        <w:rPr>
          <w:color w:val="auto"/>
          <w:highlight w:val="none"/>
        </w:rPr>
      </w:pPr>
    </w:p>
    <w:bookmarkEnd w:id="339"/>
    <w:bookmarkEnd w:id="340"/>
    <w:p w14:paraId="6FEFA5B3">
      <w:pPr>
        <w:pStyle w:val="151"/>
        <w:keepNext/>
        <w:keepLines/>
        <w:snapToGrid w:val="0"/>
        <w:spacing w:line="400" w:lineRule="exact"/>
        <w:jc w:val="center"/>
        <w:rPr>
          <w:rFonts w:ascii="宋体" w:hAnsi="宋体" w:cs="宋体"/>
          <w:b/>
          <w:color w:val="auto"/>
          <w:kern w:val="44"/>
          <w:sz w:val="32"/>
          <w:szCs w:val="22"/>
        </w:rPr>
      </w:pPr>
      <w:bookmarkStart w:id="342" w:name="_Toc132687128"/>
      <w:bookmarkStart w:id="343" w:name="_Toc142468134"/>
      <w:bookmarkStart w:id="344" w:name="_Toc13722"/>
      <w:bookmarkStart w:id="345" w:name="_Toc3174"/>
      <w:bookmarkStart w:id="346" w:name="_Toc10354"/>
      <w:bookmarkStart w:id="347" w:name="_Toc137444778"/>
      <w:bookmarkStart w:id="348" w:name="_Toc133160683"/>
      <w:bookmarkStart w:id="349" w:name="_Toc133815902"/>
      <w:bookmarkStart w:id="350" w:name="_Toc78794873"/>
      <w:r>
        <w:rPr>
          <w:rFonts w:hint="eastAsia" w:ascii="宋体" w:hAnsi="宋体" w:cs="宋体"/>
          <w:b/>
          <w:color w:val="auto"/>
          <w:kern w:val="44"/>
          <w:sz w:val="32"/>
          <w:szCs w:val="22"/>
        </w:rPr>
        <w:t>第六章 建设工程监理合同</w:t>
      </w:r>
      <w:bookmarkEnd w:id="342"/>
      <w:bookmarkEnd w:id="343"/>
      <w:bookmarkEnd w:id="344"/>
      <w:bookmarkEnd w:id="345"/>
      <w:bookmarkEnd w:id="346"/>
      <w:bookmarkEnd w:id="347"/>
      <w:bookmarkEnd w:id="348"/>
    </w:p>
    <w:p w14:paraId="489A5B59">
      <w:pPr>
        <w:wordWrap w:val="0"/>
        <w:adjustRightInd w:val="0"/>
        <w:snapToGrid w:val="0"/>
        <w:spacing w:before="360" w:beforeLines="150" w:line="400" w:lineRule="exact"/>
        <w:rPr>
          <w:rFonts w:hAnsi="宋体" w:cs="宋体"/>
          <w:color w:val="auto"/>
        </w:rPr>
      </w:pPr>
      <w:r>
        <w:rPr>
          <w:rFonts w:hint="eastAsia" w:hAnsi="宋体" w:cs="宋体"/>
          <w:snapToGrid w:val="0"/>
          <w:color w:val="auto"/>
          <w:kern w:val="0"/>
        </w:rPr>
        <w:t xml:space="preserve">    （略），</w:t>
      </w:r>
      <w:bookmarkEnd w:id="349"/>
      <w:bookmarkEnd w:id="350"/>
      <w:r>
        <w:rPr>
          <w:rFonts w:hint="eastAsia" w:hAnsi="宋体" w:cs="宋体"/>
          <w:snapToGrid w:val="0"/>
          <w:color w:val="auto"/>
          <w:kern w:val="0"/>
        </w:rPr>
        <w:t>按照《建设工程监理合同（示范文本）》（GF—2012—0202）执行。</w:t>
      </w:r>
    </w:p>
    <w:p w14:paraId="6CF11764">
      <w:pPr>
        <w:pStyle w:val="10"/>
        <w:snapToGrid w:val="0"/>
        <w:spacing w:line="400" w:lineRule="exact"/>
        <w:rPr>
          <w:rFonts w:hAnsi="宋体" w:cs="宋体"/>
          <w:snapToGrid w:val="0"/>
          <w:color w:val="auto"/>
        </w:rPr>
      </w:pPr>
    </w:p>
    <w:p w14:paraId="15C44C0F">
      <w:pPr>
        <w:pStyle w:val="74"/>
        <w:widowControl w:val="0"/>
        <w:wordWrap w:val="0"/>
        <w:adjustRightInd w:val="0"/>
        <w:snapToGrid w:val="0"/>
        <w:spacing w:line="400" w:lineRule="exact"/>
        <w:ind w:firstLine="0"/>
        <w:rPr>
          <w:rFonts w:hAnsi="宋体" w:cs="宋体"/>
          <w:snapToGrid w:val="0"/>
          <w:color w:val="auto"/>
          <w:sz w:val="21"/>
        </w:rPr>
      </w:pPr>
    </w:p>
    <w:sectPr>
      <w:footerReference r:id="rId9" w:type="default"/>
      <w:endnotePr>
        <w:numFmt w:val="decimal"/>
      </w:endnotePr>
      <w:pgSz w:w="11906" w:h="16838"/>
      <w:pgMar w:top="1134" w:right="1134" w:bottom="1134" w:left="1134" w:header="850" w:footer="850" w:gutter="0"/>
      <w:pgNumType w:fmt="decimal"/>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23B4">
    <w:pPr>
      <w:pStyle w:val="111"/>
      <w:pBdr>
        <w:between w:val="none" w:color="auto" w:sz="0" w:space="0"/>
      </w:pBdr>
      <w:tabs>
        <w:tab w:val="left" w:pos="4803"/>
        <w:tab w:val="clear" w:pos="4153"/>
      </w:tabs>
      <w:rPr>
        <w:rFonts w:hint="eastAsia"/>
      </w:rPr>
    </w:pPr>
    <w:r>
      <w:rPr>
        <w:rFonts w:hint="eastAsia"/>
      </w:rPr>
      <w:tab/>
    </w:r>
  </w:p>
  <w:p w14:paraId="3881DEF1">
    <w:pPr>
      <w:pStyle w:val="111"/>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787F0">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FEE09">
                          <w:pPr>
                            <w:pStyle w:val="19"/>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CFFEE09">
                    <w:pPr>
                      <w:pStyle w:val="19"/>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382DD">
                          <w:pPr>
                            <w:pStyle w:val="19"/>
                          </w:pPr>
                          <w:r>
                            <w:t xml:space="preserve">第 </w:t>
                          </w:r>
                          <w:r>
                            <w:fldChar w:fldCharType="begin"/>
                          </w:r>
                          <w:r>
                            <w:instrText xml:space="preserve"> PAGE  \* MERGEFORMAT </w:instrText>
                          </w:r>
                          <w:r>
                            <w:fldChar w:fldCharType="separate"/>
                          </w:r>
                          <w:r>
                            <w:t>72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18382DD">
                    <w:pPr>
                      <w:pStyle w:val="19"/>
                    </w:pPr>
                    <w:r>
                      <w:t xml:space="preserve">第 </w:t>
                    </w:r>
                    <w:r>
                      <w:fldChar w:fldCharType="begin"/>
                    </w:r>
                    <w:r>
                      <w:instrText xml:space="preserve"> PAGE  \* MERGEFORMAT </w:instrText>
                    </w:r>
                    <w:r>
                      <w:fldChar w:fldCharType="separate"/>
                    </w:r>
                    <w:r>
                      <w:t>72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B3D34">
    <w:pPr>
      <w:pStyle w:val="11"/>
      <w:spacing w:line="50"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BD7A8E"/>
    <w:multiLevelType w:val="singleLevel"/>
    <w:tmpl w:val="E0BD7A8E"/>
    <w:lvl w:ilvl="0" w:tentative="0">
      <w:start w:val="1"/>
      <w:numFmt w:val="decimal"/>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410516"/>
    <w:rsid w:val="00484F5E"/>
    <w:rsid w:val="004B70BA"/>
    <w:rsid w:val="004D7577"/>
    <w:rsid w:val="00567655"/>
    <w:rsid w:val="00590B05"/>
    <w:rsid w:val="005B2D4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20E0"/>
    <w:rsid w:val="02E6644C"/>
    <w:rsid w:val="03280EF8"/>
    <w:rsid w:val="032B3195"/>
    <w:rsid w:val="03353615"/>
    <w:rsid w:val="03606DA8"/>
    <w:rsid w:val="03826431"/>
    <w:rsid w:val="03AA0611"/>
    <w:rsid w:val="03AE02E8"/>
    <w:rsid w:val="03B83805"/>
    <w:rsid w:val="0455083C"/>
    <w:rsid w:val="04780182"/>
    <w:rsid w:val="04841E6C"/>
    <w:rsid w:val="048707A2"/>
    <w:rsid w:val="04D81F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4232"/>
    <w:rsid w:val="071A4FFB"/>
    <w:rsid w:val="072F60EA"/>
    <w:rsid w:val="073003F6"/>
    <w:rsid w:val="073C1416"/>
    <w:rsid w:val="07626CD1"/>
    <w:rsid w:val="076349FE"/>
    <w:rsid w:val="07F654CB"/>
    <w:rsid w:val="07F90245"/>
    <w:rsid w:val="08077FE9"/>
    <w:rsid w:val="08432B8E"/>
    <w:rsid w:val="085D1A1C"/>
    <w:rsid w:val="0872069D"/>
    <w:rsid w:val="08767FD2"/>
    <w:rsid w:val="087D7F38"/>
    <w:rsid w:val="08970A40"/>
    <w:rsid w:val="09702125"/>
    <w:rsid w:val="09AD2157"/>
    <w:rsid w:val="09B41737"/>
    <w:rsid w:val="09CA2D09"/>
    <w:rsid w:val="09E65669"/>
    <w:rsid w:val="09EA5159"/>
    <w:rsid w:val="09F5235C"/>
    <w:rsid w:val="0A0E69FD"/>
    <w:rsid w:val="0A3E54A5"/>
    <w:rsid w:val="0A570314"/>
    <w:rsid w:val="0A6523F4"/>
    <w:rsid w:val="0A685FB5"/>
    <w:rsid w:val="0A740EC6"/>
    <w:rsid w:val="0A9F6084"/>
    <w:rsid w:val="0B4006EB"/>
    <w:rsid w:val="0B914627"/>
    <w:rsid w:val="0B9B6EF0"/>
    <w:rsid w:val="0B9E10B5"/>
    <w:rsid w:val="0B9E1CB0"/>
    <w:rsid w:val="0BC47C2C"/>
    <w:rsid w:val="0BF6217D"/>
    <w:rsid w:val="0C0D7AE6"/>
    <w:rsid w:val="0CA02447"/>
    <w:rsid w:val="0CA20070"/>
    <w:rsid w:val="0CAA75AD"/>
    <w:rsid w:val="0CC7733C"/>
    <w:rsid w:val="0CC80FED"/>
    <w:rsid w:val="0CD32A34"/>
    <w:rsid w:val="0CF12128"/>
    <w:rsid w:val="0D140105"/>
    <w:rsid w:val="0D364445"/>
    <w:rsid w:val="0D7E1192"/>
    <w:rsid w:val="0DB82B2F"/>
    <w:rsid w:val="0E0322E5"/>
    <w:rsid w:val="0E650489"/>
    <w:rsid w:val="0E8273DD"/>
    <w:rsid w:val="0E954BA0"/>
    <w:rsid w:val="0EAF2288"/>
    <w:rsid w:val="0EC544EB"/>
    <w:rsid w:val="0F177F3C"/>
    <w:rsid w:val="0F287BA3"/>
    <w:rsid w:val="0F3B1552"/>
    <w:rsid w:val="0F823F1F"/>
    <w:rsid w:val="0FA1224B"/>
    <w:rsid w:val="0FAB1B4B"/>
    <w:rsid w:val="0FC147F0"/>
    <w:rsid w:val="0FC83017"/>
    <w:rsid w:val="0FDE143F"/>
    <w:rsid w:val="0FED49BA"/>
    <w:rsid w:val="106F6EDC"/>
    <w:rsid w:val="10BB100E"/>
    <w:rsid w:val="10CF5BBB"/>
    <w:rsid w:val="10E072B6"/>
    <w:rsid w:val="10FB5335"/>
    <w:rsid w:val="10FD39C4"/>
    <w:rsid w:val="112D1D65"/>
    <w:rsid w:val="11303196"/>
    <w:rsid w:val="11360437"/>
    <w:rsid w:val="113B11BA"/>
    <w:rsid w:val="11515ABE"/>
    <w:rsid w:val="116021A5"/>
    <w:rsid w:val="11A42091"/>
    <w:rsid w:val="11AE4F46"/>
    <w:rsid w:val="11D67B34"/>
    <w:rsid w:val="11F70077"/>
    <w:rsid w:val="11FE6FE0"/>
    <w:rsid w:val="121459A3"/>
    <w:rsid w:val="121611D1"/>
    <w:rsid w:val="127C2803"/>
    <w:rsid w:val="127E10FD"/>
    <w:rsid w:val="12851648"/>
    <w:rsid w:val="128819B3"/>
    <w:rsid w:val="12884038"/>
    <w:rsid w:val="12C13398"/>
    <w:rsid w:val="12F876BF"/>
    <w:rsid w:val="13114669"/>
    <w:rsid w:val="132029E9"/>
    <w:rsid w:val="132F1E2E"/>
    <w:rsid w:val="13351019"/>
    <w:rsid w:val="135B72ED"/>
    <w:rsid w:val="136C6CCA"/>
    <w:rsid w:val="13841C28"/>
    <w:rsid w:val="139A08A3"/>
    <w:rsid w:val="13B3480E"/>
    <w:rsid w:val="13BE434A"/>
    <w:rsid w:val="13C925E9"/>
    <w:rsid w:val="13D87533"/>
    <w:rsid w:val="13E14828"/>
    <w:rsid w:val="13E2760C"/>
    <w:rsid w:val="13E55A7C"/>
    <w:rsid w:val="13ED238A"/>
    <w:rsid w:val="144D28BE"/>
    <w:rsid w:val="14A11363"/>
    <w:rsid w:val="14AD3C82"/>
    <w:rsid w:val="14AD638E"/>
    <w:rsid w:val="14D507B4"/>
    <w:rsid w:val="14E82BDD"/>
    <w:rsid w:val="150717C8"/>
    <w:rsid w:val="15133A63"/>
    <w:rsid w:val="1530421B"/>
    <w:rsid w:val="15335E3C"/>
    <w:rsid w:val="15585425"/>
    <w:rsid w:val="15632821"/>
    <w:rsid w:val="156E0438"/>
    <w:rsid w:val="159710CE"/>
    <w:rsid w:val="1613202A"/>
    <w:rsid w:val="161D4E95"/>
    <w:rsid w:val="162C017A"/>
    <w:rsid w:val="16435C60"/>
    <w:rsid w:val="165B50B5"/>
    <w:rsid w:val="16715F6C"/>
    <w:rsid w:val="16744260"/>
    <w:rsid w:val="168C342C"/>
    <w:rsid w:val="16921052"/>
    <w:rsid w:val="16991967"/>
    <w:rsid w:val="16A92C1F"/>
    <w:rsid w:val="16AB4918"/>
    <w:rsid w:val="16DF3B6C"/>
    <w:rsid w:val="16E216B8"/>
    <w:rsid w:val="17292082"/>
    <w:rsid w:val="17394FF8"/>
    <w:rsid w:val="17A50E24"/>
    <w:rsid w:val="17DE305B"/>
    <w:rsid w:val="17EB6EF9"/>
    <w:rsid w:val="17EF123E"/>
    <w:rsid w:val="181E2472"/>
    <w:rsid w:val="186F67C2"/>
    <w:rsid w:val="18AC5722"/>
    <w:rsid w:val="18BA750B"/>
    <w:rsid w:val="18C03544"/>
    <w:rsid w:val="18D45DFC"/>
    <w:rsid w:val="18DD6311"/>
    <w:rsid w:val="19000928"/>
    <w:rsid w:val="192856B3"/>
    <w:rsid w:val="19506374"/>
    <w:rsid w:val="19AB63C4"/>
    <w:rsid w:val="1A0D6313"/>
    <w:rsid w:val="1A3810FE"/>
    <w:rsid w:val="1A3D0F0C"/>
    <w:rsid w:val="1A4A48FF"/>
    <w:rsid w:val="1A501F1B"/>
    <w:rsid w:val="1A7C0E8F"/>
    <w:rsid w:val="1A9A0468"/>
    <w:rsid w:val="1ABE60EB"/>
    <w:rsid w:val="1AC45552"/>
    <w:rsid w:val="1AC74F12"/>
    <w:rsid w:val="1AFB4481"/>
    <w:rsid w:val="1B106078"/>
    <w:rsid w:val="1B3626B5"/>
    <w:rsid w:val="1B544E28"/>
    <w:rsid w:val="1B5938A5"/>
    <w:rsid w:val="1B5D1E9E"/>
    <w:rsid w:val="1B6323E0"/>
    <w:rsid w:val="1B776451"/>
    <w:rsid w:val="1BAE4064"/>
    <w:rsid w:val="1BD16179"/>
    <w:rsid w:val="1BD712B5"/>
    <w:rsid w:val="1BDB2B53"/>
    <w:rsid w:val="1C0D795C"/>
    <w:rsid w:val="1C0F788B"/>
    <w:rsid w:val="1C141501"/>
    <w:rsid w:val="1C3D55BC"/>
    <w:rsid w:val="1C7726C5"/>
    <w:rsid w:val="1C7F5BD5"/>
    <w:rsid w:val="1C814C75"/>
    <w:rsid w:val="1C8F2794"/>
    <w:rsid w:val="1CAE7812"/>
    <w:rsid w:val="1CB20AFB"/>
    <w:rsid w:val="1CB751D0"/>
    <w:rsid w:val="1CB919A4"/>
    <w:rsid w:val="1CD83537"/>
    <w:rsid w:val="1CEF0DA9"/>
    <w:rsid w:val="1CFC2D19"/>
    <w:rsid w:val="1D105D93"/>
    <w:rsid w:val="1D1E0445"/>
    <w:rsid w:val="1D270AE4"/>
    <w:rsid w:val="1D44283A"/>
    <w:rsid w:val="1D60342F"/>
    <w:rsid w:val="1D78009C"/>
    <w:rsid w:val="1D871C03"/>
    <w:rsid w:val="1D884CF0"/>
    <w:rsid w:val="1D8E0177"/>
    <w:rsid w:val="1DA3413D"/>
    <w:rsid w:val="1E095D84"/>
    <w:rsid w:val="1E545B64"/>
    <w:rsid w:val="1E6D05AB"/>
    <w:rsid w:val="1E7B6870"/>
    <w:rsid w:val="1EC73280"/>
    <w:rsid w:val="1EFF124F"/>
    <w:rsid w:val="1F114792"/>
    <w:rsid w:val="1F1E1F01"/>
    <w:rsid w:val="1F444EB4"/>
    <w:rsid w:val="1F503858"/>
    <w:rsid w:val="1F8E7284"/>
    <w:rsid w:val="1FB360E7"/>
    <w:rsid w:val="1FB873A4"/>
    <w:rsid w:val="1FF232DB"/>
    <w:rsid w:val="1FF45850"/>
    <w:rsid w:val="202D1235"/>
    <w:rsid w:val="203013AA"/>
    <w:rsid w:val="20327A15"/>
    <w:rsid w:val="206E565F"/>
    <w:rsid w:val="20D364EF"/>
    <w:rsid w:val="20E97676"/>
    <w:rsid w:val="21295B5E"/>
    <w:rsid w:val="212D27FA"/>
    <w:rsid w:val="219E373C"/>
    <w:rsid w:val="21A93CF7"/>
    <w:rsid w:val="21AF599B"/>
    <w:rsid w:val="21D0774F"/>
    <w:rsid w:val="223713D9"/>
    <w:rsid w:val="227B2B13"/>
    <w:rsid w:val="22A461F0"/>
    <w:rsid w:val="22B12CDA"/>
    <w:rsid w:val="22C92E53"/>
    <w:rsid w:val="22FC4CE3"/>
    <w:rsid w:val="23187739"/>
    <w:rsid w:val="23291E8B"/>
    <w:rsid w:val="23437531"/>
    <w:rsid w:val="236457F5"/>
    <w:rsid w:val="236E081B"/>
    <w:rsid w:val="2387194A"/>
    <w:rsid w:val="238C2DA9"/>
    <w:rsid w:val="23E85901"/>
    <w:rsid w:val="241E63E6"/>
    <w:rsid w:val="24213A15"/>
    <w:rsid w:val="24372BE7"/>
    <w:rsid w:val="245105A4"/>
    <w:rsid w:val="245A0AF2"/>
    <w:rsid w:val="245C2F8D"/>
    <w:rsid w:val="249066DD"/>
    <w:rsid w:val="24E707BB"/>
    <w:rsid w:val="251C369C"/>
    <w:rsid w:val="25536401"/>
    <w:rsid w:val="2566287E"/>
    <w:rsid w:val="25FD1164"/>
    <w:rsid w:val="2612287C"/>
    <w:rsid w:val="26196704"/>
    <w:rsid w:val="26217CFD"/>
    <w:rsid w:val="26440673"/>
    <w:rsid w:val="26623C6C"/>
    <w:rsid w:val="26C86BA7"/>
    <w:rsid w:val="26E06C71"/>
    <w:rsid w:val="26EA0CB5"/>
    <w:rsid w:val="26FD55DC"/>
    <w:rsid w:val="27017996"/>
    <w:rsid w:val="273C36E8"/>
    <w:rsid w:val="2744740D"/>
    <w:rsid w:val="274B251F"/>
    <w:rsid w:val="274B5F1C"/>
    <w:rsid w:val="274C5507"/>
    <w:rsid w:val="274E67F3"/>
    <w:rsid w:val="27725362"/>
    <w:rsid w:val="27C923FA"/>
    <w:rsid w:val="281250A7"/>
    <w:rsid w:val="28131DB1"/>
    <w:rsid w:val="28251659"/>
    <w:rsid w:val="283C7070"/>
    <w:rsid w:val="284618DF"/>
    <w:rsid w:val="286F2FA1"/>
    <w:rsid w:val="289531DE"/>
    <w:rsid w:val="28E47B36"/>
    <w:rsid w:val="291C1B2F"/>
    <w:rsid w:val="29234F87"/>
    <w:rsid w:val="29423A60"/>
    <w:rsid w:val="29554B1B"/>
    <w:rsid w:val="29671ECA"/>
    <w:rsid w:val="298A6B2C"/>
    <w:rsid w:val="29B66A0D"/>
    <w:rsid w:val="29F05B24"/>
    <w:rsid w:val="29F179E6"/>
    <w:rsid w:val="2A350D3C"/>
    <w:rsid w:val="2A4D7E90"/>
    <w:rsid w:val="2A960744"/>
    <w:rsid w:val="2AB51533"/>
    <w:rsid w:val="2AC60E73"/>
    <w:rsid w:val="2ADA3A0F"/>
    <w:rsid w:val="2AFF2BF3"/>
    <w:rsid w:val="2B037A34"/>
    <w:rsid w:val="2B593377"/>
    <w:rsid w:val="2B7C1908"/>
    <w:rsid w:val="2BC1086B"/>
    <w:rsid w:val="2BDC351D"/>
    <w:rsid w:val="2BE13AE1"/>
    <w:rsid w:val="2BEF2275"/>
    <w:rsid w:val="2C230203"/>
    <w:rsid w:val="2C8D32F9"/>
    <w:rsid w:val="2CEB0040"/>
    <w:rsid w:val="2D0A4DD2"/>
    <w:rsid w:val="2D427EAD"/>
    <w:rsid w:val="2D9515C6"/>
    <w:rsid w:val="2DC826D3"/>
    <w:rsid w:val="2DEF1607"/>
    <w:rsid w:val="2DF27D49"/>
    <w:rsid w:val="2DF803FC"/>
    <w:rsid w:val="2E0C16EA"/>
    <w:rsid w:val="2E4F3581"/>
    <w:rsid w:val="2E857AA5"/>
    <w:rsid w:val="2E910CDC"/>
    <w:rsid w:val="2EBD1EFD"/>
    <w:rsid w:val="2EC715D4"/>
    <w:rsid w:val="2F0B092E"/>
    <w:rsid w:val="2F1D4D98"/>
    <w:rsid w:val="2F4E3303"/>
    <w:rsid w:val="2F625641"/>
    <w:rsid w:val="2FBF699C"/>
    <w:rsid w:val="301C3E1D"/>
    <w:rsid w:val="303C6E79"/>
    <w:rsid w:val="304479DC"/>
    <w:rsid w:val="306A1172"/>
    <w:rsid w:val="306B0278"/>
    <w:rsid w:val="308E63ED"/>
    <w:rsid w:val="30BF65F3"/>
    <w:rsid w:val="30C47C02"/>
    <w:rsid w:val="315F570D"/>
    <w:rsid w:val="31615422"/>
    <w:rsid w:val="3163741B"/>
    <w:rsid w:val="31E0281A"/>
    <w:rsid w:val="31FE12D4"/>
    <w:rsid w:val="32364B30"/>
    <w:rsid w:val="32B271D3"/>
    <w:rsid w:val="32BA0022"/>
    <w:rsid w:val="332643F5"/>
    <w:rsid w:val="33791178"/>
    <w:rsid w:val="33CB12A8"/>
    <w:rsid w:val="33D267D7"/>
    <w:rsid w:val="33D66E83"/>
    <w:rsid w:val="33E82ECD"/>
    <w:rsid w:val="33F7209D"/>
    <w:rsid w:val="34022441"/>
    <w:rsid w:val="340D366E"/>
    <w:rsid w:val="3428064F"/>
    <w:rsid w:val="3460329E"/>
    <w:rsid w:val="34675E29"/>
    <w:rsid w:val="34864348"/>
    <w:rsid w:val="34E70363"/>
    <w:rsid w:val="34E76031"/>
    <w:rsid w:val="350C3E26"/>
    <w:rsid w:val="3511371C"/>
    <w:rsid w:val="352178D8"/>
    <w:rsid w:val="352251C2"/>
    <w:rsid w:val="353F2CB2"/>
    <w:rsid w:val="35435F75"/>
    <w:rsid w:val="357F2541"/>
    <w:rsid w:val="35827B62"/>
    <w:rsid w:val="358562B5"/>
    <w:rsid w:val="35AD5109"/>
    <w:rsid w:val="35B84990"/>
    <w:rsid w:val="35BA3E5B"/>
    <w:rsid w:val="35F21282"/>
    <w:rsid w:val="362F5B1E"/>
    <w:rsid w:val="36395EE4"/>
    <w:rsid w:val="36493477"/>
    <w:rsid w:val="364D6ED6"/>
    <w:rsid w:val="36673031"/>
    <w:rsid w:val="36B726AE"/>
    <w:rsid w:val="36C3101C"/>
    <w:rsid w:val="36F3211B"/>
    <w:rsid w:val="373525CE"/>
    <w:rsid w:val="374F73CF"/>
    <w:rsid w:val="375873B1"/>
    <w:rsid w:val="375A09AF"/>
    <w:rsid w:val="3766112D"/>
    <w:rsid w:val="37B46FED"/>
    <w:rsid w:val="37CF580A"/>
    <w:rsid w:val="37D1291E"/>
    <w:rsid w:val="37D4026E"/>
    <w:rsid w:val="37DA5E90"/>
    <w:rsid w:val="37ED7A3F"/>
    <w:rsid w:val="383A4B00"/>
    <w:rsid w:val="38A019C9"/>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006E0"/>
    <w:rsid w:val="3B43221E"/>
    <w:rsid w:val="3B732D74"/>
    <w:rsid w:val="3B8B7F8C"/>
    <w:rsid w:val="3B9A46DD"/>
    <w:rsid w:val="3BA174BE"/>
    <w:rsid w:val="3BA34FDA"/>
    <w:rsid w:val="3BBB7C7B"/>
    <w:rsid w:val="3BBD0245"/>
    <w:rsid w:val="3BC5576C"/>
    <w:rsid w:val="3BCC3E0F"/>
    <w:rsid w:val="3BF5322F"/>
    <w:rsid w:val="3C35213B"/>
    <w:rsid w:val="3C5067EE"/>
    <w:rsid w:val="3C581218"/>
    <w:rsid w:val="3CD218F9"/>
    <w:rsid w:val="3CD704BD"/>
    <w:rsid w:val="3CE75849"/>
    <w:rsid w:val="3D1A6A65"/>
    <w:rsid w:val="3D4B689C"/>
    <w:rsid w:val="3D8F7C9A"/>
    <w:rsid w:val="3E300685"/>
    <w:rsid w:val="3E4A665D"/>
    <w:rsid w:val="3E88226F"/>
    <w:rsid w:val="3EBC63BD"/>
    <w:rsid w:val="3EDB4A95"/>
    <w:rsid w:val="3EE057E6"/>
    <w:rsid w:val="3F18690D"/>
    <w:rsid w:val="3F1B285B"/>
    <w:rsid w:val="3F2A3743"/>
    <w:rsid w:val="3F310B59"/>
    <w:rsid w:val="3F43243B"/>
    <w:rsid w:val="3F47212A"/>
    <w:rsid w:val="3F6A3CD5"/>
    <w:rsid w:val="3FCB19D9"/>
    <w:rsid w:val="3FCB2D5B"/>
    <w:rsid w:val="3FE57C96"/>
    <w:rsid w:val="3FF81D2D"/>
    <w:rsid w:val="402847E9"/>
    <w:rsid w:val="40302BBE"/>
    <w:rsid w:val="405E34A3"/>
    <w:rsid w:val="40672358"/>
    <w:rsid w:val="407C7161"/>
    <w:rsid w:val="407D5E86"/>
    <w:rsid w:val="40807762"/>
    <w:rsid w:val="409A44DC"/>
    <w:rsid w:val="40A92971"/>
    <w:rsid w:val="40BC08F6"/>
    <w:rsid w:val="40BE0F76"/>
    <w:rsid w:val="40CB718C"/>
    <w:rsid w:val="40DD59C2"/>
    <w:rsid w:val="41610361"/>
    <w:rsid w:val="41A8307D"/>
    <w:rsid w:val="41C06995"/>
    <w:rsid w:val="41DB1250"/>
    <w:rsid w:val="41E2613A"/>
    <w:rsid w:val="421B6FDC"/>
    <w:rsid w:val="42595C18"/>
    <w:rsid w:val="429E14C7"/>
    <w:rsid w:val="429F2762"/>
    <w:rsid w:val="42AB17FE"/>
    <w:rsid w:val="42B11DCD"/>
    <w:rsid w:val="42E3216A"/>
    <w:rsid w:val="42FF5094"/>
    <w:rsid w:val="436C03B1"/>
    <w:rsid w:val="43C7528C"/>
    <w:rsid w:val="43CB220C"/>
    <w:rsid w:val="445415FA"/>
    <w:rsid w:val="445B3984"/>
    <w:rsid w:val="445B5455"/>
    <w:rsid w:val="44943A7F"/>
    <w:rsid w:val="44DF70BA"/>
    <w:rsid w:val="450F631C"/>
    <w:rsid w:val="453971E4"/>
    <w:rsid w:val="453C54BE"/>
    <w:rsid w:val="45476363"/>
    <w:rsid w:val="456D040C"/>
    <w:rsid w:val="458938E1"/>
    <w:rsid w:val="463F7FFF"/>
    <w:rsid w:val="46484BFF"/>
    <w:rsid w:val="46512233"/>
    <w:rsid w:val="46540D24"/>
    <w:rsid w:val="46A737E8"/>
    <w:rsid w:val="46C14018"/>
    <w:rsid w:val="46C73076"/>
    <w:rsid w:val="46D07EE5"/>
    <w:rsid w:val="46E465A3"/>
    <w:rsid w:val="46F806BD"/>
    <w:rsid w:val="47043CAB"/>
    <w:rsid w:val="472705CE"/>
    <w:rsid w:val="479A2C46"/>
    <w:rsid w:val="479C5136"/>
    <w:rsid w:val="47A264F9"/>
    <w:rsid w:val="47E06018"/>
    <w:rsid w:val="484D17C1"/>
    <w:rsid w:val="48653A64"/>
    <w:rsid w:val="48811B8A"/>
    <w:rsid w:val="48C40B78"/>
    <w:rsid w:val="48C43988"/>
    <w:rsid w:val="48E83E36"/>
    <w:rsid w:val="49345B93"/>
    <w:rsid w:val="494C4B08"/>
    <w:rsid w:val="49951EFC"/>
    <w:rsid w:val="499A26FB"/>
    <w:rsid w:val="49B026D9"/>
    <w:rsid w:val="49B722B7"/>
    <w:rsid w:val="49C15E4A"/>
    <w:rsid w:val="49D955C3"/>
    <w:rsid w:val="49ED65A4"/>
    <w:rsid w:val="49F10AB5"/>
    <w:rsid w:val="4A307756"/>
    <w:rsid w:val="4A6D7DCA"/>
    <w:rsid w:val="4A9910AB"/>
    <w:rsid w:val="4A992597"/>
    <w:rsid w:val="4A9B332A"/>
    <w:rsid w:val="4AD625B4"/>
    <w:rsid w:val="4AFF509B"/>
    <w:rsid w:val="4B4014D1"/>
    <w:rsid w:val="4B5E2E2F"/>
    <w:rsid w:val="4B675E1C"/>
    <w:rsid w:val="4B9F7C0E"/>
    <w:rsid w:val="4BA9128D"/>
    <w:rsid w:val="4BC73F17"/>
    <w:rsid w:val="4BEB73D9"/>
    <w:rsid w:val="4C166235"/>
    <w:rsid w:val="4C1C544C"/>
    <w:rsid w:val="4C313219"/>
    <w:rsid w:val="4C5D1828"/>
    <w:rsid w:val="4C6C738D"/>
    <w:rsid w:val="4C6D0CF6"/>
    <w:rsid w:val="4C7E6A54"/>
    <w:rsid w:val="4C865C08"/>
    <w:rsid w:val="4D317F76"/>
    <w:rsid w:val="4D7E2A50"/>
    <w:rsid w:val="4DA23565"/>
    <w:rsid w:val="4DA9629F"/>
    <w:rsid w:val="4DB7491F"/>
    <w:rsid w:val="4DD038A9"/>
    <w:rsid w:val="4DE1199C"/>
    <w:rsid w:val="4E49490E"/>
    <w:rsid w:val="4E551A8D"/>
    <w:rsid w:val="4EB250E6"/>
    <w:rsid w:val="4EE207BB"/>
    <w:rsid w:val="4EF75916"/>
    <w:rsid w:val="4F1720D5"/>
    <w:rsid w:val="4F1D51EC"/>
    <w:rsid w:val="4F1F0C9F"/>
    <w:rsid w:val="4F244C6A"/>
    <w:rsid w:val="4F2D0B1A"/>
    <w:rsid w:val="4FB00148"/>
    <w:rsid w:val="4FD90EC4"/>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6A7F37"/>
    <w:rsid w:val="51916F53"/>
    <w:rsid w:val="51AA4C59"/>
    <w:rsid w:val="51CB4CC2"/>
    <w:rsid w:val="51D829D5"/>
    <w:rsid w:val="51ED0D38"/>
    <w:rsid w:val="51F31FFB"/>
    <w:rsid w:val="51FA103F"/>
    <w:rsid w:val="520170B1"/>
    <w:rsid w:val="524428F4"/>
    <w:rsid w:val="5257047F"/>
    <w:rsid w:val="525B5D4E"/>
    <w:rsid w:val="52693AF2"/>
    <w:rsid w:val="52765BD3"/>
    <w:rsid w:val="52851E0F"/>
    <w:rsid w:val="529B0943"/>
    <w:rsid w:val="52F44E38"/>
    <w:rsid w:val="52FE3AEF"/>
    <w:rsid w:val="53284056"/>
    <w:rsid w:val="536B2B1F"/>
    <w:rsid w:val="537038AC"/>
    <w:rsid w:val="537540CD"/>
    <w:rsid w:val="53911E0A"/>
    <w:rsid w:val="53E13EC3"/>
    <w:rsid w:val="53E415EA"/>
    <w:rsid w:val="54140409"/>
    <w:rsid w:val="546837CB"/>
    <w:rsid w:val="54723DA3"/>
    <w:rsid w:val="547A0454"/>
    <w:rsid w:val="548C2969"/>
    <w:rsid w:val="54934AA7"/>
    <w:rsid w:val="549624AE"/>
    <w:rsid w:val="54CF254E"/>
    <w:rsid w:val="550B7745"/>
    <w:rsid w:val="55194B5B"/>
    <w:rsid w:val="554A42CB"/>
    <w:rsid w:val="55607267"/>
    <w:rsid w:val="556421BF"/>
    <w:rsid w:val="55676BB4"/>
    <w:rsid w:val="55835251"/>
    <w:rsid w:val="55913CA7"/>
    <w:rsid w:val="55CC6A83"/>
    <w:rsid w:val="560E3249"/>
    <w:rsid w:val="56186177"/>
    <w:rsid w:val="561B7A15"/>
    <w:rsid w:val="56532D14"/>
    <w:rsid w:val="56643F7B"/>
    <w:rsid w:val="56821842"/>
    <w:rsid w:val="569F0646"/>
    <w:rsid w:val="56B45E9F"/>
    <w:rsid w:val="56D3302D"/>
    <w:rsid w:val="56D973CF"/>
    <w:rsid w:val="56FC63ED"/>
    <w:rsid w:val="57035F7F"/>
    <w:rsid w:val="570E4942"/>
    <w:rsid w:val="573222F5"/>
    <w:rsid w:val="5737262D"/>
    <w:rsid w:val="579A0B0F"/>
    <w:rsid w:val="57BA102C"/>
    <w:rsid w:val="57D61931"/>
    <w:rsid w:val="57DD6DD0"/>
    <w:rsid w:val="582A366D"/>
    <w:rsid w:val="585169D2"/>
    <w:rsid w:val="58861256"/>
    <w:rsid w:val="58906680"/>
    <w:rsid w:val="58D03F93"/>
    <w:rsid w:val="59016B9E"/>
    <w:rsid w:val="595963DC"/>
    <w:rsid w:val="595A456A"/>
    <w:rsid w:val="59607A95"/>
    <w:rsid w:val="59962910"/>
    <w:rsid w:val="59964FFE"/>
    <w:rsid w:val="599C74E8"/>
    <w:rsid w:val="59DB6FF7"/>
    <w:rsid w:val="59E20C6B"/>
    <w:rsid w:val="5A2515C6"/>
    <w:rsid w:val="5A2E66EC"/>
    <w:rsid w:val="5A395940"/>
    <w:rsid w:val="5A513553"/>
    <w:rsid w:val="5A7F7348"/>
    <w:rsid w:val="5A8329E1"/>
    <w:rsid w:val="5A8D4028"/>
    <w:rsid w:val="5A976D2B"/>
    <w:rsid w:val="5A9B5D67"/>
    <w:rsid w:val="5AD059E8"/>
    <w:rsid w:val="5AE92B8E"/>
    <w:rsid w:val="5B075A06"/>
    <w:rsid w:val="5B153530"/>
    <w:rsid w:val="5B3168E5"/>
    <w:rsid w:val="5B4C3B08"/>
    <w:rsid w:val="5B6D574D"/>
    <w:rsid w:val="5B8338B0"/>
    <w:rsid w:val="5B885B4D"/>
    <w:rsid w:val="5BE73EC9"/>
    <w:rsid w:val="5BFB6474"/>
    <w:rsid w:val="5C0D7037"/>
    <w:rsid w:val="5C2A7DE1"/>
    <w:rsid w:val="5C2F5E74"/>
    <w:rsid w:val="5C323783"/>
    <w:rsid w:val="5C3D06E5"/>
    <w:rsid w:val="5C6829AF"/>
    <w:rsid w:val="5C6D1843"/>
    <w:rsid w:val="5C806B92"/>
    <w:rsid w:val="5C8F1D6F"/>
    <w:rsid w:val="5C9F5B4C"/>
    <w:rsid w:val="5CDC1F44"/>
    <w:rsid w:val="5CF26970"/>
    <w:rsid w:val="5D1860EA"/>
    <w:rsid w:val="5D352289"/>
    <w:rsid w:val="5D5B375C"/>
    <w:rsid w:val="5D5D1495"/>
    <w:rsid w:val="5D634689"/>
    <w:rsid w:val="5D6D26E9"/>
    <w:rsid w:val="5D703886"/>
    <w:rsid w:val="5D9A4716"/>
    <w:rsid w:val="5E0733DA"/>
    <w:rsid w:val="5E1406C1"/>
    <w:rsid w:val="5E1A1D20"/>
    <w:rsid w:val="5E2F7E48"/>
    <w:rsid w:val="5E602469"/>
    <w:rsid w:val="5E717821"/>
    <w:rsid w:val="5EAB5584"/>
    <w:rsid w:val="5EC52DEA"/>
    <w:rsid w:val="5ECB3D0A"/>
    <w:rsid w:val="5ED510A9"/>
    <w:rsid w:val="5EF263E7"/>
    <w:rsid w:val="5EF75F46"/>
    <w:rsid w:val="5F21609C"/>
    <w:rsid w:val="5F230BEF"/>
    <w:rsid w:val="5F622ECF"/>
    <w:rsid w:val="5FA665A1"/>
    <w:rsid w:val="5FAB7FB5"/>
    <w:rsid w:val="5FAD2544"/>
    <w:rsid w:val="5FB66017"/>
    <w:rsid w:val="5FFE29B9"/>
    <w:rsid w:val="60786190"/>
    <w:rsid w:val="608E7761"/>
    <w:rsid w:val="60915473"/>
    <w:rsid w:val="6092153B"/>
    <w:rsid w:val="609B683C"/>
    <w:rsid w:val="60A00576"/>
    <w:rsid w:val="60AF2097"/>
    <w:rsid w:val="60B34A44"/>
    <w:rsid w:val="60B753A8"/>
    <w:rsid w:val="60BB7E2A"/>
    <w:rsid w:val="60C870C1"/>
    <w:rsid w:val="60F51603"/>
    <w:rsid w:val="6144156E"/>
    <w:rsid w:val="615D7134"/>
    <w:rsid w:val="6170205F"/>
    <w:rsid w:val="618F268C"/>
    <w:rsid w:val="61EA23B0"/>
    <w:rsid w:val="620A72BB"/>
    <w:rsid w:val="62287615"/>
    <w:rsid w:val="622F67B3"/>
    <w:rsid w:val="627D4254"/>
    <w:rsid w:val="62897466"/>
    <w:rsid w:val="62AD3683"/>
    <w:rsid w:val="62AE66F6"/>
    <w:rsid w:val="62B261AF"/>
    <w:rsid w:val="62F57B08"/>
    <w:rsid w:val="6303429D"/>
    <w:rsid w:val="63205356"/>
    <w:rsid w:val="63424833"/>
    <w:rsid w:val="63464D73"/>
    <w:rsid w:val="635822A8"/>
    <w:rsid w:val="63583AEB"/>
    <w:rsid w:val="6373268F"/>
    <w:rsid w:val="63737FC7"/>
    <w:rsid w:val="63C656BB"/>
    <w:rsid w:val="63CE3380"/>
    <w:rsid w:val="63E36016"/>
    <w:rsid w:val="63F21DB5"/>
    <w:rsid w:val="63FF6480"/>
    <w:rsid w:val="640A1EA8"/>
    <w:rsid w:val="642900E6"/>
    <w:rsid w:val="64302590"/>
    <w:rsid w:val="6439089B"/>
    <w:rsid w:val="64495DD6"/>
    <w:rsid w:val="64623809"/>
    <w:rsid w:val="64746C6E"/>
    <w:rsid w:val="647C3D75"/>
    <w:rsid w:val="65080F89"/>
    <w:rsid w:val="651E4E2C"/>
    <w:rsid w:val="655A76A7"/>
    <w:rsid w:val="655C6589"/>
    <w:rsid w:val="66047425"/>
    <w:rsid w:val="661052EF"/>
    <w:rsid w:val="66207331"/>
    <w:rsid w:val="662830CF"/>
    <w:rsid w:val="66747DFB"/>
    <w:rsid w:val="66767F83"/>
    <w:rsid w:val="66D54C1C"/>
    <w:rsid w:val="66F41F1E"/>
    <w:rsid w:val="6701113C"/>
    <w:rsid w:val="671C40AC"/>
    <w:rsid w:val="672D4EE4"/>
    <w:rsid w:val="677658C0"/>
    <w:rsid w:val="6797113A"/>
    <w:rsid w:val="67AF1F51"/>
    <w:rsid w:val="67BC1DD1"/>
    <w:rsid w:val="67C86935"/>
    <w:rsid w:val="67D14F07"/>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922138F"/>
    <w:rsid w:val="69F85C86"/>
    <w:rsid w:val="6A09523D"/>
    <w:rsid w:val="6A1B26B7"/>
    <w:rsid w:val="6A244C92"/>
    <w:rsid w:val="6A2809FC"/>
    <w:rsid w:val="6A883CBC"/>
    <w:rsid w:val="6A902328"/>
    <w:rsid w:val="6B19056F"/>
    <w:rsid w:val="6B340F05"/>
    <w:rsid w:val="6B345E30"/>
    <w:rsid w:val="6B3A216D"/>
    <w:rsid w:val="6B4A7E40"/>
    <w:rsid w:val="6B505357"/>
    <w:rsid w:val="6B874EAB"/>
    <w:rsid w:val="6B985938"/>
    <w:rsid w:val="6BFB3E5A"/>
    <w:rsid w:val="6BFD3458"/>
    <w:rsid w:val="6C423778"/>
    <w:rsid w:val="6CAF118B"/>
    <w:rsid w:val="6CBB7E1F"/>
    <w:rsid w:val="6CC01E51"/>
    <w:rsid w:val="6CF372CA"/>
    <w:rsid w:val="6D027F59"/>
    <w:rsid w:val="6D2D1C64"/>
    <w:rsid w:val="6D475F5F"/>
    <w:rsid w:val="6D5F78AD"/>
    <w:rsid w:val="6D600E21"/>
    <w:rsid w:val="6D68133A"/>
    <w:rsid w:val="6DA82289"/>
    <w:rsid w:val="6DC03AFE"/>
    <w:rsid w:val="6DE915B6"/>
    <w:rsid w:val="6E061A11"/>
    <w:rsid w:val="6E345B45"/>
    <w:rsid w:val="6E63668A"/>
    <w:rsid w:val="6E671CA5"/>
    <w:rsid w:val="6E741E30"/>
    <w:rsid w:val="6E7E1055"/>
    <w:rsid w:val="6E9A5352"/>
    <w:rsid w:val="6EA0733B"/>
    <w:rsid w:val="6EBB122E"/>
    <w:rsid w:val="6EBB2C83"/>
    <w:rsid w:val="6EC77A48"/>
    <w:rsid w:val="6EC77E06"/>
    <w:rsid w:val="6EC97030"/>
    <w:rsid w:val="6F135451"/>
    <w:rsid w:val="6F2B35AD"/>
    <w:rsid w:val="6F332F4A"/>
    <w:rsid w:val="6F3C2DD2"/>
    <w:rsid w:val="6F8063CA"/>
    <w:rsid w:val="6FB66044"/>
    <w:rsid w:val="6FE25DC9"/>
    <w:rsid w:val="6FE8588F"/>
    <w:rsid w:val="6FF0664D"/>
    <w:rsid w:val="700A492A"/>
    <w:rsid w:val="702529D1"/>
    <w:rsid w:val="703F6602"/>
    <w:rsid w:val="70F34F86"/>
    <w:rsid w:val="70F759D2"/>
    <w:rsid w:val="71211F2C"/>
    <w:rsid w:val="713E329A"/>
    <w:rsid w:val="7146159B"/>
    <w:rsid w:val="714D0321"/>
    <w:rsid w:val="715C7211"/>
    <w:rsid w:val="717E08B2"/>
    <w:rsid w:val="718D73C3"/>
    <w:rsid w:val="71900A0A"/>
    <w:rsid w:val="719A4E18"/>
    <w:rsid w:val="71BC787F"/>
    <w:rsid w:val="71BE3E19"/>
    <w:rsid w:val="72011EEA"/>
    <w:rsid w:val="720A0C12"/>
    <w:rsid w:val="727517BE"/>
    <w:rsid w:val="72BB53F2"/>
    <w:rsid w:val="72D442B8"/>
    <w:rsid w:val="73004C22"/>
    <w:rsid w:val="73011084"/>
    <w:rsid w:val="73555EBD"/>
    <w:rsid w:val="7386317F"/>
    <w:rsid w:val="7395781C"/>
    <w:rsid w:val="73A53748"/>
    <w:rsid w:val="73B01345"/>
    <w:rsid w:val="73F00452"/>
    <w:rsid w:val="73F97D41"/>
    <w:rsid w:val="74A353FC"/>
    <w:rsid w:val="74B55FCA"/>
    <w:rsid w:val="751E6462"/>
    <w:rsid w:val="7547670C"/>
    <w:rsid w:val="754B5EDD"/>
    <w:rsid w:val="756D7FC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897474"/>
    <w:rsid w:val="78A64B86"/>
    <w:rsid w:val="78BD078C"/>
    <w:rsid w:val="78DE3D6C"/>
    <w:rsid w:val="78E33867"/>
    <w:rsid w:val="78E52BDC"/>
    <w:rsid w:val="78F11367"/>
    <w:rsid w:val="78F93EFF"/>
    <w:rsid w:val="790776EC"/>
    <w:rsid w:val="798701EE"/>
    <w:rsid w:val="798720C7"/>
    <w:rsid w:val="798B75C8"/>
    <w:rsid w:val="798D230A"/>
    <w:rsid w:val="79A3081B"/>
    <w:rsid w:val="79A8143C"/>
    <w:rsid w:val="7A071D78"/>
    <w:rsid w:val="7A2D742D"/>
    <w:rsid w:val="7A5600FC"/>
    <w:rsid w:val="7A5C06AF"/>
    <w:rsid w:val="7A6447EC"/>
    <w:rsid w:val="7A6E489C"/>
    <w:rsid w:val="7A716D06"/>
    <w:rsid w:val="7AB14A59"/>
    <w:rsid w:val="7AC662B5"/>
    <w:rsid w:val="7B347D8A"/>
    <w:rsid w:val="7B8F4980"/>
    <w:rsid w:val="7B972CB9"/>
    <w:rsid w:val="7BA61501"/>
    <w:rsid w:val="7BAF14B0"/>
    <w:rsid w:val="7BD06448"/>
    <w:rsid w:val="7BE85AB6"/>
    <w:rsid w:val="7C14615E"/>
    <w:rsid w:val="7CA103C5"/>
    <w:rsid w:val="7CA420D7"/>
    <w:rsid w:val="7CC52305"/>
    <w:rsid w:val="7CE922B5"/>
    <w:rsid w:val="7CF0056D"/>
    <w:rsid w:val="7CFD4359"/>
    <w:rsid w:val="7D196F8A"/>
    <w:rsid w:val="7D324E38"/>
    <w:rsid w:val="7D376D09"/>
    <w:rsid w:val="7D3A16E9"/>
    <w:rsid w:val="7D4A2A43"/>
    <w:rsid w:val="7D7B5294"/>
    <w:rsid w:val="7D9D74DD"/>
    <w:rsid w:val="7DA92784"/>
    <w:rsid w:val="7DB2187F"/>
    <w:rsid w:val="7DB37D69"/>
    <w:rsid w:val="7DCA019C"/>
    <w:rsid w:val="7DCA17AE"/>
    <w:rsid w:val="7DE55723"/>
    <w:rsid w:val="7DED451A"/>
    <w:rsid w:val="7E2214CE"/>
    <w:rsid w:val="7E2F24BC"/>
    <w:rsid w:val="7E564EE1"/>
    <w:rsid w:val="7E6D3957"/>
    <w:rsid w:val="7E6D67B0"/>
    <w:rsid w:val="7E8D7C7B"/>
    <w:rsid w:val="7EA83077"/>
    <w:rsid w:val="7ECD0B10"/>
    <w:rsid w:val="7ED53E1B"/>
    <w:rsid w:val="7F1D6A6D"/>
    <w:rsid w:val="7F2554A7"/>
    <w:rsid w:val="7F2A34D9"/>
    <w:rsid w:val="7F4D44C9"/>
    <w:rsid w:val="7F7A3881"/>
    <w:rsid w:val="7FA6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link w:val="161"/>
    <w:autoRedefine/>
    <w:qFormat/>
    <w:uiPriority w:val="0"/>
    <w:pPr>
      <w:autoSpaceDE w:val="0"/>
      <w:autoSpaceDN w:val="0"/>
      <w:adjustRightInd w:val="0"/>
      <w:jc w:val="left"/>
      <w:outlineLvl w:val="1"/>
    </w:pPr>
    <w:rPr>
      <w:kern w:val="0"/>
    </w:rPr>
  </w:style>
  <w:style w:type="paragraph" w:styleId="5">
    <w:name w:val="heading 3"/>
    <w:basedOn w:val="6"/>
    <w:next w:val="6"/>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2">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toc 7"/>
    <w:basedOn w:val="1"/>
    <w:next w:val="1"/>
    <w:autoRedefine/>
    <w:qFormat/>
    <w:uiPriority w:val="0"/>
    <w:pPr>
      <w:ind w:left="1680"/>
      <w:jc w:val="left"/>
    </w:pPr>
  </w:style>
  <w:style w:type="paragraph" w:styleId="8">
    <w:name w:val="table of authorities"/>
    <w:basedOn w:val="1"/>
    <w:next w:val="1"/>
    <w:autoRedefine/>
    <w:qFormat/>
    <w:uiPriority w:val="0"/>
    <w:pPr>
      <w:ind w:left="420" w:leftChars="200"/>
    </w:pPr>
  </w:style>
  <w:style w:type="paragraph" w:styleId="9">
    <w:name w:val="Document Map"/>
    <w:basedOn w:val="1"/>
    <w:autoRedefine/>
    <w:qFormat/>
    <w:uiPriority w:val="0"/>
    <w:pPr>
      <w:shd w:val="clear" w:color="auto" w:fill="000080"/>
    </w:pPr>
  </w:style>
  <w:style w:type="paragraph" w:styleId="10">
    <w:name w:val="annotation text"/>
    <w:basedOn w:val="1"/>
    <w:next w:val="1"/>
    <w:autoRedefine/>
    <w:qFormat/>
    <w:uiPriority w:val="0"/>
    <w:pPr>
      <w:adjustRightInd w:val="0"/>
      <w:spacing w:line="360" w:lineRule="atLeast"/>
      <w:jc w:val="left"/>
      <w:textAlignment w:val="baseline"/>
    </w:pPr>
    <w:rPr>
      <w:kern w:val="0"/>
    </w:rPr>
  </w:style>
  <w:style w:type="paragraph" w:styleId="11">
    <w:name w:val="Body Text"/>
    <w:basedOn w:val="1"/>
    <w:autoRedefine/>
    <w:qFormat/>
    <w:uiPriority w:val="0"/>
    <w:pPr>
      <w:spacing w:after="120"/>
    </w:pPr>
  </w:style>
  <w:style w:type="paragraph" w:styleId="12">
    <w:name w:val="Body Text Indent"/>
    <w:basedOn w:val="1"/>
    <w:link w:val="46"/>
    <w:autoRedefine/>
    <w:qFormat/>
    <w:uiPriority w:val="0"/>
    <w:pPr>
      <w:ind w:firstLine="560" w:firstLineChars="200"/>
    </w:pPr>
  </w:style>
  <w:style w:type="paragraph" w:styleId="13">
    <w:name w:val="toc 5"/>
    <w:basedOn w:val="1"/>
    <w:next w:val="1"/>
    <w:autoRedefine/>
    <w:qFormat/>
    <w:uiPriority w:val="0"/>
    <w:pPr>
      <w:ind w:left="1120"/>
      <w:jc w:val="left"/>
    </w:pPr>
  </w:style>
  <w:style w:type="paragraph" w:styleId="14">
    <w:name w:val="toc 3"/>
    <w:basedOn w:val="1"/>
    <w:next w:val="1"/>
    <w:autoRedefine/>
    <w:qFormat/>
    <w:uiPriority w:val="0"/>
    <w:pPr>
      <w:ind w:left="561"/>
      <w:jc w:val="left"/>
    </w:pPr>
  </w:style>
  <w:style w:type="paragraph" w:styleId="15">
    <w:name w:val="Plain Text"/>
    <w:basedOn w:val="1"/>
    <w:qFormat/>
    <w:uiPriority w:val="0"/>
    <w:rPr>
      <w:rFonts w:ascii="宋体" w:hAnsi="Courier New" w:eastAsia="宋体" w:cs="Courier New"/>
      <w:szCs w:val="21"/>
    </w:rPr>
  </w:style>
  <w:style w:type="paragraph" w:styleId="16">
    <w:name w:val="toc 8"/>
    <w:basedOn w:val="1"/>
    <w:next w:val="1"/>
    <w:autoRedefine/>
    <w:qFormat/>
    <w:uiPriority w:val="0"/>
    <w:pPr>
      <w:ind w:left="1960"/>
      <w:jc w:val="left"/>
    </w:pPr>
  </w:style>
  <w:style w:type="paragraph" w:styleId="17">
    <w:name w:val="Body Text Indent 2"/>
    <w:basedOn w:val="1"/>
    <w:autoRedefine/>
    <w:qFormat/>
    <w:uiPriority w:val="0"/>
    <w:pPr>
      <w:spacing w:line="480" w:lineRule="auto"/>
      <w:ind w:firstLine="561"/>
    </w:pPr>
  </w:style>
  <w:style w:type="paragraph" w:styleId="18">
    <w:name w:val="Balloon Text"/>
    <w:basedOn w:val="1"/>
    <w:autoRedefine/>
    <w:qFormat/>
    <w:uiPriority w:val="0"/>
    <w:rPr>
      <w:sz w:val="18"/>
      <w:szCs w:val="18"/>
    </w:rPr>
  </w:style>
  <w:style w:type="paragraph" w:styleId="19">
    <w:name w:val="footer"/>
    <w:basedOn w:val="1"/>
    <w:autoRedefine/>
    <w:qFormat/>
    <w:uiPriority w:val="0"/>
    <w:pPr>
      <w:widowControl/>
      <w:tabs>
        <w:tab w:val="center" w:pos="4153"/>
        <w:tab w:val="right" w:pos="8306"/>
      </w:tabs>
      <w:snapToGrid w:val="0"/>
      <w:jc w:val="left"/>
    </w:pPr>
    <w:rPr>
      <w:kern w:val="0"/>
      <w:sz w:val="18"/>
    </w:rPr>
  </w:style>
  <w:style w:type="paragraph" w:styleId="20">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1">
    <w:name w:val="toc 1"/>
    <w:basedOn w:val="1"/>
    <w:next w:val="1"/>
    <w:autoRedefine/>
    <w:qFormat/>
    <w:uiPriority w:val="0"/>
    <w:pPr>
      <w:spacing w:before="120" w:after="120"/>
      <w:jc w:val="left"/>
    </w:pPr>
    <w:rPr>
      <w:caps/>
    </w:rPr>
  </w:style>
  <w:style w:type="paragraph" w:styleId="22">
    <w:name w:val="toc 4"/>
    <w:basedOn w:val="1"/>
    <w:next w:val="1"/>
    <w:autoRedefine/>
    <w:qFormat/>
    <w:uiPriority w:val="0"/>
    <w:pPr>
      <w:ind w:left="840"/>
      <w:jc w:val="left"/>
    </w:pPr>
  </w:style>
  <w:style w:type="paragraph" w:styleId="23">
    <w:name w:val="toc 6"/>
    <w:basedOn w:val="1"/>
    <w:next w:val="1"/>
    <w:autoRedefine/>
    <w:qFormat/>
    <w:uiPriority w:val="0"/>
    <w:pPr>
      <w:ind w:left="1400"/>
      <w:jc w:val="left"/>
    </w:pPr>
  </w:style>
  <w:style w:type="paragraph" w:styleId="24">
    <w:name w:val="Body Text Indent 3"/>
    <w:basedOn w:val="1"/>
    <w:link w:val="47"/>
    <w:autoRedefine/>
    <w:qFormat/>
    <w:uiPriority w:val="0"/>
    <w:pPr>
      <w:ind w:firstLine="560"/>
    </w:pPr>
    <w:rPr>
      <w:color w:val="FF0000"/>
    </w:rPr>
  </w:style>
  <w:style w:type="paragraph" w:styleId="25">
    <w:name w:val="toc 2"/>
    <w:basedOn w:val="1"/>
    <w:next w:val="1"/>
    <w:autoRedefine/>
    <w:qFormat/>
    <w:uiPriority w:val="0"/>
    <w:pPr>
      <w:ind w:left="278"/>
      <w:jc w:val="left"/>
    </w:pPr>
    <w:rPr>
      <w:smallCaps/>
    </w:rPr>
  </w:style>
  <w:style w:type="paragraph" w:styleId="26">
    <w:name w:val="toc 9"/>
    <w:basedOn w:val="1"/>
    <w:next w:val="1"/>
    <w:autoRedefine/>
    <w:qFormat/>
    <w:uiPriority w:val="0"/>
    <w:pPr>
      <w:ind w:left="2240"/>
      <w:jc w:val="left"/>
    </w:pPr>
  </w:style>
  <w:style w:type="paragraph" w:styleId="27">
    <w:name w:val="Body Text 2"/>
    <w:basedOn w:val="1"/>
    <w:next w:val="11"/>
    <w:autoRedefine/>
    <w:qFormat/>
    <w:uiPriority w:val="0"/>
    <w:pPr>
      <w:spacing w:line="500" w:lineRule="exact"/>
    </w:pPr>
  </w:style>
  <w:style w:type="paragraph" w:styleId="28">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9">
    <w:name w:val="annotation subject"/>
    <w:basedOn w:val="10"/>
    <w:next w:val="10"/>
    <w:autoRedefine/>
    <w:qFormat/>
    <w:uiPriority w:val="0"/>
    <w:pPr>
      <w:adjustRightInd/>
      <w:spacing w:line="360" w:lineRule="auto"/>
      <w:textAlignment w:val="auto"/>
    </w:pPr>
    <w:rPr>
      <w:b/>
      <w:bCs/>
      <w:kern w:val="2"/>
    </w:rPr>
  </w:style>
  <w:style w:type="paragraph" w:styleId="30">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bCs/>
    </w:rPr>
  </w:style>
  <w:style w:type="character" w:styleId="35">
    <w:name w:val="page number"/>
    <w:basedOn w:val="33"/>
    <w:autoRedefine/>
    <w:qFormat/>
    <w:uiPriority w:val="0"/>
  </w:style>
  <w:style w:type="character" w:styleId="36">
    <w:name w:val="FollowedHyperlink"/>
    <w:autoRedefine/>
    <w:qFormat/>
    <w:uiPriority w:val="0"/>
    <w:rPr>
      <w:color w:val="800080"/>
      <w:u w:val="single"/>
    </w:rPr>
  </w:style>
  <w:style w:type="character" w:styleId="37">
    <w:name w:val="Emphasis"/>
    <w:basedOn w:val="33"/>
    <w:qFormat/>
    <w:uiPriority w:val="0"/>
    <w:rPr>
      <w:i/>
    </w:rPr>
  </w:style>
  <w:style w:type="character" w:styleId="38">
    <w:name w:val="Hyperlink"/>
    <w:autoRedefine/>
    <w:qFormat/>
    <w:uiPriority w:val="0"/>
    <w:rPr>
      <w:color w:val="0000FF"/>
      <w:u w:val="single"/>
    </w:rPr>
  </w:style>
  <w:style w:type="character" w:styleId="39">
    <w:name w:val="annotation reference"/>
    <w:autoRedefine/>
    <w:qFormat/>
    <w:uiPriority w:val="0"/>
    <w:rPr>
      <w:sz w:val="21"/>
    </w:rPr>
  </w:style>
  <w:style w:type="paragraph" w:customStyle="1" w:styleId="40">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paragraph" w:customStyle="1" w:styleId="41">
    <w:name w:val="Normal Indent1"/>
    <w:basedOn w:val="1"/>
    <w:autoRedefine/>
    <w:qFormat/>
    <w:uiPriority w:val="0"/>
    <w:pPr>
      <w:widowControl/>
      <w:ind w:firstLine="420"/>
      <w:jc w:val="left"/>
    </w:pPr>
    <w:rPr>
      <w:rFonts w:ascii="Times New Roman"/>
      <w:kern w:val="0"/>
    </w:rPr>
  </w:style>
  <w:style w:type="paragraph" w:customStyle="1" w:styleId="42">
    <w:name w:val="样式 宋体 行距: 1.5 倍行距"/>
    <w:basedOn w:val="43"/>
    <w:next w:val="1"/>
    <w:autoRedefine/>
    <w:qFormat/>
    <w:uiPriority w:val="0"/>
    <w:pPr>
      <w:jc w:val="center"/>
    </w:pPr>
    <w:rPr>
      <w:rFonts w:ascii="Times New Roman"/>
      <w:b/>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2"/>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2"/>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5">
    <w:name w:val="Char Char2"/>
    <w:basedOn w:val="9"/>
    <w:autoRedefine/>
    <w:qFormat/>
    <w:uiPriority w:val="0"/>
    <w:pPr>
      <w:spacing w:line="240" w:lineRule="auto"/>
    </w:pPr>
  </w:style>
  <w:style w:type="character" w:customStyle="1" w:styleId="46">
    <w:name w:val="正文文本缩进 字符"/>
    <w:link w:val="12"/>
    <w:autoRedefine/>
    <w:qFormat/>
    <w:uiPriority w:val="0"/>
    <w:rPr>
      <w:rFonts w:ascii="宋体"/>
      <w:kern w:val="2"/>
      <w:sz w:val="24"/>
    </w:rPr>
  </w:style>
  <w:style w:type="character" w:customStyle="1" w:styleId="47">
    <w:name w:val="正文文本缩进 3 字符"/>
    <w:link w:val="24"/>
    <w:autoRedefine/>
    <w:qFormat/>
    <w:uiPriority w:val="0"/>
    <w:rPr>
      <w:rFonts w:ascii="宋体" w:eastAsia="宋体"/>
      <w:color w:val="FF0000"/>
      <w:kern w:val="2"/>
      <w:sz w:val="24"/>
      <w:lang w:val="en-US" w:eastAsia="zh-CN" w:bidi="ar-SA"/>
    </w:rPr>
  </w:style>
  <w:style w:type="character" w:customStyle="1" w:styleId="48">
    <w:name w:val="超链接 New New"/>
    <w:autoRedefine/>
    <w:qFormat/>
    <w:uiPriority w:val="0"/>
    <w:rPr>
      <w:color w:val="000000"/>
      <w:sz w:val="18"/>
      <w:szCs w:val="18"/>
      <w:u w:val="none"/>
    </w:rPr>
  </w:style>
  <w:style w:type="character" w:customStyle="1" w:styleId="49">
    <w:name w:val="超链接 New"/>
    <w:autoRedefine/>
    <w:qFormat/>
    <w:uiPriority w:val="0"/>
    <w:rPr>
      <w:color w:val="000000"/>
      <w:sz w:val="18"/>
      <w:szCs w:val="18"/>
      <w:u w:val="none"/>
    </w:rPr>
  </w:style>
  <w:style w:type="character" w:customStyle="1" w:styleId="50">
    <w:name w:val="默认段落字体1"/>
    <w:autoRedefine/>
    <w:qFormat/>
    <w:uiPriority w:val="0"/>
    <w:rPr>
      <w:rFonts w:hint="default"/>
    </w:rPr>
  </w:style>
  <w:style w:type="character" w:customStyle="1" w:styleId="51">
    <w:name w:val="默认段落字体 New New"/>
    <w:link w:val="52"/>
    <w:autoRedefine/>
    <w:qFormat/>
    <w:uiPriority w:val="0"/>
    <w:rPr>
      <w:rFonts w:ascii="Tahoma" w:hAnsi="Tahoma"/>
      <w:szCs w:val="24"/>
    </w:rPr>
  </w:style>
  <w:style w:type="paragraph" w:customStyle="1" w:styleId="52">
    <w:name w:val="Char New New"/>
    <w:basedOn w:val="1"/>
    <w:link w:val="51"/>
    <w:autoRedefine/>
    <w:qFormat/>
    <w:uiPriority w:val="0"/>
    <w:pPr>
      <w:spacing w:line="240" w:lineRule="auto"/>
    </w:pPr>
    <w:rPr>
      <w:rFonts w:ascii="Tahoma" w:hAnsi="Tahoma"/>
      <w:szCs w:val="24"/>
    </w:rPr>
  </w:style>
  <w:style w:type="character" w:customStyle="1" w:styleId="53">
    <w:name w:val="默认段落字体 New"/>
    <w:link w:val="54"/>
    <w:autoRedefine/>
    <w:qFormat/>
    <w:uiPriority w:val="0"/>
    <w:rPr>
      <w:rFonts w:ascii="Tahoma" w:hAnsi="Tahoma"/>
      <w:szCs w:val="24"/>
    </w:rPr>
  </w:style>
  <w:style w:type="paragraph" w:customStyle="1" w:styleId="54">
    <w:name w:val="Char New"/>
    <w:basedOn w:val="1"/>
    <w:link w:val="53"/>
    <w:autoRedefine/>
    <w:qFormat/>
    <w:uiPriority w:val="0"/>
    <w:pPr>
      <w:spacing w:line="240" w:lineRule="auto"/>
    </w:pPr>
    <w:rPr>
      <w:rFonts w:ascii="Tahoma" w:hAnsi="Tahoma"/>
      <w:szCs w:val="24"/>
    </w:rPr>
  </w:style>
  <w:style w:type="character" w:customStyle="1" w:styleId="55">
    <w:name w:val="页码 New New New"/>
    <w:autoRedefine/>
    <w:qFormat/>
    <w:uiPriority w:val="0"/>
    <w:rPr>
      <w:rFonts w:eastAsia="宋体"/>
      <w:kern w:val="2"/>
      <w:sz w:val="24"/>
      <w:szCs w:val="24"/>
      <w:lang w:val="en-US" w:eastAsia="zh-CN" w:bidi="ar-SA"/>
    </w:rPr>
  </w:style>
  <w:style w:type="character" w:customStyle="1" w:styleId="56">
    <w:name w:val="页码 New New"/>
    <w:autoRedefine/>
    <w:qFormat/>
    <w:uiPriority w:val="0"/>
    <w:rPr>
      <w:rFonts w:eastAsia="宋体"/>
      <w:kern w:val="2"/>
      <w:sz w:val="24"/>
      <w:szCs w:val="24"/>
      <w:lang w:val="en-US" w:eastAsia="zh-CN" w:bidi="ar-SA"/>
    </w:rPr>
  </w:style>
  <w:style w:type="character" w:customStyle="1" w:styleId="57">
    <w:name w:val="Char Char1"/>
    <w:autoRedefine/>
    <w:qFormat/>
    <w:uiPriority w:val="0"/>
    <w:rPr>
      <w:rFonts w:ascii="宋体" w:eastAsia="宋体"/>
      <w:color w:val="FF0000"/>
      <w:kern w:val="2"/>
      <w:sz w:val="24"/>
      <w:lang w:val="en-US" w:eastAsia="zh-CN" w:bidi="ar-SA"/>
    </w:rPr>
  </w:style>
  <w:style w:type="character" w:customStyle="1" w:styleId="58">
    <w:name w:val="页码 New"/>
    <w:autoRedefine/>
    <w:qFormat/>
    <w:uiPriority w:val="0"/>
    <w:rPr>
      <w:rFonts w:eastAsia="宋体"/>
      <w:kern w:val="2"/>
      <w:sz w:val="24"/>
      <w:szCs w:val="24"/>
      <w:lang w:val="en-US" w:eastAsia="zh-CN" w:bidi="ar-SA"/>
    </w:rPr>
  </w:style>
  <w:style w:type="paragraph" w:customStyle="1" w:styleId="59">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60">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1">
    <w:name w:val="页脚 New New New New New New New New New New New New New"/>
    <w:basedOn w:val="62"/>
    <w:autoRedefine/>
    <w:qFormat/>
    <w:uiPriority w:val="0"/>
    <w:pPr>
      <w:widowControl/>
      <w:tabs>
        <w:tab w:val="center" w:pos="4153"/>
        <w:tab w:val="right" w:pos="8306"/>
      </w:tabs>
      <w:snapToGrid w:val="0"/>
      <w:jc w:val="left"/>
    </w:pPr>
    <w:rPr>
      <w:sz w:val="18"/>
    </w:rPr>
  </w:style>
  <w:style w:type="paragraph" w:customStyle="1" w:styleId="62">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3">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页脚 New New New New New"/>
    <w:basedOn w:val="67"/>
    <w:autoRedefine/>
    <w:qFormat/>
    <w:uiPriority w:val="0"/>
    <w:pPr>
      <w:tabs>
        <w:tab w:val="center" w:pos="4153"/>
        <w:tab w:val="right" w:pos="8306"/>
      </w:tabs>
      <w:snapToGrid w:val="0"/>
      <w:jc w:val="left"/>
    </w:pPr>
    <w:rPr>
      <w:sz w:val="18"/>
    </w:rPr>
  </w:style>
  <w:style w:type="paragraph" w:customStyle="1" w:styleId="67">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8">
    <w:name w:val="纯文本 New New"/>
    <w:basedOn w:val="69"/>
    <w:autoRedefine/>
    <w:qFormat/>
    <w:uiPriority w:val="0"/>
    <w:rPr>
      <w:rFonts w:ascii="宋体" w:hAnsi="Courier New"/>
      <w:szCs w:val="24"/>
    </w:rPr>
  </w:style>
  <w:style w:type="paragraph" w:customStyle="1" w:styleId="69">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0">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71">
    <w:name w:val="页脚1"/>
    <w:basedOn w:val="70"/>
    <w:autoRedefine/>
    <w:qFormat/>
    <w:uiPriority w:val="0"/>
    <w:pPr>
      <w:widowControl/>
      <w:tabs>
        <w:tab w:val="center" w:pos="4153"/>
        <w:tab w:val="right" w:pos="8306"/>
      </w:tabs>
      <w:snapToGrid w:val="0"/>
      <w:jc w:val="left"/>
    </w:pPr>
    <w:rPr>
      <w:kern w:val="0"/>
      <w:sz w:val="18"/>
    </w:rPr>
  </w:style>
  <w:style w:type="paragraph" w:customStyle="1" w:styleId="72">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3">
    <w:name w:val="标题 3 New New"/>
    <w:basedOn w:val="74"/>
    <w:next w:val="74"/>
    <w:autoRedefine/>
    <w:qFormat/>
    <w:uiPriority w:val="0"/>
    <w:pPr>
      <w:keepNext/>
      <w:keepLines/>
      <w:spacing w:before="120" w:after="120"/>
      <w:jc w:val="center"/>
      <w:outlineLvl w:val="2"/>
    </w:pPr>
    <w:rPr>
      <w:sz w:val="24"/>
    </w:rPr>
  </w:style>
  <w:style w:type="paragraph" w:customStyle="1" w:styleId="74">
    <w:name w:val="正文缩进 New"/>
    <w:basedOn w:val="75"/>
    <w:autoRedefine/>
    <w:qFormat/>
    <w:uiPriority w:val="0"/>
    <w:pPr>
      <w:widowControl/>
      <w:ind w:firstLine="420"/>
      <w:jc w:val="left"/>
    </w:pPr>
    <w:rPr>
      <w:kern w:val="0"/>
      <w:sz w:val="20"/>
    </w:rPr>
  </w:style>
  <w:style w:type="paragraph" w:customStyle="1" w:styleId="75">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6">
    <w:name w:val="普通(网站) New"/>
    <w:basedOn w:val="77"/>
    <w:autoRedefine/>
    <w:qFormat/>
    <w:uiPriority w:val="0"/>
    <w:rPr>
      <w:sz w:val="24"/>
    </w:rPr>
  </w:style>
  <w:style w:type="paragraph" w:customStyle="1" w:styleId="77">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8">
    <w:name w:val="正文文本缩进 New"/>
    <w:basedOn w:val="75"/>
    <w:autoRedefine/>
    <w:qFormat/>
    <w:uiPriority w:val="0"/>
    <w:pPr>
      <w:ind w:firstLine="560" w:firstLineChars="200"/>
    </w:pPr>
  </w:style>
  <w:style w:type="paragraph" w:customStyle="1" w:styleId="79">
    <w:name w:val="Char"/>
    <w:basedOn w:val="9"/>
    <w:autoRedefine/>
    <w:qFormat/>
    <w:uiPriority w:val="0"/>
    <w:pPr>
      <w:spacing w:line="240" w:lineRule="auto"/>
    </w:pPr>
  </w:style>
  <w:style w:type="paragraph" w:customStyle="1" w:styleId="80">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1">
    <w:name w:val="页脚 New New New New"/>
    <w:basedOn w:val="82"/>
    <w:autoRedefine/>
    <w:qFormat/>
    <w:uiPriority w:val="0"/>
    <w:pPr>
      <w:tabs>
        <w:tab w:val="center" w:pos="4153"/>
        <w:tab w:val="right" w:pos="8306"/>
      </w:tabs>
      <w:snapToGrid w:val="0"/>
      <w:jc w:val="left"/>
    </w:pPr>
    <w:rPr>
      <w:sz w:val="18"/>
      <w:szCs w:val="18"/>
    </w:rPr>
  </w:style>
  <w:style w:type="paragraph" w:customStyle="1" w:styleId="82">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5">
    <w:name w:val="页眉 New New New New New New New New New"/>
    <w:basedOn w:val="62"/>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6">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页眉 New New New New New New New New"/>
    <w:basedOn w:val="88"/>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8">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9">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0">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2">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3">
    <w:name w:val="样式2"/>
    <w:basedOn w:val="21"/>
    <w:autoRedefine/>
    <w:qFormat/>
    <w:uiPriority w:val="0"/>
    <w:pPr>
      <w:tabs>
        <w:tab w:val="right" w:leader="dot" w:pos="9345"/>
      </w:tabs>
    </w:pPr>
    <w:rPr>
      <w:rFonts w:hAnsi="宋体"/>
      <w:b/>
      <w:color w:val="0000FF"/>
      <w:u w:val="single"/>
    </w:rPr>
  </w:style>
  <w:style w:type="paragraph" w:customStyle="1" w:styleId="94">
    <w:name w:val="页脚 New New New New New New New New"/>
    <w:basedOn w:val="95"/>
    <w:autoRedefine/>
    <w:qFormat/>
    <w:uiPriority w:val="0"/>
    <w:pPr>
      <w:tabs>
        <w:tab w:val="center" w:pos="4153"/>
        <w:tab w:val="right" w:pos="8306"/>
      </w:tabs>
      <w:snapToGrid w:val="0"/>
      <w:jc w:val="left"/>
    </w:pPr>
    <w:rPr>
      <w:sz w:val="18"/>
      <w:szCs w:val="18"/>
    </w:rPr>
  </w:style>
  <w:style w:type="paragraph" w:customStyle="1" w:styleId="95">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7">
    <w:name w:val="页脚 New New New New New New New New New New"/>
    <w:basedOn w:val="92"/>
    <w:autoRedefine/>
    <w:qFormat/>
    <w:uiPriority w:val="0"/>
    <w:pPr>
      <w:widowControl/>
      <w:tabs>
        <w:tab w:val="center" w:pos="4153"/>
        <w:tab w:val="right" w:pos="8306"/>
      </w:tabs>
      <w:snapToGrid w:val="0"/>
      <w:jc w:val="left"/>
    </w:pPr>
    <w:rPr>
      <w:sz w:val="18"/>
    </w:rPr>
  </w:style>
  <w:style w:type="paragraph" w:customStyle="1" w:styleId="98">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页脚 New New New New New New"/>
    <w:basedOn w:val="77"/>
    <w:autoRedefine/>
    <w:qFormat/>
    <w:uiPriority w:val="0"/>
    <w:pPr>
      <w:tabs>
        <w:tab w:val="center" w:pos="4153"/>
        <w:tab w:val="right" w:pos="8306"/>
      </w:tabs>
      <w:snapToGrid w:val="0"/>
      <w:jc w:val="left"/>
    </w:pPr>
    <w:rPr>
      <w:sz w:val="18"/>
    </w:rPr>
  </w:style>
  <w:style w:type="paragraph" w:customStyle="1" w:styleId="100">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1">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3">
    <w:name w:val="页眉 New New New New New"/>
    <w:basedOn w:val="77"/>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4">
    <w:name w:val="页脚 New New New New New New New New New New New"/>
    <w:basedOn w:val="88"/>
    <w:autoRedefine/>
    <w:qFormat/>
    <w:uiPriority w:val="0"/>
    <w:pPr>
      <w:widowControl/>
      <w:tabs>
        <w:tab w:val="center" w:pos="4153"/>
        <w:tab w:val="right" w:pos="8306"/>
      </w:tabs>
      <w:snapToGrid w:val="0"/>
      <w:jc w:val="left"/>
    </w:pPr>
    <w:rPr>
      <w:sz w:val="18"/>
    </w:rPr>
  </w:style>
  <w:style w:type="paragraph" w:customStyle="1" w:styleId="105">
    <w:name w:val="页眉 New New New New New New"/>
    <w:basedOn w:val="84"/>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6">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页眉 New New"/>
    <w:basedOn w:val="64"/>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8">
    <w:name w:val="页眉 New"/>
    <w:basedOn w:val="10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9">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页脚 New"/>
    <w:basedOn w:val="109"/>
    <w:autoRedefine/>
    <w:qFormat/>
    <w:uiPriority w:val="0"/>
    <w:pPr>
      <w:tabs>
        <w:tab w:val="center" w:pos="4153"/>
        <w:tab w:val="right" w:pos="8306"/>
      </w:tabs>
      <w:snapToGrid w:val="0"/>
      <w:jc w:val="left"/>
    </w:pPr>
    <w:rPr>
      <w:sz w:val="18"/>
      <w:szCs w:val="18"/>
    </w:rPr>
  </w:style>
  <w:style w:type="paragraph" w:customStyle="1" w:styleId="112">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3">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4">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5">
    <w:name w:val="页脚 New New New"/>
    <w:basedOn w:val="69"/>
    <w:autoRedefine/>
    <w:qFormat/>
    <w:uiPriority w:val="0"/>
    <w:pPr>
      <w:tabs>
        <w:tab w:val="center" w:pos="4153"/>
        <w:tab w:val="right" w:pos="8306"/>
      </w:tabs>
      <w:snapToGrid w:val="0"/>
      <w:jc w:val="left"/>
    </w:pPr>
    <w:rPr>
      <w:sz w:val="18"/>
      <w:szCs w:val="18"/>
    </w:rPr>
  </w:style>
  <w:style w:type="paragraph" w:customStyle="1" w:styleId="116">
    <w:name w:val="页眉 New New New New"/>
    <w:basedOn w:val="67"/>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7">
    <w:name w:val="纯文本 New"/>
    <w:basedOn w:val="64"/>
    <w:autoRedefine/>
    <w:qFormat/>
    <w:uiPriority w:val="0"/>
    <w:rPr>
      <w:rFonts w:ascii="宋体" w:hAnsi="Courier New"/>
      <w:szCs w:val="24"/>
    </w:rPr>
  </w:style>
  <w:style w:type="paragraph" w:customStyle="1" w:styleId="118">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9">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页脚 New New New New New New New New New New New New"/>
    <w:basedOn w:val="124"/>
    <w:autoRedefine/>
    <w:qFormat/>
    <w:uiPriority w:val="0"/>
    <w:pPr>
      <w:tabs>
        <w:tab w:val="center" w:pos="4153"/>
        <w:tab w:val="right" w:pos="8306"/>
      </w:tabs>
      <w:snapToGrid w:val="0"/>
      <w:jc w:val="left"/>
    </w:pPr>
    <w:rPr>
      <w:sz w:val="18"/>
      <w:szCs w:val="18"/>
    </w:rPr>
  </w:style>
  <w:style w:type="paragraph" w:customStyle="1" w:styleId="124">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5">
    <w:name w:val="目录 31"/>
    <w:basedOn w:val="70"/>
    <w:next w:val="70"/>
    <w:autoRedefine/>
    <w:qFormat/>
    <w:uiPriority w:val="0"/>
    <w:pPr>
      <w:ind w:left="561"/>
      <w:jc w:val="left"/>
    </w:pPr>
  </w:style>
  <w:style w:type="paragraph" w:customStyle="1" w:styleId="126">
    <w:name w:val="p0"/>
    <w:basedOn w:val="63"/>
    <w:autoRedefine/>
    <w:qFormat/>
    <w:uiPriority w:val="0"/>
    <w:pPr>
      <w:widowControl/>
      <w:spacing w:line="360" w:lineRule="auto"/>
    </w:pPr>
    <w:rPr>
      <w:rFonts w:ascii="宋体" w:hAnsi="宋体" w:cs="宋体"/>
      <w:kern w:val="0"/>
      <w:sz w:val="24"/>
      <w:szCs w:val="24"/>
    </w:rPr>
  </w:style>
  <w:style w:type="paragraph" w:customStyle="1" w:styleId="127">
    <w:name w:val="页眉 New New New New New New New"/>
    <w:basedOn w:val="92"/>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8">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0">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1">
    <w:name w:val="标题 2 New"/>
    <w:basedOn w:val="90"/>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2">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3">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4">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5">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6">
    <w:name w:val="正文文本缩进 New New New New"/>
    <w:basedOn w:val="129"/>
    <w:autoRedefine/>
    <w:qFormat/>
    <w:uiPriority w:val="0"/>
    <w:pPr>
      <w:ind w:firstLine="560" w:firstLineChars="200"/>
    </w:pPr>
    <w:rPr>
      <w:szCs w:val="28"/>
    </w:rPr>
  </w:style>
  <w:style w:type="paragraph" w:customStyle="1" w:styleId="137">
    <w:name w:val="页脚 New New New New New New New"/>
    <w:basedOn w:val="84"/>
    <w:autoRedefine/>
    <w:qFormat/>
    <w:uiPriority w:val="0"/>
    <w:pPr>
      <w:widowControl/>
      <w:tabs>
        <w:tab w:val="center" w:pos="4153"/>
        <w:tab w:val="right" w:pos="8306"/>
      </w:tabs>
      <w:snapToGrid w:val="0"/>
      <w:jc w:val="left"/>
    </w:pPr>
    <w:rPr>
      <w:kern w:val="0"/>
      <w:sz w:val="18"/>
      <w:szCs w:val="20"/>
    </w:rPr>
  </w:style>
  <w:style w:type="paragraph" w:customStyle="1" w:styleId="138">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页脚 New New New New New New New New New"/>
    <w:basedOn w:val="83"/>
    <w:autoRedefine/>
    <w:qFormat/>
    <w:uiPriority w:val="0"/>
    <w:pPr>
      <w:tabs>
        <w:tab w:val="center" w:pos="4153"/>
        <w:tab w:val="right" w:pos="8306"/>
      </w:tabs>
      <w:snapToGrid w:val="0"/>
      <w:jc w:val="left"/>
    </w:pPr>
    <w:rPr>
      <w:sz w:val="18"/>
      <w:szCs w:val="18"/>
    </w:rPr>
  </w:style>
  <w:style w:type="paragraph" w:customStyle="1" w:styleId="140">
    <w:name w:val="页脚 New New"/>
    <w:basedOn w:val="64"/>
    <w:autoRedefine/>
    <w:qFormat/>
    <w:uiPriority w:val="0"/>
    <w:pPr>
      <w:tabs>
        <w:tab w:val="center" w:pos="4153"/>
        <w:tab w:val="right" w:pos="8306"/>
      </w:tabs>
      <w:snapToGrid w:val="0"/>
      <w:jc w:val="left"/>
    </w:pPr>
    <w:rPr>
      <w:sz w:val="18"/>
      <w:szCs w:val="18"/>
    </w:rPr>
  </w:style>
  <w:style w:type="paragraph" w:customStyle="1" w:styleId="141">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2">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3">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4">
    <w:name w:val="样式1"/>
    <w:basedOn w:val="2"/>
    <w:autoRedefine/>
    <w:qFormat/>
    <w:uiPriority w:val="0"/>
    <w:pPr>
      <w:tabs>
        <w:tab w:val="right" w:leader="dot" w:pos="9345"/>
      </w:tabs>
    </w:pPr>
    <w:rPr>
      <w:rFonts w:ascii="宋体" w:hAnsi="宋体"/>
      <w:b/>
      <w:caps/>
      <w:u w:val="single"/>
    </w:rPr>
  </w:style>
  <w:style w:type="paragraph" w:customStyle="1" w:styleId="145">
    <w:name w:val="页眉 New New New"/>
    <w:basedOn w:val="6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6">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7">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8">
    <w:name w:val="正文正"/>
    <w:basedOn w:val="1"/>
    <w:autoRedefine/>
    <w:qFormat/>
    <w:uiPriority w:val="0"/>
    <w:pPr>
      <w:spacing w:line="560" w:lineRule="exact"/>
      <w:ind w:firstLine="561"/>
    </w:pPr>
    <w:rPr>
      <w:rFonts w:ascii="Calibri" w:hAnsi="Calibri"/>
      <w:sz w:val="28"/>
      <w:szCs w:val="28"/>
    </w:rPr>
  </w:style>
  <w:style w:type="paragraph" w:customStyle="1" w:styleId="149">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0">
    <w:name w:val="标题 2 New New"/>
    <w:basedOn w:val="119"/>
    <w:next w:val="119"/>
    <w:autoRedefine/>
    <w:qFormat/>
    <w:uiPriority w:val="0"/>
    <w:pPr>
      <w:autoSpaceDE w:val="0"/>
      <w:autoSpaceDN w:val="0"/>
      <w:adjustRightInd w:val="0"/>
      <w:jc w:val="left"/>
      <w:outlineLvl w:val="1"/>
    </w:pPr>
    <w:rPr>
      <w:kern w:val="0"/>
      <w:sz w:val="24"/>
    </w:rPr>
  </w:style>
  <w:style w:type="paragraph" w:customStyle="1" w:styleId="151">
    <w:name w:val="标题 1 New"/>
    <w:basedOn w:val="119"/>
    <w:next w:val="119"/>
    <w:autoRedefine/>
    <w:qFormat/>
    <w:uiPriority w:val="0"/>
    <w:pPr>
      <w:autoSpaceDE w:val="0"/>
      <w:autoSpaceDN w:val="0"/>
      <w:adjustRightInd w:val="0"/>
      <w:jc w:val="left"/>
      <w:outlineLvl w:val="0"/>
    </w:pPr>
    <w:rPr>
      <w:kern w:val="0"/>
      <w:sz w:val="30"/>
    </w:rPr>
  </w:style>
  <w:style w:type="paragraph" w:customStyle="1" w:styleId="152">
    <w:name w:val="WPSOffice手动目录 1"/>
    <w:autoRedefine/>
    <w:qFormat/>
    <w:uiPriority w:val="0"/>
    <w:rPr>
      <w:rFonts w:ascii="Times New Roman" w:hAnsi="Times New Roman" w:eastAsia="宋体" w:cs="Times New Roman"/>
      <w:lang w:val="en-US" w:eastAsia="zh-CN" w:bidi="ar-SA"/>
    </w:rPr>
  </w:style>
  <w:style w:type="paragraph" w:customStyle="1" w:styleId="153">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4">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5">
    <w:name w:val="正文缩进1"/>
    <w:basedOn w:val="1"/>
    <w:autoRedefine/>
    <w:qFormat/>
    <w:uiPriority w:val="0"/>
    <w:pPr>
      <w:widowControl/>
      <w:ind w:firstLine="420"/>
      <w:jc w:val="left"/>
    </w:pPr>
    <w:rPr>
      <w:kern w:val="0"/>
    </w:rPr>
  </w:style>
  <w:style w:type="character" w:styleId="156">
    <w:name w:val="Placeholder Text"/>
    <w:basedOn w:val="33"/>
    <w:semiHidden/>
    <w:qFormat/>
    <w:uiPriority w:val="99"/>
    <w:rPr>
      <w:color w:val="808080"/>
    </w:rPr>
  </w:style>
  <w:style w:type="paragraph" w:customStyle="1" w:styleId="157">
    <w:name w:val="正文文本1"/>
    <w:basedOn w:val="1"/>
    <w:qFormat/>
    <w:uiPriority w:val="0"/>
    <w:pPr>
      <w:spacing w:after="120"/>
    </w:pPr>
  </w:style>
  <w:style w:type="character" w:customStyle="1" w:styleId="158">
    <w:name w:val="NormalCharacter"/>
    <w:qFormat/>
    <w:uiPriority w:val="99"/>
  </w:style>
  <w:style w:type="paragraph" w:customStyle="1" w:styleId="159">
    <w:name w:val="UserStyle_76"/>
    <w:basedOn w:val="160"/>
    <w:qFormat/>
    <w:uiPriority w:val="99"/>
    <w:pPr>
      <w:ind w:firstLine="420"/>
      <w:jc w:val="left"/>
    </w:pPr>
    <w:rPr>
      <w:kern w:val="0"/>
      <w:sz w:val="20"/>
      <w:szCs w:val="20"/>
    </w:rPr>
  </w:style>
  <w:style w:type="paragraph" w:customStyle="1" w:styleId="160">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161">
    <w:name w:val="标题 2 字符"/>
    <w:link w:val="4"/>
    <w:qFormat/>
    <w:uiPriority w:val="0"/>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73</Pages>
  <Words>21134</Words>
  <Characters>22971</Characters>
  <Lines>1</Lines>
  <Paragraphs>1</Paragraphs>
  <TotalTime>0</TotalTime>
  <ScaleCrop>false</ScaleCrop>
  <LinksUpToDate>false</LinksUpToDate>
  <CharactersWithSpaces>23407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（翁源）汇龙工程咨询13380720065</cp:lastModifiedBy>
  <cp:lastPrinted>2026-03-26T06:20:00Z</cp:lastPrinted>
  <dcterms:modified xsi:type="dcterms:W3CDTF">2026-07-08T08:07:25Z</dcterms:modified>
  <dc:title>广东省韶关学院第三期学生公寓第一、二组团工程施工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ribbonExt">
    <vt:lpwstr>{"WPSExtOfficeTab":{"OnGetEnabled":false,"OnGetVisible":false}}</vt:lpwstr>
  </property>
  <property fmtid="{D5CDD505-2E9C-101B-9397-08002B2CF9AE}" pid="4" name="ICV">
    <vt:lpwstr>61FF7EA5B1194E0682FD16460E0205F6_13</vt:lpwstr>
  </property>
  <property fmtid="{D5CDD505-2E9C-101B-9397-08002B2CF9AE}" pid="5" name="KSOTemplateDocerSaveRecord">
    <vt:lpwstr>eyJoZGlkIjoiNTNhYTZkNmVjNGViN2E2OTdmNjI2MWYwZTU2MThkNTgiLCJ1c2VySWQiOiIxNzc3NTIyMTE5In0=</vt:lpwstr>
  </property>
</Properties>
</file>