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B4EFC5">
      <w:pPr>
        <w:pStyle w:val="3"/>
        <w:ind w:firstLine="8192" w:firstLineChars="1700"/>
        <w:rPr>
          <w:sz w:val="48"/>
          <w:szCs w:val="48"/>
          <w:lang w:val="en-US"/>
        </w:rPr>
      </w:pPr>
      <w:r>
        <w:rPr>
          <w:rFonts w:hint="eastAsia"/>
          <w:sz w:val="48"/>
          <w:szCs w:val="48"/>
          <w:lang w:val="en-US"/>
        </w:rPr>
        <w:t>设计说明</w:t>
      </w:r>
    </w:p>
    <w:p w14:paraId="225F540D">
      <w:pPr>
        <w:pStyle w:val="2"/>
        <w:spacing w:before="10"/>
        <w:rPr>
          <w:rFonts w:ascii="黑体" w:hAnsi="黑体" w:eastAsia="黑体" w:cs="黑体"/>
          <w:b/>
          <w:bCs/>
          <w:sz w:val="30"/>
          <w:szCs w:val="30"/>
          <w:lang w:val="en-US"/>
        </w:rPr>
      </w:pPr>
      <w:r>
        <w:rPr>
          <w:rFonts w:hint="eastAsia" w:ascii="黑体" w:hAnsi="黑体" w:eastAsia="黑体" w:cs="黑体"/>
          <w:b/>
          <w:bCs/>
          <w:sz w:val="30"/>
          <w:szCs w:val="30"/>
          <w:lang w:val="en-US"/>
        </w:rPr>
        <w:t>一、概述</w:t>
      </w:r>
    </w:p>
    <w:p w14:paraId="3E283763">
      <w:pPr>
        <w:pStyle w:val="2"/>
        <w:spacing w:line="432" w:lineRule="auto"/>
        <w:ind w:right="167" w:firstLine="466" w:firstLineChars="200"/>
        <w:jc w:val="both"/>
        <w:rPr>
          <w:rFonts w:ascii="黑体" w:hAnsi="黑体" w:eastAsia="黑体" w:cs="黑体"/>
          <w:spacing w:val="-7"/>
          <w:w w:val="95"/>
          <w:lang w:val="en-US"/>
        </w:rPr>
      </w:pPr>
      <w:r>
        <w:rPr>
          <w:rFonts w:hint="eastAsia" w:ascii="黑体" w:hAnsi="黑体" w:eastAsia="黑体" w:cs="黑体"/>
          <w:spacing w:val="-7"/>
          <w:w w:val="95"/>
          <w:lang w:val="en-US"/>
        </w:rPr>
        <w:t>项目</w:t>
      </w:r>
      <w:r>
        <w:rPr>
          <w:rFonts w:hint="eastAsia" w:ascii="黑体" w:hAnsi="黑体" w:eastAsia="黑体" w:cs="黑体"/>
          <w:spacing w:val="-7"/>
          <w:w w:val="95"/>
        </w:rPr>
        <w:t>是对孟州坝</w:t>
      </w:r>
      <w:r>
        <w:rPr>
          <w:rFonts w:hint="eastAsia" w:ascii="黑体" w:hAnsi="黑体" w:eastAsia="黑体" w:cs="黑体"/>
          <w:spacing w:val="-7"/>
          <w:w w:val="95"/>
          <w:lang w:val="en-US"/>
        </w:rPr>
        <w:t>村</w:t>
      </w:r>
      <w:r>
        <w:rPr>
          <w:rFonts w:hint="eastAsia" w:ascii="黑体" w:hAnsi="黑体" w:eastAsia="黑体" w:cs="黑体"/>
          <w:spacing w:val="-7"/>
          <w:w w:val="95"/>
        </w:rPr>
        <w:t>的</w:t>
      </w:r>
      <w:r>
        <w:rPr>
          <w:rFonts w:hint="eastAsia" w:ascii="黑体" w:hAnsi="黑体" w:eastAsia="黑体" w:cs="黑体"/>
          <w:spacing w:val="-7"/>
          <w:w w:val="95"/>
          <w:lang w:val="en-US"/>
        </w:rPr>
        <w:t>村</w:t>
      </w:r>
      <w:r>
        <w:rPr>
          <w:rFonts w:hint="eastAsia" w:ascii="黑体" w:hAnsi="黑体" w:eastAsia="黑体" w:cs="黑体"/>
          <w:spacing w:val="-7"/>
          <w:w w:val="95"/>
        </w:rPr>
        <w:t>道进行局部硬底化建设、部分道路扩宽、新建排水沟，按原有道路路基技术标准进行建设，路面结构采用水泥混凝土路面。局部路段弯道转弯半径不足时考虑进行弯道加宽。</w:t>
      </w:r>
    </w:p>
    <w:p w14:paraId="27E1A171">
      <w:pPr>
        <w:pStyle w:val="2"/>
        <w:spacing w:before="10"/>
        <w:rPr>
          <w:rFonts w:ascii="黑体" w:hAnsi="黑体" w:eastAsia="黑体" w:cs="黑体"/>
          <w:b/>
          <w:bCs/>
          <w:sz w:val="30"/>
          <w:szCs w:val="30"/>
          <w:lang w:val="en-US"/>
        </w:rPr>
      </w:pPr>
      <w:r>
        <w:rPr>
          <w:rFonts w:hint="eastAsia" w:ascii="黑体" w:hAnsi="黑体" w:eastAsia="黑体" w:cs="黑体"/>
          <w:b/>
          <w:bCs/>
          <w:sz w:val="30"/>
          <w:szCs w:val="30"/>
          <w:lang w:val="en-US"/>
        </w:rPr>
        <w:t>二、</w:t>
      </w:r>
      <w:r>
        <w:rPr>
          <w:rFonts w:hint="eastAsia" w:ascii="黑体" w:hAnsi="黑体" w:eastAsia="黑体" w:cs="黑体"/>
          <w:b/>
          <w:bCs/>
          <w:sz w:val="30"/>
          <w:szCs w:val="30"/>
        </w:rPr>
        <w:t>设计依据</w:t>
      </w:r>
    </w:p>
    <w:p w14:paraId="15FB22AD">
      <w:pPr>
        <w:pStyle w:val="2"/>
        <w:spacing w:line="432" w:lineRule="auto"/>
        <w:ind w:right="167" w:firstLine="466" w:firstLineChars="200"/>
        <w:jc w:val="both"/>
        <w:rPr>
          <w:rFonts w:ascii="黑体" w:hAnsi="黑体" w:eastAsia="黑体" w:cs="黑体"/>
          <w:spacing w:val="-7"/>
          <w:w w:val="95"/>
        </w:rPr>
      </w:pPr>
      <w:r>
        <w:rPr>
          <w:rFonts w:hint="eastAsia" w:ascii="黑体" w:hAnsi="黑体" w:eastAsia="黑体" w:cs="黑体"/>
          <w:spacing w:val="-7"/>
          <w:w w:val="95"/>
        </w:rPr>
        <w:t>（</w:t>
      </w:r>
      <w:r>
        <w:rPr>
          <w:rFonts w:hint="eastAsia" w:ascii="黑体" w:hAnsi="黑体" w:eastAsia="黑体" w:cs="黑体"/>
          <w:spacing w:val="-7"/>
          <w:w w:val="95"/>
          <w:lang w:val="en-US"/>
        </w:rPr>
        <w:t>1</w:t>
      </w:r>
      <w:r>
        <w:rPr>
          <w:rFonts w:hint="eastAsia" w:ascii="黑体" w:hAnsi="黑体" w:eastAsia="黑体" w:cs="黑体"/>
          <w:spacing w:val="-7"/>
          <w:w w:val="95"/>
        </w:rPr>
        <w:t>）本项目设计合同；</w:t>
      </w:r>
    </w:p>
    <w:p w14:paraId="5E6E0A48">
      <w:pPr>
        <w:pStyle w:val="2"/>
        <w:spacing w:line="432" w:lineRule="auto"/>
        <w:ind w:right="167" w:firstLine="466" w:firstLineChars="200"/>
        <w:jc w:val="both"/>
        <w:rPr>
          <w:rFonts w:ascii="黑体" w:hAnsi="黑体" w:eastAsia="黑体" w:cs="黑体"/>
          <w:spacing w:val="-7"/>
          <w:w w:val="95"/>
        </w:rPr>
      </w:pPr>
      <w:r>
        <w:rPr>
          <w:rFonts w:hint="eastAsia" w:ascii="黑体" w:hAnsi="黑体" w:eastAsia="黑体" w:cs="黑体"/>
          <w:spacing w:val="-7"/>
          <w:w w:val="95"/>
        </w:rPr>
        <w:t>（</w:t>
      </w:r>
      <w:r>
        <w:rPr>
          <w:rFonts w:hint="eastAsia" w:ascii="黑体" w:hAnsi="黑体" w:eastAsia="黑体" w:cs="黑体"/>
          <w:spacing w:val="-7"/>
          <w:w w:val="95"/>
          <w:lang w:val="en-US"/>
        </w:rPr>
        <w:t>2</w:t>
      </w:r>
      <w:r>
        <w:rPr>
          <w:rFonts w:hint="eastAsia" w:ascii="黑体" w:hAnsi="黑体" w:eastAsia="黑体" w:cs="黑体"/>
          <w:spacing w:val="-7"/>
          <w:w w:val="95"/>
        </w:rPr>
        <w:t>）建设单位提供的关于本工程的具体要求；</w:t>
      </w:r>
    </w:p>
    <w:p w14:paraId="3E8D5847">
      <w:pPr>
        <w:pStyle w:val="2"/>
        <w:spacing w:line="432" w:lineRule="auto"/>
        <w:ind w:right="167" w:firstLine="466" w:firstLineChars="200"/>
        <w:jc w:val="both"/>
        <w:rPr>
          <w:rFonts w:ascii="黑体" w:hAnsi="黑体" w:eastAsia="黑体" w:cs="黑体"/>
          <w:spacing w:val="-7"/>
          <w:w w:val="95"/>
        </w:rPr>
      </w:pPr>
      <w:r>
        <w:rPr>
          <w:rFonts w:hint="eastAsia" w:ascii="黑体" w:hAnsi="黑体" w:eastAsia="黑体" w:cs="黑体"/>
          <w:spacing w:val="-7"/>
          <w:w w:val="95"/>
        </w:rPr>
        <w:t>（</w:t>
      </w:r>
      <w:r>
        <w:rPr>
          <w:rFonts w:hint="eastAsia" w:ascii="黑体" w:hAnsi="黑体" w:eastAsia="黑体" w:cs="黑体"/>
          <w:spacing w:val="-7"/>
          <w:w w:val="95"/>
          <w:lang w:val="en-US"/>
        </w:rPr>
        <w:t>3</w:t>
      </w:r>
      <w:r>
        <w:rPr>
          <w:rFonts w:hint="eastAsia" w:ascii="黑体" w:hAnsi="黑体" w:eastAsia="黑体" w:cs="黑体"/>
          <w:spacing w:val="-7"/>
          <w:w w:val="95"/>
        </w:rPr>
        <w:t>）交通部、建设部及相关行业颁布的标准、规范、规程和办法；</w:t>
      </w:r>
    </w:p>
    <w:p w14:paraId="4F8079C1">
      <w:pPr>
        <w:pStyle w:val="3"/>
        <w:spacing w:before="227"/>
        <w:ind w:left="0"/>
      </w:pPr>
      <w:r>
        <w:t>三、技术标准</w:t>
      </w:r>
    </w:p>
    <w:p w14:paraId="0ECBB26A">
      <w:pPr>
        <w:pStyle w:val="4"/>
        <w:numPr>
          <w:ilvl w:val="1"/>
          <w:numId w:val="1"/>
        </w:numPr>
        <w:tabs>
          <w:tab w:val="left" w:pos="455"/>
        </w:tabs>
        <w:spacing w:before="207"/>
        <w:ind w:hanging="354"/>
      </w:pPr>
      <w:r>
        <w:rPr>
          <w:rFonts w:hint="eastAsia"/>
          <w:lang w:val="en-US"/>
        </w:rPr>
        <w:t xml:space="preserve"> </w:t>
      </w:r>
      <w:r>
        <w:t>主要技术标准</w:t>
      </w:r>
    </w:p>
    <w:p w14:paraId="3788430E">
      <w:pPr>
        <w:pStyle w:val="2"/>
        <w:spacing w:line="432" w:lineRule="auto"/>
        <w:ind w:right="167" w:firstLine="466" w:firstLineChars="200"/>
        <w:jc w:val="both"/>
        <w:rPr>
          <w:rFonts w:ascii="黑体" w:hAnsi="黑体" w:eastAsia="黑体" w:cs="黑体"/>
          <w:spacing w:val="-7"/>
          <w:w w:val="95"/>
        </w:rPr>
      </w:pPr>
      <w:r>
        <w:rPr>
          <w:rFonts w:hint="eastAsia" w:ascii="黑体" w:hAnsi="黑体" w:eastAsia="黑体" w:cs="黑体"/>
          <w:spacing w:val="-7"/>
          <w:w w:val="95"/>
        </w:rPr>
        <w:t>本项目公路等级为</w:t>
      </w:r>
      <w:r>
        <w:rPr>
          <w:rFonts w:hint="eastAsia" w:ascii="黑体" w:hAnsi="黑体" w:eastAsia="黑体" w:cs="黑体"/>
          <w:spacing w:val="-7"/>
          <w:w w:val="95"/>
          <w:lang w:val="en-US" w:eastAsia="zh-CN"/>
        </w:rPr>
        <w:t>支路</w:t>
      </w:r>
      <w:r>
        <w:rPr>
          <w:rFonts w:hint="eastAsia" w:ascii="黑体" w:hAnsi="黑体" w:eastAsia="黑体" w:cs="黑体"/>
          <w:spacing w:val="-7"/>
          <w:w w:val="95"/>
        </w:rPr>
        <w:t>，路面结构采用水泥混凝土路面，根据现行规范规程， 本项目的主要技术标准见表 1</w:t>
      </w:r>
      <w:r>
        <w:rPr>
          <w:rFonts w:hint="eastAsia" w:ascii="黑体" w:hAnsi="黑体" w:eastAsia="黑体" w:cs="黑体"/>
          <w:spacing w:val="-7"/>
          <w:w w:val="95"/>
          <w:lang w:val="en-US"/>
        </w:rPr>
        <w:t>-</w:t>
      </w:r>
      <w:r>
        <w:rPr>
          <w:rFonts w:hint="eastAsia" w:ascii="黑体" w:hAnsi="黑体" w:eastAsia="黑体" w:cs="黑体"/>
          <w:spacing w:val="-7"/>
          <w:w w:val="95"/>
        </w:rPr>
        <w:t>1。</w:t>
      </w:r>
    </w:p>
    <w:p w14:paraId="018152EC">
      <w:pPr>
        <w:spacing w:line="330" w:lineRule="exact"/>
        <w:ind w:firstLine="3120" w:firstLineChars="1600"/>
        <w:rPr>
          <w:b/>
          <w:sz w:val="26"/>
        </w:rPr>
      </w:pPr>
      <w:r>
        <w:rPr>
          <w:b/>
          <w:spacing w:val="-33"/>
          <w:sz w:val="26"/>
        </w:rPr>
        <w:t xml:space="preserve">表 </w:t>
      </w:r>
      <w:r>
        <w:rPr>
          <w:rFonts w:ascii="Times New Roman" w:eastAsia="Times New Roman"/>
          <w:b/>
          <w:sz w:val="26"/>
        </w:rPr>
        <w:t>1-1</w:t>
      </w:r>
      <w:r>
        <w:rPr>
          <w:rFonts w:ascii="Times New Roman" w:eastAsia="Times New Roman"/>
          <w:b/>
          <w:spacing w:val="64"/>
          <w:sz w:val="26"/>
        </w:rPr>
        <w:t xml:space="preserve"> </w:t>
      </w:r>
      <w:r>
        <w:rPr>
          <w:b/>
          <w:sz w:val="26"/>
        </w:rPr>
        <w:t>主要技术指标一览表</w:t>
      </w:r>
    </w:p>
    <w:tbl>
      <w:tblPr>
        <w:tblStyle w:val="7"/>
        <w:tblpPr w:leftFromText="180" w:rightFromText="180" w:vertAnchor="page" w:horzAnchor="page" w:tblpX="1898" w:tblpY="12307"/>
        <w:tblOverlap w:val="never"/>
        <w:tblW w:w="0" w:type="auto"/>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497"/>
        <w:gridCol w:w="3085"/>
        <w:gridCol w:w="3436"/>
      </w:tblGrid>
      <w:tr w14:paraId="68DCC4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4" w:hRule="exact"/>
        </w:trPr>
        <w:tc>
          <w:tcPr>
            <w:tcW w:w="1497" w:type="dxa"/>
          </w:tcPr>
          <w:p w14:paraId="5956CB40">
            <w:pPr>
              <w:pStyle w:val="9"/>
              <w:ind w:left="488" w:right="485"/>
              <w:rPr>
                <w:b/>
                <w:sz w:val="21"/>
              </w:rPr>
            </w:pPr>
            <w:r>
              <w:rPr>
                <w:b/>
                <w:sz w:val="21"/>
              </w:rPr>
              <w:t>序号</w:t>
            </w:r>
          </w:p>
        </w:tc>
        <w:tc>
          <w:tcPr>
            <w:tcW w:w="3085" w:type="dxa"/>
          </w:tcPr>
          <w:p w14:paraId="71C033D5">
            <w:pPr>
              <w:pStyle w:val="9"/>
              <w:tabs>
                <w:tab w:val="left" w:pos="694"/>
              </w:tabs>
              <w:rPr>
                <w:b/>
                <w:sz w:val="21"/>
              </w:rPr>
            </w:pPr>
            <w:r>
              <w:rPr>
                <w:b/>
                <w:sz w:val="21"/>
              </w:rPr>
              <w:t>项</w:t>
            </w:r>
            <w:r>
              <w:rPr>
                <w:b/>
                <w:sz w:val="21"/>
              </w:rPr>
              <w:tab/>
            </w:r>
            <w:r>
              <w:rPr>
                <w:b/>
                <w:sz w:val="21"/>
              </w:rPr>
              <w:t>目</w:t>
            </w:r>
          </w:p>
        </w:tc>
        <w:tc>
          <w:tcPr>
            <w:tcW w:w="3436" w:type="dxa"/>
          </w:tcPr>
          <w:p w14:paraId="75917906">
            <w:pPr>
              <w:pStyle w:val="9"/>
              <w:ind w:left="906" w:right="897"/>
              <w:rPr>
                <w:b/>
                <w:sz w:val="21"/>
              </w:rPr>
            </w:pPr>
            <w:r>
              <w:rPr>
                <w:b/>
                <w:sz w:val="21"/>
              </w:rPr>
              <w:t>技 术 指 标</w:t>
            </w:r>
          </w:p>
        </w:tc>
      </w:tr>
      <w:tr w14:paraId="17B616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4" w:hRule="exact"/>
        </w:trPr>
        <w:tc>
          <w:tcPr>
            <w:tcW w:w="1497" w:type="dxa"/>
          </w:tcPr>
          <w:p w14:paraId="7874F767">
            <w:pPr>
              <w:pStyle w:val="9"/>
              <w:spacing w:before="126"/>
              <w:ind w:left="12"/>
              <w:rPr>
                <w:rFonts w:ascii="Times New Roman"/>
                <w:b/>
                <w:sz w:val="21"/>
              </w:rPr>
            </w:pPr>
            <w:r>
              <w:rPr>
                <w:rFonts w:ascii="Times New Roman"/>
                <w:b/>
                <w:w w:val="99"/>
                <w:sz w:val="21"/>
              </w:rPr>
              <w:t>1</w:t>
            </w:r>
          </w:p>
        </w:tc>
        <w:tc>
          <w:tcPr>
            <w:tcW w:w="3085" w:type="dxa"/>
          </w:tcPr>
          <w:p w14:paraId="3A441BB6">
            <w:pPr>
              <w:pStyle w:val="9"/>
              <w:rPr>
                <w:sz w:val="21"/>
              </w:rPr>
            </w:pPr>
            <w:r>
              <w:rPr>
                <w:sz w:val="21"/>
              </w:rPr>
              <w:t>公路等级</w:t>
            </w:r>
          </w:p>
        </w:tc>
        <w:tc>
          <w:tcPr>
            <w:tcW w:w="3436" w:type="dxa"/>
          </w:tcPr>
          <w:p w14:paraId="61E7E12B">
            <w:pPr>
              <w:pStyle w:val="9"/>
              <w:ind w:left="906" w:right="902"/>
              <w:rPr>
                <w:rFonts w:hint="eastAsia" w:eastAsia="宋体"/>
                <w:sz w:val="21"/>
                <w:lang w:eastAsia="zh-CN"/>
              </w:rPr>
            </w:pPr>
            <w:r>
              <w:rPr>
                <w:rFonts w:hint="eastAsia" w:ascii="黑体" w:hAnsi="黑体" w:eastAsia="黑体" w:cs="黑体"/>
                <w:spacing w:val="-7"/>
                <w:w w:val="95"/>
                <w:lang w:val="en-US" w:eastAsia="zh-CN"/>
              </w:rPr>
              <w:t>支路</w:t>
            </w:r>
          </w:p>
        </w:tc>
      </w:tr>
      <w:tr w14:paraId="6A9603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4" w:hRule="exact"/>
        </w:trPr>
        <w:tc>
          <w:tcPr>
            <w:tcW w:w="1497" w:type="dxa"/>
          </w:tcPr>
          <w:p w14:paraId="3F88F05B">
            <w:pPr>
              <w:pStyle w:val="9"/>
              <w:spacing w:before="128"/>
              <w:ind w:left="12"/>
              <w:rPr>
                <w:rFonts w:ascii="Times New Roman"/>
                <w:b/>
                <w:sz w:val="21"/>
              </w:rPr>
            </w:pPr>
            <w:r>
              <w:rPr>
                <w:rFonts w:ascii="Times New Roman"/>
                <w:b/>
                <w:w w:val="99"/>
                <w:sz w:val="21"/>
              </w:rPr>
              <w:t>2</w:t>
            </w:r>
          </w:p>
        </w:tc>
        <w:tc>
          <w:tcPr>
            <w:tcW w:w="3085" w:type="dxa"/>
          </w:tcPr>
          <w:p w14:paraId="0379A915">
            <w:pPr>
              <w:pStyle w:val="9"/>
              <w:spacing w:before="114"/>
              <w:rPr>
                <w:sz w:val="21"/>
              </w:rPr>
            </w:pPr>
            <w:r>
              <w:rPr>
                <w:sz w:val="21"/>
              </w:rPr>
              <w:t>行车道宽度（</w:t>
            </w:r>
            <w:r>
              <w:rPr>
                <w:rFonts w:ascii="Times New Roman" w:eastAsia="Times New Roman"/>
                <w:sz w:val="21"/>
              </w:rPr>
              <w:t>m</w:t>
            </w:r>
            <w:r>
              <w:rPr>
                <w:sz w:val="21"/>
              </w:rPr>
              <w:t>）</w:t>
            </w:r>
          </w:p>
        </w:tc>
        <w:tc>
          <w:tcPr>
            <w:tcW w:w="3436" w:type="dxa"/>
          </w:tcPr>
          <w:p w14:paraId="6D582BD2">
            <w:pPr>
              <w:pStyle w:val="9"/>
              <w:spacing w:before="128"/>
              <w:ind w:left="906" w:right="896"/>
              <w:rPr>
                <w:rFonts w:hint="eastAsia" w:ascii="Times New Roman" w:eastAsia="宋体"/>
                <w:sz w:val="21"/>
                <w:lang w:val="en-US" w:eastAsia="zh-CN"/>
              </w:rPr>
            </w:pPr>
            <w:r>
              <w:rPr>
                <w:rFonts w:hint="eastAsia" w:ascii="Times New Roman"/>
                <w:sz w:val="21"/>
                <w:lang w:val="en-US" w:eastAsia="zh-CN"/>
              </w:rPr>
              <w:t>4</w:t>
            </w:r>
          </w:p>
        </w:tc>
      </w:tr>
      <w:tr w14:paraId="7C2423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4" w:hRule="exact"/>
        </w:trPr>
        <w:tc>
          <w:tcPr>
            <w:tcW w:w="1497" w:type="dxa"/>
          </w:tcPr>
          <w:p w14:paraId="17FF51E7">
            <w:pPr>
              <w:pStyle w:val="9"/>
              <w:spacing w:before="127"/>
              <w:ind w:left="12"/>
              <w:rPr>
                <w:rFonts w:ascii="Times New Roman"/>
                <w:b/>
                <w:sz w:val="21"/>
              </w:rPr>
            </w:pPr>
            <w:r>
              <w:rPr>
                <w:rFonts w:ascii="Times New Roman"/>
                <w:b/>
                <w:w w:val="99"/>
                <w:sz w:val="21"/>
              </w:rPr>
              <w:t>3</w:t>
            </w:r>
          </w:p>
        </w:tc>
        <w:tc>
          <w:tcPr>
            <w:tcW w:w="3085" w:type="dxa"/>
          </w:tcPr>
          <w:p w14:paraId="38F5D865">
            <w:pPr>
              <w:pStyle w:val="9"/>
              <w:spacing w:before="113"/>
              <w:rPr>
                <w:sz w:val="21"/>
              </w:rPr>
            </w:pPr>
            <w:r>
              <w:rPr>
                <w:sz w:val="21"/>
              </w:rPr>
              <w:t>路面类型</w:t>
            </w:r>
          </w:p>
        </w:tc>
        <w:tc>
          <w:tcPr>
            <w:tcW w:w="3436" w:type="dxa"/>
          </w:tcPr>
          <w:p w14:paraId="4A7B6D7D">
            <w:pPr>
              <w:pStyle w:val="9"/>
              <w:spacing w:before="113"/>
              <w:ind w:left="906" w:right="902"/>
              <w:rPr>
                <w:sz w:val="21"/>
              </w:rPr>
            </w:pPr>
            <w:r>
              <w:rPr>
                <w:sz w:val="21"/>
              </w:rPr>
              <w:t>水泥混凝土路面</w:t>
            </w:r>
          </w:p>
        </w:tc>
      </w:tr>
      <w:tr w14:paraId="10648F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4" w:hRule="exact"/>
        </w:trPr>
        <w:tc>
          <w:tcPr>
            <w:tcW w:w="1497" w:type="dxa"/>
          </w:tcPr>
          <w:p w14:paraId="116891F0">
            <w:pPr>
              <w:pStyle w:val="9"/>
              <w:spacing w:before="127"/>
              <w:ind w:left="12"/>
              <w:rPr>
                <w:rFonts w:ascii="Times New Roman"/>
                <w:b/>
                <w:w w:val="99"/>
                <w:sz w:val="21"/>
                <w:lang w:val="en-US"/>
              </w:rPr>
            </w:pPr>
            <w:r>
              <w:rPr>
                <w:rFonts w:hint="eastAsia" w:ascii="Times New Roman"/>
                <w:b/>
                <w:w w:val="99"/>
                <w:sz w:val="21"/>
                <w:lang w:val="en-US"/>
              </w:rPr>
              <w:t>4</w:t>
            </w:r>
          </w:p>
        </w:tc>
        <w:tc>
          <w:tcPr>
            <w:tcW w:w="3085" w:type="dxa"/>
          </w:tcPr>
          <w:p w14:paraId="73B34F45">
            <w:pPr>
              <w:pStyle w:val="9"/>
              <w:spacing w:before="113"/>
              <w:rPr>
                <w:sz w:val="21"/>
                <w:lang w:val="en-US"/>
              </w:rPr>
            </w:pPr>
            <w:r>
              <w:rPr>
                <w:rFonts w:hint="eastAsia"/>
                <w:sz w:val="21"/>
                <w:lang w:val="en-US"/>
              </w:rPr>
              <w:t>设计车速（km/h）</w:t>
            </w:r>
          </w:p>
        </w:tc>
        <w:tc>
          <w:tcPr>
            <w:tcW w:w="3436" w:type="dxa"/>
          </w:tcPr>
          <w:p w14:paraId="40F4F4EA">
            <w:pPr>
              <w:pStyle w:val="9"/>
              <w:spacing w:before="113"/>
              <w:ind w:left="906" w:right="902"/>
              <w:rPr>
                <w:sz w:val="21"/>
                <w:lang w:val="en-US"/>
              </w:rPr>
            </w:pPr>
            <w:r>
              <w:rPr>
                <w:rFonts w:hint="eastAsia"/>
                <w:sz w:val="21"/>
                <w:lang w:val="en-US"/>
              </w:rPr>
              <w:t>30km/h</w:t>
            </w:r>
          </w:p>
        </w:tc>
      </w:tr>
      <w:tr w14:paraId="671335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4" w:hRule="exact"/>
        </w:trPr>
        <w:tc>
          <w:tcPr>
            <w:tcW w:w="1497" w:type="dxa"/>
          </w:tcPr>
          <w:p w14:paraId="7CEB6AF3">
            <w:pPr>
              <w:pStyle w:val="9"/>
              <w:spacing w:before="127"/>
              <w:ind w:left="12"/>
              <w:rPr>
                <w:rFonts w:ascii="Times New Roman"/>
                <w:b/>
                <w:w w:val="99"/>
                <w:sz w:val="21"/>
                <w:lang w:val="en-US"/>
              </w:rPr>
            </w:pPr>
            <w:r>
              <w:rPr>
                <w:rFonts w:hint="eastAsia" w:ascii="Times New Roman"/>
                <w:b/>
                <w:w w:val="99"/>
                <w:sz w:val="21"/>
                <w:lang w:val="en-US"/>
              </w:rPr>
              <w:t>5</w:t>
            </w:r>
          </w:p>
        </w:tc>
        <w:tc>
          <w:tcPr>
            <w:tcW w:w="3085" w:type="dxa"/>
          </w:tcPr>
          <w:p w14:paraId="6E72E0F0">
            <w:pPr>
              <w:pStyle w:val="9"/>
              <w:spacing w:before="113"/>
              <w:rPr>
                <w:sz w:val="21"/>
                <w:lang w:val="en-US"/>
              </w:rPr>
            </w:pPr>
            <w:r>
              <w:rPr>
                <w:rFonts w:hint="eastAsia"/>
                <w:sz w:val="21"/>
                <w:lang w:val="en-US"/>
              </w:rPr>
              <w:t>最大纵坡（%）</w:t>
            </w:r>
          </w:p>
        </w:tc>
        <w:tc>
          <w:tcPr>
            <w:tcW w:w="3436" w:type="dxa"/>
          </w:tcPr>
          <w:p w14:paraId="482C5059">
            <w:pPr>
              <w:pStyle w:val="9"/>
              <w:spacing w:before="113"/>
              <w:ind w:left="906" w:right="902"/>
              <w:rPr>
                <w:sz w:val="21"/>
                <w:lang w:val="en-US"/>
              </w:rPr>
            </w:pPr>
            <w:r>
              <w:rPr>
                <w:sz w:val="21"/>
                <w:lang w:val="en-US"/>
              </w:rPr>
              <w:t>12</w:t>
            </w:r>
            <w:r>
              <w:rPr>
                <w:rFonts w:hint="eastAsia"/>
                <w:sz w:val="21"/>
                <w:lang w:val="en-US"/>
              </w:rPr>
              <w:t>%</w:t>
            </w:r>
          </w:p>
        </w:tc>
      </w:tr>
      <w:tr w14:paraId="79A292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4" w:hRule="exact"/>
        </w:trPr>
        <w:tc>
          <w:tcPr>
            <w:tcW w:w="1497" w:type="dxa"/>
          </w:tcPr>
          <w:p w14:paraId="66EDFC89">
            <w:pPr>
              <w:pStyle w:val="9"/>
              <w:spacing w:before="127"/>
              <w:ind w:left="12"/>
              <w:rPr>
                <w:rFonts w:ascii="Times New Roman"/>
                <w:b/>
                <w:w w:val="99"/>
                <w:sz w:val="21"/>
                <w:lang w:val="en-US"/>
              </w:rPr>
            </w:pPr>
            <w:r>
              <w:rPr>
                <w:rFonts w:hint="eastAsia" w:ascii="Times New Roman"/>
                <w:b/>
                <w:w w:val="99"/>
                <w:sz w:val="21"/>
                <w:lang w:val="en-US"/>
              </w:rPr>
              <w:t>6</w:t>
            </w:r>
          </w:p>
        </w:tc>
        <w:tc>
          <w:tcPr>
            <w:tcW w:w="3085" w:type="dxa"/>
          </w:tcPr>
          <w:p w14:paraId="52FE0762">
            <w:pPr>
              <w:pStyle w:val="9"/>
              <w:spacing w:before="113"/>
              <w:rPr>
                <w:sz w:val="21"/>
                <w:lang w:val="en-US"/>
              </w:rPr>
            </w:pPr>
            <w:r>
              <w:rPr>
                <w:rFonts w:hint="eastAsia"/>
                <w:sz w:val="21"/>
                <w:lang w:val="en-US"/>
              </w:rPr>
              <w:t>荷载等级</w:t>
            </w:r>
          </w:p>
        </w:tc>
        <w:tc>
          <w:tcPr>
            <w:tcW w:w="3436" w:type="dxa"/>
          </w:tcPr>
          <w:p w14:paraId="766E1EDA">
            <w:pPr>
              <w:pStyle w:val="9"/>
              <w:spacing w:before="113"/>
              <w:ind w:left="906" w:right="902"/>
              <w:rPr>
                <w:sz w:val="21"/>
                <w:lang w:val="en-US"/>
              </w:rPr>
            </w:pPr>
            <w:r>
              <w:rPr>
                <w:rFonts w:hint="eastAsia"/>
                <w:sz w:val="21"/>
                <w:lang w:val="en-US"/>
              </w:rPr>
              <w:t>公路-Ⅳ级</w:t>
            </w:r>
          </w:p>
        </w:tc>
      </w:tr>
    </w:tbl>
    <w:p w14:paraId="6CE48579">
      <w:pPr>
        <w:pStyle w:val="2"/>
        <w:spacing w:before="1" w:line="434" w:lineRule="auto"/>
        <w:ind w:left="101" w:right="100" w:firstLine="520"/>
        <w:rPr>
          <w:w w:val="95"/>
        </w:rPr>
      </w:pPr>
    </w:p>
    <w:p w14:paraId="15E155F1">
      <w:pPr>
        <w:pStyle w:val="2"/>
        <w:spacing w:before="1" w:line="434" w:lineRule="auto"/>
        <w:ind w:left="101" w:right="100" w:firstLine="520"/>
        <w:rPr>
          <w:w w:val="95"/>
        </w:rPr>
      </w:pPr>
    </w:p>
    <w:p w14:paraId="00AAB015">
      <w:pPr>
        <w:pStyle w:val="2"/>
        <w:spacing w:before="10" w:line="240" w:lineRule="atLeast"/>
        <w:rPr>
          <w:b/>
          <w:bCs/>
          <w:sz w:val="28"/>
          <w:szCs w:val="28"/>
          <w:lang w:val="en-US"/>
        </w:rPr>
      </w:pPr>
    </w:p>
    <w:p w14:paraId="2F31CB94">
      <w:pPr>
        <w:pStyle w:val="2"/>
        <w:spacing w:before="10" w:line="240" w:lineRule="atLeast"/>
        <w:rPr>
          <w:b/>
          <w:bCs/>
          <w:sz w:val="28"/>
          <w:szCs w:val="28"/>
          <w:lang w:val="en-US"/>
        </w:rPr>
      </w:pPr>
    </w:p>
    <w:p w14:paraId="245BBE37">
      <w:pPr>
        <w:pStyle w:val="2"/>
        <w:spacing w:before="10" w:line="240" w:lineRule="atLeast"/>
        <w:rPr>
          <w:b/>
          <w:bCs/>
          <w:sz w:val="28"/>
          <w:szCs w:val="28"/>
          <w:lang w:val="en-US"/>
        </w:rPr>
      </w:pPr>
    </w:p>
    <w:p w14:paraId="6E9D13F7">
      <w:pPr>
        <w:pStyle w:val="2"/>
        <w:spacing w:before="10" w:line="240" w:lineRule="atLeast"/>
        <w:rPr>
          <w:b/>
          <w:bCs/>
          <w:sz w:val="28"/>
          <w:szCs w:val="28"/>
          <w:lang w:val="en-US"/>
        </w:rPr>
      </w:pPr>
    </w:p>
    <w:p w14:paraId="76F0BDA7">
      <w:pPr>
        <w:pStyle w:val="2"/>
        <w:spacing w:before="10" w:line="240" w:lineRule="atLeast"/>
        <w:rPr>
          <w:b/>
          <w:bCs/>
          <w:sz w:val="28"/>
          <w:szCs w:val="28"/>
          <w:lang w:val="en-US"/>
        </w:rPr>
      </w:pPr>
    </w:p>
    <w:p w14:paraId="1B13D3F8">
      <w:pPr>
        <w:pStyle w:val="2"/>
        <w:spacing w:before="10" w:line="240" w:lineRule="atLeast"/>
        <w:rPr>
          <w:b/>
          <w:sz w:val="22"/>
        </w:rPr>
      </w:pPr>
      <w:r>
        <w:rPr>
          <w:rFonts w:hint="eastAsia"/>
          <w:b/>
          <w:bCs/>
          <w:sz w:val="28"/>
          <w:szCs w:val="28"/>
          <w:lang w:val="en-US"/>
        </w:rPr>
        <w:t xml:space="preserve">3.2  </w:t>
      </w:r>
      <w:r>
        <w:rPr>
          <w:b/>
          <w:bCs/>
          <w:sz w:val="28"/>
          <w:szCs w:val="28"/>
        </w:rPr>
        <w:t>采用的主要设计标准及规范</w:t>
      </w:r>
    </w:p>
    <w:p w14:paraId="62B79C3F">
      <w:pPr>
        <w:pStyle w:val="10"/>
        <w:numPr>
          <w:ilvl w:val="2"/>
          <w:numId w:val="1"/>
        </w:numPr>
        <w:tabs>
          <w:tab w:val="left" w:pos="1272"/>
        </w:tabs>
        <w:spacing w:line="240" w:lineRule="atLeast"/>
        <w:ind w:hanging="650"/>
        <w:rPr>
          <w:rFonts w:ascii="黑体" w:hAnsi="黑体" w:eastAsia="黑体" w:cs="黑体"/>
          <w:spacing w:val="-7"/>
          <w:w w:val="95"/>
          <w:sz w:val="26"/>
          <w:szCs w:val="26"/>
        </w:rPr>
      </w:pPr>
      <w:r>
        <w:rPr>
          <w:rFonts w:hint="eastAsia" w:ascii="黑体" w:hAnsi="黑体" w:eastAsia="黑体" w:cs="黑体"/>
          <w:spacing w:val="-7"/>
          <w:w w:val="95"/>
          <w:sz w:val="26"/>
          <w:szCs w:val="26"/>
        </w:rPr>
        <w:t>、《</w:t>
      </w:r>
      <w:r>
        <w:rPr>
          <w:rFonts w:hint="eastAsia" w:ascii="黑体" w:hAnsi="黑体" w:eastAsia="黑体" w:cs="黑体"/>
          <w:spacing w:val="-7"/>
          <w:w w:val="95"/>
          <w:sz w:val="26"/>
          <w:szCs w:val="26"/>
          <w:lang w:val="en-US"/>
        </w:rPr>
        <w:t>市政公用工程施工图设计文件技术审查要点</w:t>
      </w:r>
      <w:r>
        <w:rPr>
          <w:rFonts w:hint="eastAsia" w:ascii="黑体" w:hAnsi="黑体" w:eastAsia="黑体" w:cs="黑体"/>
          <w:spacing w:val="-7"/>
          <w:w w:val="95"/>
          <w:sz w:val="26"/>
          <w:szCs w:val="26"/>
        </w:rPr>
        <w:t>》（</w:t>
      </w:r>
      <w:r>
        <w:rPr>
          <w:rFonts w:hint="eastAsia" w:ascii="黑体" w:hAnsi="黑体" w:eastAsia="黑体" w:cs="黑体"/>
          <w:spacing w:val="-7"/>
          <w:w w:val="95"/>
          <w:sz w:val="26"/>
          <w:szCs w:val="26"/>
          <w:lang w:val="en-US"/>
        </w:rPr>
        <w:t>建质</w:t>
      </w:r>
      <w:r>
        <w:rPr>
          <w:rFonts w:hint="eastAsia" w:ascii="黑体" w:hAnsi="黑体" w:eastAsia="黑体" w:cs="黑体"/>
          <w:spacing w:val="-7"/>
          <w:w w:val="95"/>
          <w:sz w:val="26"/>
          <w:szCs w:val="26"/>
        </w:rPr>
        <w:t xml:space="preserve"> [</w:t>
      </w:r>
      <w:r>
        <w:rPr>
          <w:rFonts w:hint="eastAsia" w:ascii="黑体" w:hAnsi="黑体" w:eastAsia="黑体" w:cs="黑体"/>
          <w:spacing w:val="-7"/>
          <w:w w:val="95"/>
          <w:sz w:val="26"/>
          <w:szCs w:val="26"/>
          <w:lang w:val="en-US"/>
        </w:rPr>
        <w:t>2013</w:t>
      </w:r>
      <w:r>
        <w:rPr>
          <w:rFonts w:hint="eastAsia" w:ascii="黑体" w:hAnsi="黑体" w:eastAsia="黑体" w:cs="黑体"/>
          <w:spacing w:val="-7"/>
          <w:w w:val="95"/>
          <w:sz w:val="26"/>
          <w:szCs w:val="26"/>
        </w:rPr>
        <w:t>]</w:t>
      </w:r>
      <w:r>
        <w:rPr>
          <w:rFonts w:hint="eastAsia" w:ascii="黑体" w:hAnsi="黑体" w:eastAsia="黑体" w:cs="黑体"/>
          <w:spacing w:val="-7"/>
          <w:w w:val="95"/>
          <w:sz w:val="26"/>
          <w:szCs w:val="26"/>
          <w:lang w:val="en-US"/>
        </w:rPr>
        <w:t xml:space="preserve"> 87号</w:t>
      </w:r>
      <w:r>
        <w:rPr>
          <w:rFonts w:hint="eastAsia" w:ascii="黑体" w:hAnsi="黑体" w:eastAsia="黑体" w:cs="黑体"/>
          <w:spacing w:val="-7"/>
          <w:w w:val="95"/>
          <w:sz w:val="26"/>
          <w:szCs w:val="26"/>
        </w:rPr>
        <w:t>）；</w:t>
      </w:r>
    </w:p>
    <w:p w14:paraId="38F1FDD8">
      <w:pPr>
        <w:pStyle w:val="10"/>
        <w:numPr>
          <w:ilvl w:val="2"/>
          <w:numId w:val="1"/>
        </w:numPr>
        <w:tabs>
          <w:tab w:val="left" w:pos="1272"/>
        </w:tabs>
        <w:spacing w:before="1" w:line="240" w:lineRule="atLeast"/>
        <w:ind w:hanging="650"/>
        <w:rPr>
          <w:rFonts w:ascii="黑体" w:hAnsi="黑体" w:eastAsia="黑体" w:cs="黑体"/>
          <w:spacing w:val="-7"/>
          <w:w w:val="95"/>
          <w:sz w:val="26"/>
          <w:szCs w:val="26"/>
        </w:rPr>
      </w:pPr>
      <w:r>
        <w:rPr>
          <w:rFonts w:hint="eastAsia" w:ascii="黑体" w:hAnsi="黑体" w:eastAsia="黑体" w:cs="黑体"/>
          <w:spacing w:val="-7"/>
          <w:w w:val="95"/>
          <w:sz w:val="26"/>
          <w:szCs w:val="26"/>
        </w:rPr>
        <w:t>、《市政公用工程设计文件编制深度规定》   （建质[2013]57号）</w:t>
      </w:r>
    </w:p>
    <w:p w14:paraId="36A422F5">
      <w:pPr>
        <w:pStyle w:val="10"/>
        <w:numPr>
          <w:ilvl w:val="2"/>
          <w:numId w:val="1"/>
        </w:numPr>
        <w:tabs>
          <w:tab w:val="left" w:pos="1272"/>
        </w:tabs>
        <w:spacing w:before="1" w:line="240" w:lineRule="atLeast"/>
        <w:ind w:hanging="650"/>
        <w:rPr>
          <w:rFonts w:ascii="黑体" w:hAnsi="黑体" w:eastAsia="黑体" w:cs="黑体"/>
          <w:spacing w:val="-7"/>
          <w:w w:val="95"/>
          <w:sz w:val="26"/>
          <w:szCs w:val="26"/>
        </w:rPr>
      </w:pPr>
      <w:r>
        <w:rPr>
          <w:rFonts w:hint="eastAsia" w:ascii="黑体" w:hAnsi="黑体" w:eastAsia="黑体" w:cs="黑体"/>
          <w:spacing w:val="-7"/>
          <w:w w:val="95"/>
          <w:sz w:val="26"/>
          <w:szCs w:val="26"/>
        </w:rPr>
        <w:t>、《城市道路交通设施设计规范》（</w:t>
      </w:r>
      <w:r>
        <w:rPr>
          <w:rFonts w:hint="eastAsia" w:ascii="黑体" w:hAnsi="黑体" w:eastAsia="黑体" w:cs="黑体"/>
          <w:spacing w:val="-7"/>
          <w:w w:val="95"/>
          <w:sz w:val="26"/>
          <w:szCs w:val="26"/>
          <w:lang w:val="en-US"/>
        </w:rPr>
        <w:t>2019年版</w:t>
      </w:r>
      <w:r>
        <w:rPr>
          <w:rFonts w:hint="eastAsia" w:ascii="黑体" w:hAnsi="黑体" w:eastAsia="黑体" w:cs="黑体"/>
          <w:spacing w:val="-7"/>
          <w:w w:val="95"/>
          <w:sz w:val="26"/>
          <w:szCs w:val="26"/>
        </w:rPr>
        <w:t>） GB50688-2011</w:t>
      </w:r>
    </w:p>
    <w:p w14:paraId="51DDE286">
      <w:pPr>
        <w:pStyle w:val="10"/>
        <w:numPr>
          <w:ilvl w:val="2"/>
          <w:numId w:val="1"/>
        </w:numPr>
        <w:tabs>
          <w:tab w:val="left" w:pos="1272"/>
        </w:tabs>
        <w:spacing w:line="240" w:lineRule="atLeast"/>
        <w:ind w:hanging="650"/>
        <w:rPr>
          <w:rFonts w:ascii="黑体" w:hAnsi="黑体" w:eastAsia="黑体" w:cs="黑体"/>
          <w:spacing w:val="-7"/>
          <w:w w:val="95"/>
          <w:sz w:val="26"/>
          <w:szCs w:val="26"/>
        </w:rPr>
      </w:pPr>
      <w:r>
        <w:rPr>
          <w:rFonts w:hint="eastAsia" w:ascii="黑体" w:hAnsi="黑体" w:eastAsia="黑体" w:cs="黑体"/>
          <w:spacing w:val="-7"/>
          <w:w w:val="95"/>
          <w:sz w:val="26"/>
          <w:szCs w:val="26"/>
        </w:rPr>
        <w:t>、《</w:t>
      </w:r>
      <w:r>
        <w:rPr>
          <w:rFonts w:hint="eastAsia" w:ascii="黑体" w:hAnsi="黑体" w:eastAsia="黑体" w:cs="黑体"/>
          <w:spacing w:val="-7"/>
          <w:w w:val="95"/>
          <w:sz w:val="26"/>
          <w:szCs w:val="26"/>
          <w:lang w:val="en-US"/>
        </w:rPr>
        <w:t>城市道路</w:t>
      </w:r>
      <w:r>
        <w:rPr>
          <w:rFonts w:hint="eastAsia" w:ascii="黑体" w:hAnsi="黑体" w:eastAsia="黑体" w:cs="黑体"/>
          <w:spacing w:val="-7"/>
          <w:w w:val="95"/>
          <w:sz w:val="26"/>
          <w:szCs w:val="26"/>
        </w:rPr>
        <w:t>路基设计规范》（</w:t>
      </w:r>
      <w:r>
        <w:rPr>
          <w:rFonts w:hint="eastAsia" w:ascii="黑体" w:hAnsi="黑体" w:eastAsia="黑体" w:cs="黑体"/>
          <w:spacing w:val="-7"/>
          <w:w w:val="95"/>
          <w:sz w:val="26"/>
          <w:szCs w:val="26"/>
          <w:lang w:val="en-US"/>
        </w:rPr>
        <w:t>CJJ194-2013</w:t>
      </w:r>
      <w:r>
        <w:rPr>
          <w:rFonts w:hint="eastAsia" w:ascii="黑体" w:hAnsi="黑体" w:eastAsia="黑体" w:cs="黑体"/>
          <w:spacing w:val="-7"/>
          <w:w w:val="95"/>
          <w:sz w:val="26"/>
          <w:szCs w:val="26"/>
        </w:rPr>
        <w:t>）</w:t>
      </w:r>
    </w:p>
    <w:p w14:paraId="4848207F">
      <w:pPr>
        <w:pStyle w:val="10"/>
        <w:numPr>
          <w:ilvl w:val="2"/>
          <w:numId w:val="1"/>
        </w:numPr>
        <w:tabs>
          <w:tab w:val="left" w:pos="1272"/>
        </w:tabs>
        <w:spacing w:line="240" w:lineRule="atLeast"/>
        <w:ind w:hanging="650"/>
        <w:rPr>
          <w:rFonts w:ascii="仿宋" w:hAnsi="仿宋" w:eastAsia="仿宋" w:cs="仿宋"/>
          <w:sz w:val="28"/>
          <w:szCs w:val="28"/>
          <w:shd w:val="clear" w:color="auto" w:fill="FFFFFF"/>
        </w:rPr>
      </w:pPr>
      <w:r>
        <w:rPr>
          <w:rFonts w:hint="eastAsia" w:ascii="黑体" w:hAnsi="黑体" w:eastAsia="黑体" w:cs="黑体"/>
          <w:spacing w:val="-7"/>
          <w:w w:val="95"/>
          <w:sz w:val="26"/>
          <w:szCs w:val="26"/>
        </w:rPr>
        <w:t>、《城市道路工程设计规范》（CJJ37-2012，</w:t>
      </w:r>
      <w:r>
        <w:rPr>
          <w:rFonts w:hint="eastAsia" w:ascii="黑体" w:hAnsi="黑体" w:eastAsia="黑体" w:cs="黑体"/>
          <w:spacing w:val="-7"/>
          <w:w w:val="95"/>
          <w:sz w:val="26"/>
          <w:szCs w:val="26"/>
          <w:lang w:val="en-US"/>
        </w:rPr>
        <w:t>2016版</w:t>
      </w:r>
      <w:r>
        <w:rPr>
          <w:rFonts w:hint="eastAsia" w:ascii="黑体" w:hAnsi="黑体" w:eastAsia="黑体" w:cs="黑体"/>
          <w:spacing w:val="-7"/>
          <w:w w:val="95"/>
          <w:sz w:val="26"/>
          <w:szCs w:val="26"/>
        </w:rPr>
        <w:t>）</w:t>
      </w:r>
    </w:p>
    <w:p w14:paraId="12137E9B">
      <w:pPr>
        <w:pStyle w:val="10"/>
        <w:numPr>
          <w:ilvl w:val="2"/>
          <w:numId w:val="1"/>
        </w:numPr>
        <w:tabs>
          <w:tab w:val="left" w:pos="1272"/>
        </w:tabs>
        <w:spacing w:line="240" w:lineRule="atLeast"/>
        <w:ind w:hanging="650"/>
        <w:rPr>
          <w:rFonts w:ascii="黑体" w:hAnsi="黑体" w:eastAsia="黑体" w:cs="黑体"/>
          <w:spacing w:val="-7"/>
          <w:w w:val="95"/>
          <w:sz w:val="26"/>
          <w:szCs w:val="26"/>
        </w:rPr>
      </w:pPr>
      <w:r>
        <w:rPr>
          <w:rFonts w:hint="eastAsia" w:ascii="黑体" w:hAnsi="黑体" w:eastAsia="黑体" w:cs="黑体"/>
          <w:spacing w:val="-7"/>
          <w:w w:val="95"/>
          <w:sz w:val="26"/>
          <w:szCs w:val="26"/>
        </w:rPr>
        <w:t>、《城市道路路线设计规范》</w:t>
      </w:r>
      <w:r>
        <w:rPr>
          <w:rFonts w:hint="eastAsia" w:ascii="黑体" w:hAnsi="黑体" w:eastAsia="黑体" w:cs="黑体"/>
          <w:spacing w:val="-7"/>
          <w:w w:val="95"/>
          <w:sz w:val="26"/>
          <w:szCs w:val="26"/>
          <w:lang w:val="en-US"/>
        </w:rPr>
        <w:t>(</w:t>
      </w:r>
      <w:r>
        <w:rPr>
          <w:rFonts w:hint="eastAsia" w:ascii="黑体" w:hAnsi="黑体" w:eastAsia="黑体" w:cs="黑体"/>
          <w:spacing w:val="-7"/>
          <w:w w:val="95"/>
          <w:sz w:val="26"/>
          <w:szCs w:val="26"/>
        </w:rPr>
        <w:t>JJ 193-2012）</w:t>
      </w:r>
    </w:p>
    <w:p w14:paraId="10ECCB51">
      <w:pPr>
        <w:pStyle w:val="10"/>
        <w:numPr>
          <w:ilvl w:val="2"/>
          <w:numId w:val="1"/>
        </w:numPr>
        <w:tabs>
          <w:tab w:val="left" w:pos="1272"/>
        </w:tabs>
        <w:spacing w:before="1" w:line="240" w:lineRule="atLeast"/>
        <w:ind w:hanging="650"/>
        <w:rPr>
          <w:rFonts w:ascii="黑体" w:hAnsi="黑体" w:eastAsia="黑体" w:cs="黑体"/>
          <w:spacing w:val="-7"/>
          <w:w w:val="95"/>
          <w:sz w:val="26"/>
          <w:szCs w:val="26"/>
        </w:rPr>
      </w:pPr>
      <w:r>
        <w:rPr>
          <w:rFonts w:hint="eastAsia" w:ascii="黑体" w:hAnsi="黑体" w:eastAsia="黑体" w:cs="黑体"/>
          <w:spacing w:val="-7"/>
          <w:w w:val="95"/>
          <w:sz w:val="26"/>
          <w:szCs w:val="26"/>
        </w:rPr>
        <w:t>、《城镇道路路面设计规范》（CJJ169-2012）</w:t>
      </w:r>
    </w:p>
    <w:p w14:paraId="67408F15">
      <w:pPr>
        <w:pStyle w:val="10"/>
        <w:numPr>
          <w:ilvl w:val="2"/>
          <w:numId w:val="1"/>
        </w:numPr>
        <w:tabs>
          <w:tab w:val="left" w:pos="1272"/>
        </w:tabs>
        <w:spacing w:before="1" w:line="240" w:lineRule="atLeast"/>
        <w:ind w:hanging="650"/>
        <w:rPr>
          <w:rFonts w:ascii="黑体" w:hAnsi="黑体" w:eastAsia="黑体" w:cs="黑体"/>
          <w:spacing w:val="-7"/>
          <w:w w:val="95"/>
          <w:sz w:val="26"/>
          <w:szCs w:val="26"/>
        </w:rPr>
      </w:pPr>
      <w:r>
        <w:rPr>
          <w:rFonts w:hint="eastAsia" w:ascii="黑体" w:hAnsi="黑体" w:eastAsia="黑体" w:cs="黑体"/>
          <w:spacing w:val="-7"/>
          <w:w w:val="95"/>
          <w:sz w:val="26"/>
          <w:szCs w:val="26"/>
        </w:rPr>
        <w:t>、《</w:t>
      </w:r>
      <w:r>
        <w:rPr>
          <w:rFonts w:hint="eastAsia" w:ascii="黑体" w:hAnsi="黑体" w:eastAsia="黑体" w:cs="黑体"/>
          <w:spacing w:val="-7"/>
          <w:w w:val="95"/>
          <w:sz w:val="26"/>
          <w:szCs w:val="26"/>
          <w:lang w:val="en-US"/>
        </w:rPr>
        <w:t>城镇道路工程施工与质量验收规范</w:t>
      </w:r>
      <w:r>
        <w:rPr>
          <w:rFonts w:hint="eastAsia" w:ascii="黑体" w:hAnsi="黑体" w:eastAsia="黑体" w:cs="黑体"/>
          <w:spacing w:val="-7"/>
          <w:w w:val="95"/>
          <w:sz w:val="26"/>
          <w:szCs w:val="26"/>
        </w:rPr>
        <w:t>》（</w:t>
      </w:r>
      <w:r>
        <w:rPr>
          <w:rFonts w:hint="eastAsia" w:ascii="黑体" w:hAnsi="黑体" w:eastAsia="黑体" w:cs="黑体"/>
          <w:spacing w:val="-7"/>
          <w:w w:val="95"/>
          <w:sz w:val="26"/>
          <w:szCs w:val="26"/>
          <w:lang w:val="en-US"/>
        </w:rPr>
        <w:t>CJJ1-2008</w:t>
      </w:r>
      <w:r>
        <w:rPr>
          <w:rFonts w:hint="eastAsia" w:ascii="黑体" w:hAnsi="黑体" w:eastAsia="黑体" w:cs="黑体"/>
          <w:spacing w:val="-7"/>
          <w:w w:val="95"/>
          <w:sz w:val="26"/>
          <w:szCs w:val="26"/>
        </w:rPr>
        <w:t>）</w:t>
      </w:r>
    </w:p>
    <w:p w14:paraId="40461A0E">
      <w:pPr>
        <w:pStyle w:val="10"/>
        <w:numPr>
          <w:ilvl w:val="2"/>
          <w:numId w:val="1"/>
        </w:numPr>
        <w:tabs>
          <w:tab w:val="left" w:pos="1272"/>
        </w:tabs>
        <w:spacing w:before="1" w:line="240" w:lineRule="atLeast"/>
        <w:ind w:hanging="650"/>
        <w:rPr>
          <w:rFonts w:ascii="黑体" w:hAnsi="黑体" w:eastAsia="黑体" w:cs="黑体"/>
          <w:spacing w:val="-7"/>
          <w:w w:val="95"/>
          <w:sz w:val="26"/>
          <w:szCs w:val="26"/>
        </w:rPr>
      </w:pPr>
      <w:r>
        <w:rPr>
          <w:rFonts w:hint="eastAsia" w:ascii="黑体" w:hAnsi="黑体" w:eastAsia="黑体" w:cs="黑体"/>
          <w:spacing w:val="-7"/>
          <w:w w:val="95"/>
          <w:sz w:val="26"/>
          <w:szCs w:val="26"/>
        </w:rPr>
        <w:t>、</w:t>
      </w:r>
      <w:r>
        <w:rPr>
          <w:rFonts w:hint="eastAsia" w:ascii="黑体" w:hAnsi="黑体" w:eastAsia="黑体" w:cs="黑体"/>
          <w:spacing w:val="-7"/>
          <w:w w:val="95"/>
          <w:sz w:val="26"/>
          <w:szCs w:val="26"/>
          <w:lang w:val="en-US"/>
        </w:rPr>
        <w:t>《工程建设标准强制性条文》（城市建设部分）  建标［2000］202号）</w:t>
      </w:r>
    </w:p>
    <w:p w14:paraId="6EB246D2">
      <w:pPr>
        <w:pStyle w:val="10"/>
        <w:numPr>
          <w:ilvl w:val="2"/>
          <w:numId w:val="1"/>
        </w:numPr>
        <w:tabs>
          <w:tab w:val="left" w:pos="1272"/>
        </w:tabs>
        <w:spacing w:before="1" w:line="240" w:lineRule="atLeast"/>
        <w:ind w:hanging="650"/>
        <w:rPr>
          <w:rFonts w:ascii="黑体" w:hAnsi="黑体" w:eastAsia="黑体" w:cs="黑体"/>
          <w:spacing w:val="-7"/>
          <w:w w:val="95"/>
          <w:sz w:val="26"/>
          <w:szCs w:val="26"/>
          <w:lang w:val="en-US"/>
        </w:rPr>
      </w:pPr>
      <w:r>
        <w:rPr>
          <w:rFonts w:hint="eastAsia" w:ascii="黑体" w:hAnsi="黑体" w:eastAsia="黑体" w:cs="黑体"/>
          <w:spacing w:val="-7"/>
          <w:w w:val="95"/>
          <w:sz w:val="26"/>
          <w:szCs w:val="26"/>
        </w:rPr>
        <w:t>、</w:t>
      </w:r>
      <w:r>
        <w:rPr>
          <w:rFonts w:hint="eastAsia" w:ascii="黑体" w:hAnsi="黑体" w:eastAsia="黑体" w:cs="黑体"/>
          <w:spacing w:val="-7"/>
          <w:w w:val="95"/>
          <w:sz w:val="26"/>
          <w:szCs w:val="26"/>
          <w:lang w:val="en-US"/>
        </w:rPr>
        <w:t>《乡村道路工程技术规范》（GB/T 51224-2017）</w:t>
      </w:r>
    </w:p>
    <w:p w14:paraId="63385A1A">
      <w:pPr>
        <w:pStyle w:val="10"/>
        <w:numPr>
          <w:ilvl w:val="2"/>
          <w:numId w:val="1"/>
        </w:numPr>
        <w:tabs>
          <w:tab w:val="left" w:pos="1272"/>
        </w:tabs>
        <w:spacing w:before="1" w:line="240" w:lineRule="atLeast"/>
        <w:ind w:hanging="650"/>
        <w:rPr>
          <w:rFonts w:ascii="黑体" w:hAnsi="黑体" w:eastAsia="黑体" w:cs="黑体"/>
          <w:spacing w:val="-7"/>
          <w:w w:val="95"/>
          <w:sz w:val="26"/>
          <w:szCs w:val="26"/>
          <w:lang w:val="en-US"/>
        </w:rPr>
      </w:pPr>
      <w:r>
        <w:rPr>
          <w:rFonts w:hint="eastAsia" w:ascii="黑体" w:hAnsi="黑体" w:eastAsia="黑体" w:cs="黑体"/>
          <w:spacing w:val="-7"/>
          <w:w w:val="95"/>
          <w:sz w:val="26"/>
          <w:szCs w:val="26"/>
          <w:lang w:val="en-US"/>
        </w:rPr>
        <w:t>、《小交通量农村公路工程技术标准》（</w:t>
      </w:r>
      <w:r>
        <w:rPr>
          <w:rFonts w:ascii="黑体" w:hAnsi="黑体" w:eastAsia="黑体" w:cs="黑体"/>
          <w:spacing w:val="-7"/>
          <w:w w:val="95"/>
          <w:sz w:val="26"/>
          <w:szCs w:val="26"/>
          <w:lang w:val="en-US"/>
        </w:rPr>
        <w:t>JTG 2111-2019</w:t>
      </w:r>
      <w:r>
        <w:rPr>
          <w:rFonts w:hint="eastAsia" w:ascii="黑体" w:hAnsi="黑体" w:eastAsia="黑体" w:cs="黑体"/>
          <w:spacing w:val="-7"/>
          <w:w w:val="95"/>
          <w:sz w:val="26"/>
          <w:szCs w:val="26"/>
          <w:lang w:val="en-US"/>
        </w:rPr>
        <w:t>）</w:t>
      </w:r>
    </w:p>
    <w:p w14:paraId="3D872632">
      <w:pPr>
        <w:pStyle w:val="3"/>
        <w:spacing w:before="108"/>
      </w:pPr>
      <w:r>
        <w:t>四、路线</w:t>
      </w:r>
    </w:p>
    <w:p w14:paraId="04D11EAA">
      <w:pPr>
        <w:pStyle w:val="10"/>
        <w:tabs>
          <w:tab w:val="left" w:pos="664"/>
        </w:tabs>
        <w:spacing w:before="241"/>
        <w:ind w:left="0" w:firstLine="0"/>
        <w:rPr>
          <w:b/>
          <w:sz w:val="28"/>
        </w:rPr>
      </w:pPr>
      <w:r>
        <w:rPr>
          <w:rFonts w:hint="eastAsia"/>
          <w:b/>
          <w:sz w:val="28"/>
          <w:lang w:val="en-US"/>
        </w:rPr>
        <w:t xml:space="preserve">4.1 </w:t>
      </w:r>
      <w:r>
        <w:rPr>
          <w:b/>
          <w:sz w:val="28"/>
        </w:rPr>
        <w:t>布设原则</w:t>
      </w:r>
    </w:p>
    <w:p w14:paraId="659212B5">
      <w:pPr>
        <w:pStyle w:val="2"/>
        <w:spacing w:line="432" w:lineRule="auto"/>
        <w:ind w:right="167" w:firstLine="466" w:firstLineChars="200"/>
        <w:jc w:val="both"/>
        <w:rPr>
          <w:rFonts w:ascii="黑体" w:hAnsi="黑体" w:eastAsia="黑体" w:cs="黑体"/>
          <w:spacing w:val="-7"/>
          <w:w w:val="95"/>
        </w:rPr>
      </w:pPr>
      <w:r>
        <w:rPr>
          <w:rFonts w:hint="eastAsia" w:ascii="黑体" w:hAnsi="黑体" w:eastAsia="黑体" w:cs="黑体"/>
          <w:spacing w:val="-7"/>
          <w:w w:val="95"/>
        </w:rPr>
        <w:t>本次设计仅对路面进行硬底化处理设计，对原有道路平纵面不予改造；平面线位拟合旧路中心线，采用合理半径，避免采用较大的曲线半径导致路中线偏移。</w:t>
      </w:r>
    </w:p>
    <w:p w14:paraId="2FE49760">
      <w:pPr>
        <w:pStyle w:val="3"/>
        <w:numPr>
          <w:ilvl w:val="0"/>
          <w:numId w:val="2"/>
        </w:numPr>
        <w:spacing w:before="108"/>
      </w:pPr>
      <w:r>
        <w:t>路面</w:t>
      </w:r>
    </w:p>
    <w:p w14:paraId="6F900DBF"/>
    <w:p w14:paraId="046C4A5B">
      <w:pPr>
        <w:pStyle w:val="3"/>
        <w:spacing w:before="108"/>
        <w:ind w:left="0"/>
        <w:rPr>
          <w:sz w:val="28"/>
        </w:rPr>
      </w:pPr>
      <w:r>
        <w:rPr>
          <w:rFonts w:hint="eastAsia"/>
          <w:sz w:val="28"/>
          <w:lang w:val="en-US"/>
        </w:rPr>
        <w:t xml:space="preserve">5.1 </w:t>
      </w:r>
      <w:r>
        <w:rPr>
          <w:sz w:val="28"/>
        </w:rPr>
        <w:t>设计依据</w:t>
      </w:r>
    </w:p>
    <w:p w14:paraId="496D432D">
      <w:pPr>
        <w:pStyle w:val="10"/>
        <w:tabs>
          <w:tab w:val="left" w:pos="1272"/>
        </w:tabs>
        <w:ind w:left="0" w:firstLine="0"/>
        <w:rPr>
          <w:rFonts w:ascii="黑体" w:hAnsi="黑体" w:eastAsia="黑体" w:cs="黑体"/>
          <w:spacing w:val="-7"/>
          <w:w w:val="95"/>
          <w:sz w:val="26"/>
          <w:szCs w:val="26"/>
        </w:rPr>
      </w:pPr>
      <w:r>
        <w:rPr>
          <w:rFonts w:hint="eastAsia" w:ascii="黑体" w:hAnsi="黑体" w:eastAsia="黑体" w:cs="黑体"/>
          <w:spacing w:val="-7"/>
          <w:w w:val="95"/>
          <w:sz w:val="26"/>
          <w:szCs w:val="26"/>
        </w:rPr>
        <w:t>（</w:t>
      </w:r>
      <w:r>
        <w:rPr>
          <w:rFonts w:hint="eastAsia" w:ascii="黑体" w:hAnsi="黑体" w:eastAsia="黑体" w:cs="黑体"/>
          <w:spacing w:val="-7"/>
          <w:w w:val="95"/>
          <w:sz w:val="26"/>
          <w:szCs w:val="26"/>
          <w:lang w:val="en-US"/>
        </w:rPr>
        <w:t>1</w:t>
      </w:r>
      <w:r>
        <w:rPr>
          <w:rFonts w:hint="eastAsia" w:ascii="黑体" w:hAnsi="黑体" w:eastAsia="黑体" w:cs="黑体"/>
          <w:spacing w:val="-7"/>
          <w:w w:val="95"/>
          <w:sz w:val="26"/>
          <w:szCs w:val="26"/>
        </w:rPr>
        <w:t>）、</w:t>
      </w:r>
      <w:r>
        <w:rPr>
          <w:rFonts w:hint="eastAsia" w:ascii="黑体" w:hAnsi="黑体" w:eastAsia="黑体" w:cs="黑体"/>
          <w:spacing w:val="-7"/>
          <w:w w:val="95"/>
          <w:sz w:val="26"/>
          <w:szCs w:val="26"/>
          <w:lang w:val="en-US"/>
        </w:rPr>
        <w:t xml:space="preserve">《市政公用工程设计文件编制深度规定》 </w:t>
      </w:r>
    </w:p>
    <w:p w14:paraId="7FB6DF13">
      <w:pPr>
        <w:pStyle w:val="10"/>
        <w:tabs>
          <w:tab w:val="left" w:pos="1272"/>
        </w:tabs>
        <w:spacing w:before="1" w:line="240" w:lineRule="atLeast"/>
        <w:ind w:left="0" w:firstLine="0"/>
        <w:rPr>
          <w:rFonts w:ascii="黑体" w:hAnsi="黑体" w:eastAsia="黑体" w:cs="黑体"/>
          <w:spacing w:val="-7"/>
          <w:w w:val="95"/>
          <w:sz w:val="26"/>
          <w:szCs w:val="26"/>
        </w:rPr>
      </w:pPr>
      <w:r>
        <w:rPr>
          <w:rFonts w:hint="eastAsia" w:ascii="黑体" w:hAnsi="黑体" w:eastAsia="黑体" w:cs="黑体"/>
          <w:spacing w:val="-7"/>
          <w:w w:val="95"/>
          <w:sz w:val="26"/>
          <w:szCs w:val="26"/>
        </w:rPr>
        <w:t>（</w:t>
      </w:r>
      <w:r>
        <w:rPr>
          <w:rFonts w:hint="eastAsia" w:ascii="黑体" w:hAnsi="黑体" w:eastAsia="黑体" w:cs="黑体"/>
          <w:spacing w:val="-7"/>
          <w:w w:val="95"/>
          <w:sz w:val="26"/>
          <w:szCs w:val="26"/>
          <w:lang w:val="en-US"/>
        </w:rPr>
        <w:t>2</w:t>
      </w:r>
      <w:r>
        <w:rPr>
          <w:rFonts w:hint="eastAsia" w:ascii="黑体" w:hAnsi="黑体" w:eastAsia="黑体" w:cs="黑体"/>
          <w:spacing w:val="-7"/>
          <w:w w:val="95"/>
          <w:sz w:val="26"/>
          <w:szCs w:val="26"/>
        </w:rPr>
        <w:t>）、《城市道路交通设施设计规范》（</w:t>
      </w:r>
      <w:r>
        <w:rPr>
          <w:rFonts w:hint="eastAsia" w:ascii="黑体" w:hAnsi="黑体" w:eastAsia="黑体" w:cs="黑体"/>
          <w:spacing w:val="-7"/>
          <w:w w:val="95"/>
          <w:sz w:val="26"/>
          <w:szCs w:val="26"/>
          <w:lang w:val="en-US"/>
        </w:rPr>
        <w:t>2019年版</w:t>
      </w:r>
      <w:r>
        <w:rPr>
          <w:rFonts w:hint="eastAsia" w:ascii="黑体" w:hAnsi="黑体" w:eastAsia="黑体" w:cs="黑体"/>
          <w:spacing w:val="-7"/>
          <w:w w:val="95"/>
          <w:sz w:val="26"/>
          <w:szCs w:val="26"/>
        </w:rPr>
        <w:t>） GB50688-2011</w:t>
      </w:r>
    </w:p>
    <w:p w14:paraId="2598D1EB">
      <w:pPr>
        <w:pStyle w:val="10"/>
        <w:tabs>
          <w:tab w:val="left" w:pos="1272"/>
        </w:tabs>
        <w:ind w:left="0" w:firstLine="0"/>
        <w:rPr>
          <w:rFonts w:ascii="黑体" w:hAnsi="黑体" w:eastAsia="黑体" w:cs="黑体"/>
          <w:spacing w:val="-7"/>
          <w:w w:val="95"/>
          <w:sz w:val="26"/>
          <w:szCs w:val="26"/>
        </w:rPr>
      </w:pPr>
      <w:r>
        <w:rPr>
          <w:rFonts w:hint="eastAsia" w:ascii="黑体" w:hAnsi="黑体" w:eastAsia="黑体" w:cs="黑体"/>
          <w:spacing w:val="-7"/>
          <w:w w:val="95"/>
          <w:sz w:val="26"/>
          <w:szCs w:val="26"/>
        </w:rPr>
        <w:t>（</w:t>
      </w:r>
      <w:r>
        <w:rPr>
          <w:rFonts w:hint="eastAsia" w:ascii="黑体" w:hAnsi="黑体" w:eastAsia="黑体" w:cs="黑体"/>
          <w:spacing w:val="-7"/>
          <w:w w:val="95"/>
          <w:sz w:val="26"/>
          <w:szCs w:val="26"/>
          <w:lang w:val="en-US"/>
        </w:rPr>
        <w:t>3</w:t>
      </w:r>
      <w:r>
        <w:rPr>
          <w:rFonts w:hint="eastAsia" w:ascii="黑体" w:hAnsi="黑体" w:eastAsia="黑体" w:cs="黑体"/>
          <w:spacing w:val="-7"/>
          <w:w w:val="95"/>
          <w:sz w:val="26"/>
          <w:szCs w:val="26"/>
        </w:rPr>
        <w:t>）、《</w:t>
      </w:r>
      <w:r>
        <w:rPr>
          <w:rFonts w:hint="eastAsia" w:ascii="黑体" w:hAnsi="黑体" w:eastAsia="黑体" w:cs="黑体"/>
          <w:spacing w:val="-7"/>
          <w:w w:val="95"/>
          <w:sz w:val="26"/>
          <w:szCs w:val="26"/>
          <w:lang w:val="en-US"/>
        </w:rPr>
        <w:t>城市道路</w:t>
      </w:r>
      <w:r>
        <w:rPr>
          <w:rFonts w:hint="eastAsia" w:ascii="黑体" w:hAnsi="黑体" w:eastAsia="黑体" w:cs="黑体"/>
          <w:spacing w:val="-7"/>
          <w:w w:val="95"/>
          <w:sz w:val="26"/>
          <w:szCs w:val="26"/>
        </w:rPr>
        <w:t>路基设计规范》（</w:t>
      </w:r>
      <w:r>
        <w:rPr>
          <w:rFonts w:hint="eastAsia" w:ascii="黑体" w:hAnsi="黑体" w:eastAsia="黑体" w:cs="黑体"/>
          <w:spacing w:val="-7"/>
          <w:w w:val="95"/>
          <w:sz w:val="26"/>
          <w:szCs w:val="26"/>
          <w:lang w:val="en-US"/>
        </w:rPr>
        <w:t>CJJ194-2013</w:t>
      </w:r>
      <w:r>
        <w:rPr>
          <w:rFonts w:hint="eastAsia" w:ascii="黑体" w:hAnsi="黑体" w:eastAsia="黑体" w:cs="黑体"/>
          <w:spacing w:val="-7"/>
          <w:w w:val="95"/>
          <w:sz w:val="26"/>
          <w:szCs w:val="26"/>
        </w:rPr>
        <w:t>）</w:t>
      </w:r>
    </w:p>
    <w:p w14:paraId="72B9DB24">
      <w:pPr>
        <w:pStyle w:val="10"/>
        <w:tabs>
          <w:tab w:val="left" w:pos="1272"/>
        </w:tabs>
        <w:ind w:left="0" w:firstLine="0"/>
        <w:rPr>
          <w:rFonts w:ascii="黑体" w:hAnsi="黑体" w:eastAsia="黑体" w:cs="黑体"/>
          <w:spacing w:val="-7"/>
          <w:w w:val="95"/>
          <w:sz w:val="26"/>
          <w:szCs w:val="26"/>
        </w:rPr>
      </w:pPr>
      <w:r>
        <w:rPr>
          <w:rFonts w:hint="eastAsia" w:ascii="黑体" w:hAnsi="黑体" w:eastAsia="黑体" w:cs="黑体"/>
          <w:spacing w:val="-7"/>
          <w:w w:val="95"/>
          <w:sz w:val="26"/>
          <w:szCs w:val="26"/>
        </w:rPr>
        <w:t>（</w:t>
      </w:r>
      <w:r>
        <w:rPr>
          <w:rFonts w:hint="eastAsia" w:ascii="黑体" w:hAnsi="黑体" w:eastAsia="黑体" w:cs="黑体"/>
          <w:spacing w:val="-7"/>
          <w:w w:val="95"/>
          <w:sz w:val="26"/>
          <w:szCs w:val="26"/>
          <w:lang w:val="en-US"/>
        </w:rPr>
        <w:t>4</w:t>
      </w:r>
      <w:r>
        <w:rPr>
          <w:rFonts w:hint="eastAsia" w:ascii="黑体" w:hAnsi="黑体" w:eastAsia="黑体" w:cs="黑体"/>
          <w:spacing w:val="-7"/>
          <w:w w:val="95"/>
          <w:sz w:val="26"/>
          <w:szCs w:val="26"/>
        </w:rPr>
        <w:t>）、《城镇道路路面设计规范》（CJJ169-2012）</w:t>
      </w:r>
    </w:p>
    <w:p w14:paraId="5F18EBD0">
      <w:pPr>
        <w:pStyle w:val="10"/>
        <w:tabs>
          <w:tab w:val="left" w:pos="1272"/>
        </w:tabs>
        <w:ind w:left="0" w:firstLine="0"/>
        <w:rPr>
          <w:rFonts w:ascii="黑体" w:hAnsi="黑体" w:eastAsia="黑体" w:cs="黑体"/>
          <w:spacing w:val="-7"/>
          <w:w w:val="95"/>
          <w:sz w:val="26"/>
          <w:szCs w:val="26"/>
        </w:rPr>
      </w:pPr>
      <w:r>
        <w:rPr>
          <w:rFonts w:hint="eastAsia" w:ascii="黑体" w:hAnsi="黑体" w:eastAsia="黑体" w:cs="黑体"/>
          <w:spacing w:val="-7"/>
          <w:w w:val="95"/>
          <w:sz w:val="26"/>
          <w:szCs w:val="26"/>
        </w:rPr>
        <w:t>（</w:t>
      </w:r>
      <w:r>
        <w:rPr>
          <w:rFonts w:hint="eastAsia" w:ascii="黑体" w:hAnsi="黑体" w:eastAsia="黑体" w:cs="黑体"/>
          <w:spacing w:val="-7"/>
          <w:w w:val="95"/>
          <w:sz w:val="26"/>
          <w:szCs w:val="26"/>
          <w:lang w:val="en-US"/>
        </w:rPr>
        <w:t>5</w:t>
      </w:r>
      <w:r>
        <w:rPr>
          <w:rFonts w:hint="eastAsia" w:ascii="黑体" w:hAnsi="黑体" w:eastAsia="黑体" w:cs="黑体"/>
          <w:spacing w:val="-7"/>
          <w:w w:val="95"/>
          <w:sz w:val="26"/>
          <w:szCs w:val="26"/>
        </w:rPr>
        <w:t>）、《混凝土结构加固设计规范》（GB 50367-2013）</w:t>
      </w:r>
    </w:p>
    <w:p w14:paraId="5A1B6E97">
      <w:pPr>
        <w:pStyle w:val="10"/>
        <w:tabs>
          <w:tab w:val="left" w:pos="1272"/>
        </w:tabs>
        <w:ind w:left="0" w:firstLine="0"/>
        <w:rPr>
          <w:rFonts w:ascii="黑体" w:hAnsi="黑体" w:eastAsia="黑体" w:cs="黑体"/>
          <w:spacing w:val="-7"/>
          <w:w w:val="95"/>
          <w:sz w:val="26"/>
          <w:szCs w:val="26"/>
        </w:rPr>
      </w:pPr>
      <w:r>
        <w:rPr>
          <w:rFonts w:hint="eastAsia" w:ascii="黑体" w:hAnsi="黑体" w:eastAsia="黑体" w:cs="黑体"/>
          <w:spacing w:val="-7"/>
          <w:w w:val="95"/>
          <w:sz w:val="26"/>
          <w:szCs w:val="26"/>
        </w:rPr>
        <w:t>（</w:t>
      </w:r>
      <w:r>
        <w:rPr>
          <w:rFonts w:hint="eastAsia" w:ascii="黑体" w:hAnsi="黑体" w:eastAsia="黑体" w:cs="黑体"/>
          <w:spacing w:val="-7"/>
          <w:w w:val="95"/>
          <w:sz w:val="26"/>
          <w:szCs w:val="26"/>
          <w:lang w:val="en-US"/>
        </w:rPr>
        <w:t>6</w:t>
      </w:r>
      <w:r>
        <w:rPr>
          <w:rFonts w:hint="eastAsia" w:ascii="黑体" w:hAnsi="黑体" w:eastAsia="黑体" w:cs="黑体"/>
          <w:spacing w:val="-7"/>
          <w:w w:val="95"/>
          <w:sz w:val="26"/>
          <w:szCs w:val="26"/>
        </w:rPr>
        <w:t>）、</w:t>
      </w:r>
      <w:r>
        <w:rPr>
          <w:rFonts w:hint="eastAsia" w:ascii="黑体" w:hAnsi="黑体" w:eastAsia="黑体" w:cs="黑体"/>
          <w:spacing w:val="-7"/>
          <w:w w:val="95"/>
          <w:sz w:val="26"/>
          <w:szCs w:val="26"/>
          <w:lang w:val="en-US"/>
        </w:rPr>
        <w:t>国家及行业现行有关规范、标准、规程和规定等</w:t>
      </w:r>
    </w:p>
    <w:p w14:paraId="696E8380">
      <w:pPr>
        <w:pStyle w:val="2"/>
        <w:spacing w:line="432" w:lineRule="auto"/>
        <w:ind w:right="167"/>
        <w:jc w:val="both"/>
        <w:rPr>
          <w:rFonts w:ascii="黑体" w:hAnsi="黑体" w:eastAsia="黑体" w:cs="黑体"/>
          <w:b/>
          <w:bCs/>
          <w:sz w:val="28"/>
          <w:szCs w:val="30"/>
          <w:lang w:val="en-US"/>
        </w:rPr>
      </w:pPr>
      <w:r>
        <w:rPr>
          <w:rFonts w:hint="eastAsia" w:ascii="黑体" w:hAnsi="黑体" w:eastAsia="黑体" w:cs="黑体"/>
          <w:b/>
          <w:bCs/>
          <w:sz w:val="28"/>
          <w:szCs w:val="30"/>
          <w:lang w:val="en-US"/>
        </w:rPr>
        <w:t>5.2.2 设计要点</w:t>
      </w:r>
    </w:p>
    <w:p w14:paraId="4FB7ADE0">
      <w:pPr>
        <w:pStyle w:val="2"/>
        <w:spacing w:line="432" w:lineRule="auto"/>
        <w:ind w:right="167" w:firstLine="466" w:firstLineChars="200"/>
        <w:jc w:val="both"/>
        <w:rPr>
          <w:rFonts w:ascii="黑体" w:hAnsi="黑体" w:eastAsia="黑体" w:cs="黑体"/>
          <w:spacing w:val="-7"/>
          <w:w w:val="95"/>
        </w:rPr>
      </w:pPr>
      <w:r>
        <w:rPr>
          <w:rFonts w:hint="eastAsia" w:ascii="黑体" w:hAnsi="黑体" w:eastAsia="黑体" w:cs="黑体"/>
          <w:spacing w:val="-7"/>
          <w:w w:val="95"/>
        </w:rPr>
        <w:t xml:space="preserve">根据现场的实际情况及业主的要求，路基宽度约为 </w:t>
      </w:r>
      <w:r>
        <w:rPr>
          <w:rFonts w:hint="eastAsia" w:ascii="黑体" w:hAnsi="黑体" w:eastAsia="黑体" w:cs="黑体"/>
          <w:spacing w:val="-7"/>
          <w:w w:val="95"/>
          <w:lang w:val="en-US" w:eastAsia="zh-CN"/>
        </w:rPr>
        <w:t>5</w:t>
      </w:r>
      <w:r>
        <w:rPr>
          <w:rFonts w:hint="eastAsia" w:ascii="黑体" w:hAnsi="黑体" w:eastAsia="黑体" w:cs="黑体"/>
          <w:spacing w:val="-7"/>
          <w:w w:val="95"/>
        </w:rPr>
        <w:t>米，路面宽度约为</w:t>
      </w:r>
      <w:r>
        <w:rPr>
          <w:rFonts w:hint="eastAsia" w:ascii="黑体" w:hAnsi="黑体" w:eastAsia="黑体" w:cs="黑体"/>
          <w:spacing w:val="-7"/>
          <w:w w:val="95"/>
          <w:lang w:val="en-US" w:eastAsia="zh-CN"/>
        </w:rPr>
        <w:t>4</w:t>
      </w:r>
      <w:r>
        <w:rPr>
          <w:rFonts w:hint="eastAsia" w:ascii="黑体" w:hAnsi="黑体" w:eastAsia="黑体" w:cs="黑体"/>
          <w:spacing w:val="-7"/>
          <w:w w:val="95"/>
        </w:rPr>
        <w:t>米，采用水泥混凝土路面结构。</w:t>
      </w:r>
    </w:p>
    <w:p w14:paraId="54964530">
      <w:pPr>
        <w:pStyle w:val="2"/>
        <w:spacing w:line="432" w:lineRule="auto"/>
        <w:ind w:right="167"/>
        <w:jc w:val="both"/>
        <w:rPr>
          <w:rFonts w:ascii="黑体" w:hAnsi="黑体" w:eastAsia="黑体" w:cs="黑体"/>
          <w:spacing w:val="-7"/>
          <w:w w:val="95"/>
        </w:rPr>
      </w:pPr>
      <w:r>
        <w:rPr>
          <w:rFonts w:hint="eastAsia" w:ascii="黑体" w:hAnsi="黑体" w:eastAsia="黑体" w:cs="黑体"/>
          <w:spacing w:val="-7"/>
          <w:w w:val="95"/>
        </w:rPr>
        <w:t>（</w:t>
      </w:r>
      <w:r>
        <w:rPr>
          <w:rFonts w:hint="eastAsia" w:ascii="黑体" w:hAnsi="黑体" w:eastAsia="黑体" w:cs="黑体"/>
          <w:spacing w:val="-7"/>
          <w:w w:val="95"/>
          <w:lang w:val="en-US"/>
        </w:rPr>
        <w:t>1</w:t>
      </w:r>
      <w:r>
        <w:rPr>
          <w:rFonts w:hint="eastAsia" w:ascii="黑体" w:hAnsi="黑体" w:eastAsia="黑体" w:cs="黑体"/>
          <w:spacing w:val="-7"/>
          <w:w w:val="95"/>
        </w:rPr>
        <w:t>）路面面层采用水泥混凝土面板，设计使用年限 10 年。路面设计抗弯拉强度</w:t>
      </w:r>
      <w:r>
        <w:rPr>
          <w:rFonts w:hint="eastAsia" w:ascii="黑体" w:hAnsi="黑体" w:eastAsia="黑体" w:cs="黑体"/>
          <w:spacing w:val="-7"/>
          <w:w w:val="95"/>
          <w:lang w:val="en-US" w:eastAsia="zh-CN"/>
        </w:rPr>
        <w:t>3.5</w:t>
      </w:r>
      <w:r>
        <w:rPr>
          <w:rFonts w:hint="eastAsia" w:ascii="黑体" w:hAnsi="黑体" w:eastAsia="黑体" w:cs="黑体"/>
          <w:spacing w:val="-7"/>
          <w:w w:val="95"/>
        </w:rPr>
        <w:t>Mpa，设计</w:t>
      </w:r>
      <w:r>
        <w:rPr>
          <w:rFonts w:hint="eastAsia" w:ascii="黑体" w:hAnsi="黑体" w:eastAsia="黑体" w:cs="黑体"/>
          <w:spacing w:val="-7"/>
          <w:w w:val="95"/>
          <w:lang w:val="en-US"/>
        </w:rPr>
        <w:t>村道</w:t>
      </w:r>
      <w:r>
        <w:rPr>
          <w:rFonts w:hint="eastAsia" w:ascii="黑体" w:hAnsi="黑体" w:eastAsia="黑体" w:cs="黑体"/>
          <w:spacing w:val="-7"/>
          <w:w w:val="95"/>
          <w:lang w:val="en-US" w:eastAsia="zh-CN"/>
        </w:rPr>
        <w:t>混凝土</w:t>
      </w:r>
      <w:r>
        <w:rPr>
          <w:rFonts w:hint="eastAsia" w:ascii="黑体" w:hAnsi="黑体" w:eastAsia="黑体" w:cs="黑体"/>
          <w:spacing w:val="-7"/>
          <w:w w:val="95"/>
        </w:rPr>
        <w:t>厚度为</w:t>
      </w:r>
      <w:r>
        <w:rPr>
          <w:rFonts w:hint="eastAsia" w:ascii="黑体" w:hAnsi="黑体" w:eastAsia="黑体" w:cs="黑体"/>
          <w:spacing w:val="-7"/>
          <w:w w:val="95"/>
          <w:lang w:val="en-US" w:eastAsia="zh-CN"/>
        </w:rPr>
        <w:t>18</w:t>
      </w:r>
      <w:r>
        <w:rPr>
          <w:rFonts w:hint="eastAsia" w:ascii="黑体" w:hAnsi="黑体" w:eastAsia="黑体" w:cs="黑体"/>
          <w:spacing w:val="-7"/>
          <w:w w:val="95"/>
        </w:rPr>
        <w:t>cm。</w:t>
      </w:r>
    </w:p>
    <w:p w14:paraId="23E921F9">
      <w:pPr>
        <w:pStyle w:val="2"/>
        <w:spacing w:line="432" w:lineRule="auto"/>
        <w:ind w:right="167"/>
        <w:jc w:val="both"/>
        <w:rPr>
          <w:rFonts w:ascii="黑体" w:hAnsi="黑体" w:eastAsia="黑体" w:cs="黑体"/>
          <w:spacing w:val="-7"/>
          <w:w w:val="95"/>
        </w:rPr>
      </w:pPr>
      <w:r>
        <w:rPr>
          <w:rFonts w:hint="eastAsia" w:ascii="黑体" w:hAnsi="黑体" w:eastAsia="黑体" w:cs="黑体"/>
          <w:spacing w:val="-7"/>
          <w:w w:val="95"/>
        </w:rPr>
        <w:t>（</w:t>
      </w:r>
      <w:r>
        <w:rPr>
          <w:rFonts w:hint="eastAsia" w:ascii="黑体" w:hAnsi="黑体" w:eastAsia="黑体" w:cs="黑体"/>
          <w:spacing w:val="-7"/>
          <w:w w:val="95"/>
          <w:lang w:val="en-US"/>
        </w:rPr>
        <w:t>2</w:t>
      </w:r>
      <w:r>
        <w:rPr>
          <w:rFonts w:hint="eastAsia" w:ascii="黑体" w:hAnsi="黑体" w:eastAsia="黑体" w:cs="黑体"/>
          <w:spacing w:val="-7"/>
          <w:w w:val="95"/>
        </w:rPr>
        <w:t>）水泥砼路面抗滑指标:：表面压防滑纹，一般路段构造深度为 0.5～1.0mm， 转弯路段构造深度为 0.6～1.10mm。</w:t>
      </w:r>
    </w:p>
    <w:p w14:paraId="41C917A3">
      <w:pPr>
        <w:pStyle w:val="2"/>
        <w:spacing w:line="432" w:lineRule="auto"/>
        <w:ind w:right="167"/>
        <w:jc w:val="both"/>
      </w:pPr>
      <w:r>
        <w:rPr>
          <w:rFonts w:hint="eastAsia" w:ascii="黑体" w:hAnsi="黑体" w:eastAsia="黑体" w:cs="黑体"/>
          <w:b/>
          <w:bCs/>
          <w:sz w:val="28"/>
          <w:szCs w:val="30"/>
          <w:lang w:val="en-US"/>
        </w:rPr>
        <w:t xml:space="preserve">5.2.3 </w:t>
      </w:r>
      <w:r>
        <w:rPr>
          <w:rFonts w:ascii="黑体" w:hAnsi="黑体" w:eastAsia="黑体" w:cs="黑体"/>
          <w:b/>
          <w:bCs/>
          <w:sz w:val="28"/>
          <w:szCs w:val="30"/>
          <w:lang w:val="en-US"/>
        </w:rPr>
        <w:t>路面结构</w:t>
      </w:r>
    </w:p>
    <w:p w14:paraId="5A9C9B4F">
      <w:pPr>
        <w:pStyle w:val="2"/>
        <w:spacing w:line="432" w:lineRule="auto"/>
        <w:ind w:right="167" w:firstLine="466" w:firstLineChars="200"/>
        <w:jc w:val="both"/>
        <w:rPr>
          <w:rFonts w:ascii="黑体" w:hAnsi="黑体" w:eastAsia="黑体" w:cs="黑体"/>
          <w:spacing w:val="-7"/>
          <w:w w:val="95"/>
        </w:rPr>
      </w:pPr>
      <w:r>
        <w:rPr>
          <w:rFonts w:hint="eastAsia" w:ascii="黑体" w:hAnsi="黑体" w:eastAsia="黑体" w:cs="黑体"/>
          <w:spacing w:val="-7"/>
          <w:w w:val="95"/>
        </w:rPr>
        <w:t>全路段采用混凝土路面，其</w:t>
      </w:r>
      <w:r>
        <w:rPr>
          <w:rFonts w:hint="eastAsia" w:ascii="黑体" w:hAnsi="黑体" w:eastAsia="黑体" w:cs="黑体"/>
          <w:spacing w:val="-7"/>
          <w:w w:val="95"/>
          <w:lang w:val="en-US"/>
        </w:rPr>
        <w:t>村道</w:t>
      </w:r>
      <w:r>
        <w:rPr>
          <w:rFonts w:hint="eastAsia" w:ascii="黑体" w:hAnsi="黑体" w:eastAsia="黑体" w:cs="黑体"/>
          <w:spacing w:val="-7"/>
          <w:w w:val="95"/>
        </w:rPr>
        <w:t>路面结构组成如下：</w:t>
      </w:r>
    </w:p>
    <w:p w14:paraId="44FF1066">
      <w:pPr>
        <w:pStyle w:val="2"/>
        <w:spacing w:line="432" w:lineRule="auto"/>
        <w:ind w:right="167" w:firstLine="466" w:firstLineChars="200"/>
        <w:jc w:val="both"/>
        <w:rPr>
          <w:rFonts w:ascii="黑体" w:hAnsi="黑体" w:eastAsia="黑体" w:cs="黑体"/>
          <w:spacing w:val="-7"/>
          <w:w w:val="95"/>
        </w:rPr>
      </w:pPr>
      <w:r>
        <w:rPr>
          <w:rFonts w:hint="eastAsia" w:ascii="黑体" w:hAnsi="黑体" w:eastAsia="黑体" w:cs="黑体"/>
          <w:spacing w:val="-7"/>
          <w:w w:val="95"/>
        </w:rPr>
        <w:t>面层：</w:t>
      </w:r>
      <w:r>
        <w:rPr>
          <w:rFonts w:hint="eastAsia" w:ascii="黑体" w:hAnsi="黑体" w:eastAsia="黑体" w:cs="黑体"/>
          <w:spacing w:val="-7"/>
          <w:w w:val="95"/>
          <w:lang w:val="en-US" w:eastAsia="zh-CN"/>
        </w:rPr>
        <w:t>18</w:t>
      </w:r>
      <w:r>
        <w:rPr>
          <w:rFonts w:hint="eastAsia" w:ascii="黑体" w:hAnsi="黑体" w:eastAsia="黑体" w:cs="黑体"/>
          <w:spacing w:val="-7"/>
          <w:w w:val="95"/>
        </w:rPr>
        <w:t>cm 厚 fr=</w:t>
      </w:r>
      <w:r>
        <w:rPr>
          <w:rFonts w:hint="eastAsia" w:ascii="黑体" w:hAnsi="黑体" w:eastAsia="黑体" w:cs="黑体"/>
          <w:spacing w:val="-7"/>
          <w:w w:val="95"/>
          <w:lang w:val="en-US" w:eastAsia="zh-CN"/>
        </w:rPr>
        <w:t>3.5</w:t>
      </w:r>
      <w:bookmarkStart w:id="0" w:name="_GoBack"/>
      <w:bookmarkEnd w:id="0"/>
      <w:r>
        <w:rPr>
          <w:rFonts w:hint="eastAsia" w:ascii="黑体" w:hAnsi="黑体" w:eastAsia="黑体" w:cs="黑体"/>
          <w:spacing w:val="-7"/>
          <w:w w:val="95"/>
        </w:rPr>
        <w:t>MPa 水泥砼面层</w:t>
      </w:r>
    </w:p>
    <w:p w14:paraId="196D71AF">
      <w:pPr>
        <w:ind w:firstLine="466" w:firstLineChars="200"/>
        <w:rPr>
          <w:rFonts w:hint="eastAsia" w:ascii="黑体" w:hAnsi="黑体" w:eastAsia="黑体" w:cs="黑体"/>
          <w:spacing w:val="-7"/>
          <w:w w:val="95"/>
          <w:sz w:val="26"/>
          <w:szCs w:val="26"/>
          <w:lang w:val="en-US" w:eastAsia="zh-CN" w:bidi="zh-CN"/>
        </w:rPr>
      </w:pPr>
      <w:r>
        <w:rPr>
          <w:rFonts w:hint="eastAsia" w:ascii="黑体" w:hAnsi="黑体" w:eastAsia="黑体" w:cs="黑体"/>
          <w:spacing w:val="-7"/>
          <w:w w:val="95"/>
          <w:sz w:val="26"/>
          <w:szCs w:val="26"/>
          <w:lang w:val="zh-CN" w:eastAsia="zh-CN" w:bidi="zh-CN"/>
        </w:rPr>
        <w:t>调平层：平均</w:t>
      </w:r>
      <w:r>
        <w:rPr>
          <w:rFonts w:hint="eastAsia" w:ascii="黑体" w:hAnsi="黑体" w:eastAsia="黑体" w:cs="黑体"/>
          <w:spacing w:val="-7"/>
          <w:w w:val="95"/>
          <w:sz w:val="26"/>
          <w:szCs w:val="26"/>
          <w:lang w:val="en-US" w:eastAsia="zh-CN" w:bidi="zh-CN"/>
        </w:rPr>
        <w:t>10</w:t>
      </w:r>
      <w:r>
        <w:rPr>
          <w:rFonts w:hint="eastAsia" w:ascii="黑体" w:hAnsi="黑体" w:eastAsia="黑体" w:cs="黑体"/>
          <w:spacing w:val="-7"/>
          <w:w w:val="95"/>
          <w:sz w:val="26"/>
          <w:szCs w:val="26"/>
          <w:lang w:val="zh-CN" w:eastAsia="zh-CN" w:bidi="zh-CN"/>
        </w:rPr>
        <w:t>cm 厚级配碎石调平层（全路段满铺</w:t>
      </w:r>
      <w:r>
        <w:rPr>
          <w:rFonts w:hint="eastAsia" w:ascii="黑体" w:hAnsi="黑体" w:eastAsia="黑体" w:cs="黑体"/>
          <w:spacing w:val="-7"/>
          <w:w w:val="95"/>
          <w:sz w:val="26"/>
          <w:szCs w:val="26"/>
          <w:lang w:val="en-US" w:eastAsia="zh-CN" w:bidi="zh-CN"/>
        </w:rPr>
        <w:t>）</w:t>
      </w:r>
    </w:p>
    <w:p w14:paraId="17D6E032">
      <w:pPr>
        <w:pStyle w:val="2"/>
        <w:spacing w:line="432" w:lineRule="auto"/>
        <w:ind w:right="167" w:firstLine="466" w:firstLineChars="200"/>
        <w:jc w:val="both"/>
        <w:rPr>
          <w:rFonts w:hint="eastAsia" w:ascii="黑体" w:hAnsi="黑体" w:eastAsia="黑体" w:cs="黑体"/>
          <w:spacing w:val="-7"/>
          <w:w w:val="95"/>
          <w:lang w:val="en-US" w:eastAsia="zh-CN"/>
        </w:rPr>
      </w:pPr>
      <w:r>
        <w:rPr>
          <w:rFonts w:hint="eastAsia" w:ascii="黑体" w:hAnsi="黑体" w:eastAsia="黑体" w:cs="黑体"/>
          <w:spacing w:val="-7"/>
          <w:w w:val="95"/>
          <w:lang w:val="en-US" w:eastAsia="zh-CN"/>
        </w:rPr>
        <w:t>回弹模量：30MPa</w:t>
      </w:r>
    </w:p>
    <w:p w14:paraId="33E63756">
      <w:pPr>
        <w:pStyle w:val="2"/>
        <w:spacing w:line="432" w:lineRule="auto"/>
        <w:ind w:right="167" w:firstLine="466" w:firstLineChars="200"/>
        <w:jc w:val="both"/>
        <w:rPr>
          <w:rFonts w:hint="eastAsia" w:ascii="黑体" w:hAnsi="黑体" w:eastAsia="黑体" w:cs="黑体"/>
          <w:spacing w:val="-7"/>
          <w:w w:val="95"/>
          <w:lang w:val="en-US" w:eastAsia="zh-CN"/>
        </w:rPr>
      </w:pPr>
      <w:r>
        <w:rPr>
          <w:rFonts w:hint="eastAsia" w:ascii="黑体" w:hAnsi="黑体" w:eastAsia="黑体" w:cs="黑体"/>
          <w:spacing w:val="-7"/>
          <w:w w:val="95"/>
          <w:lang w:val="en-US" w:eastAsia="zh-CN"/>
        </w:rPr>
        <w:t>压实度≥94%</w:t>
      </w:r>
    </w:p>
    <w:p w14:paraId="4B823EE5">
      <w:pPr>
        <w:pStyle w:val="2"/>
        <w:spacing w:line="432" w:lineRule="auto"/>
        <w:ind w:right="167" w:firstLine="466" w:firstLineChars="200"/>
        <w:jc w:val="both"/>
        <w:rPr>
          <w:rFonts w:hint="default" w:ascii="黑体" w:hAnsi="黑体" w:eastAsia="黑体" w:cs="黑体"/>
          <w:spacing w:val="-7"/>
          <w:w w:val="95"/>
          <w:lang w:val="en-US" w:eastAsia="zh-CN"/>
        </w:rPr>
      </w:pPr>
      <w:r>
        <w:rPr>
          <w:rFonts w:hint="eastAsia" w:ascii="黑体" w:hAnsi="黑体" w:eastAsia="黑体" w:cs="黑体"/>
          <w:spacing w:val="-7"/>
          <w:w w:val="95"/>
          <w:lang w:val="en-US" w:eastAsia="zh-CN"/>
        </w:rPr>
        <w:t>路基顶面弯沉值≤260</w:t>
      </w:r>
    </w:p>
    <w:p w14:paraId="00A1BFCC">
      <w:pPr>
        <w:pStyle w:val="2"/>
        <w:rPr>
          <w:lang w:val="en-US"/>
        </w:rPr>
      </w:pPr>
    </w:p>
    <w:p w14:paraId="0A8D23A1">
      <w:pPr>
        <w:pStyle w:val="3"/>
        <w:tabs>
          <w:tab w:val="left" w:pos="784"/>
        </w:tabs>
        <w:spacing w:before="218"/>
        <w:ind w:left="0"/>
      </w:pPr>
      <w:r>
        <w:rPr>
          <w:rFonts w:hint="eastAsia"/>
          <w:lang w:val="en-US"/>
        </w:rPr>
        <w:t xml:space="preserve">5.2.4 </w:t>
      </w:r>
      <w:r>
        <w:t>路面加宽</w:t>
      </w:r>
    </w:p>
    <w:p w14:paraId="639C86EB">
      <w:pPr>
        <w:pStyle w:val="2"/>
        <w:spacing w:before="259" w:line="403" w:lineRule="auto"/>
        <w:ind w:right="38" w:firstLine="462" w:firstLineChars="200"/>
        <w:rPr>
          <w:spacing w:val="-8"/>
          <w:w w:val="95"/>
          <w:lang w:val="en-US"/>
        </w:rPr>
      </w:pPr>
      <w:r>
        <w:rPr>
          <w:rFonts w:hint="eastAsia" w:ascii="黑体" w:hAnsi="黑体" w:eastAsia="黑体" w:cs="黑体"/>
          <w:spacing w:val="-8"/>
          <w:w w:val="95"/>
        </w:rPr>
        <w:t>项目路段多处于乡村地区，公路等级低、路基较窄、线形较差、急弯较多、行车视距较差，根据现场实际情况有效进行路面加宽或裁弯取直处理，优化弯道半</w:t>
      </w:r>
      <w:r>
        <w:rPr>
          <w:rFonts w:hint="eastAsia" w:ascii="黑体" w:hAnsi="黑体" w:eastAsia="黑体" w:cs="黑体"/>
          <w:spacing w:val="-8"/>
          <w:w w:val="95"/>
          <w:lang w:val="en-US"/>
        </w:rPr>
        <w:t>经及弯道加宽</w:t>
      </w:r>
      <w:r>
        <w:rPr>
          <w:rFonts w:hint="eastAsia"/>
          <w:spacing w:val="-8"/>
          <w:w w:val="95"/>
          <w:lang w:val="en-US"/>
        </w:rPr>
        <w:t>。</w:t>
      </w:r>
    </w:p>
    <w:p w14:paraId="39E91E96">
      <w:pPr>
        <w:rPr>
          <w:lang w:val="en-US"/>
        </w:rPr>
      </w:pPr>
    </w:p>
    <w:p w14:paraId="2A50A3A8">
      <w:pPr>
        <w:pStyle w:val="2"/>
        <w:rPr>
          <w:lang w:val="en-US"/>
        </w:rPr>
      </w:pPr>
    </w:p>
    <w:p w14:paraId="356BECC2">
      <w:pPr>
        <w:rPr>
          <w:lang w:val="en-US"/>
        </w:rPr>
      </w:pPr>
    </w:p>
    <w:p w14:paraId="06F0BE64">
      <w:pPr>
        <w:pStyle w:val="3"/>
      </w:pPr>
      <w:r>
        <w:rPr>
          <w:rFonts w:hint="eastAsia"/>
          <w:lang w:val="en-US"/>
        </w:rPr>
        <w:t xml:space="preserve">5.2.5 </w:t>
      </w:r>
      <w:r>
        <w:t>路基路面排水系统及防护工程设计情况</w:t>
      </w:r>
    </w:p>
    <w:p w14:paraId="5CC4ADB6">
      <w:pPr>
        <w:pStyle w:val="2"/>
        <w:spacing w:before="258"/>
        <w:ind w:left="740"/>
        <w:rPr>
          <w:rFonts w:ascii="黑体" w:hAnsi="黑体" w:eastAsia="黑体" w:cs="黑体"/>
        </w:rPr>
      </w:pPr>
      <w:r>
        <w:rPr>
          <w:rFonts w:hint="eastAsia" w:ascii="黑体" w:hAnsi="黑体" w:eastAsia="黑体" w:cs="黑体"/>
        </w:rPr>
        <w:t>排水系统为路面散排。横坡为 1.5%，散排到附近新建沟渠中。</w:t>
      </w:r>
    </w:p>
    <w:p w14:paraId="0048FF7B">
      <w:pPr>
        <w:spacing w:before="220"/>
        <w:ind w:left="221"/>
        <w:rPr>
          <w:rFonts w:ascii="黑体" w:eastAsia="黑体"/>
          <w:b/>
          <w:sz w:val="30"/>
        </w:rPr>
      </w:pPr>
      <w:r>
        <w:rPr>
          <w:rFonts w:hint="eastAsia" w:ascii="黑体" w:eastAsia="黑体"/>
          <w:b/>
          <w:sz w:val="30"/>
        </w:rPr>
        <w:t>六、主要材料技术要求</w:t>
      </w:r>
    </w:p>
    <w:p w14:paraId="0B7DB56E">
      <w:pPr>
        <w:pStyle w:val="2"/>
        <w:spacing w:before="89" w:line="403" w:lineRule="auto"/>
        <w:ind w:left="221" w:right="235" w:firstLine="520"/>
        <w:jc w:val="both"/>
        <w:rPr>
          <w:rFonts w:ascii="黑体" w:hAnsi="黑体" w:eastAsia="黑体" w:cs="黑体"/>
          <w:spacing w:val="-6"/>
        </w:rPr>
      </w:pPr>
      <w:r>
        <w:rPr>
          <w:rFonts w:hint="eastAsia" w:ascii="黑体" w:hAnsi="黑体" w:eastAsia="黑体" w:cs="黑体"/>
          <w:spacing w:val="-6"/>
        </w:rPr>
        <w:t>路面材料根据当地材料供应情况确定，水泥混凝土各种材料的技术指标必须符合</w:t>
      </w:r>
      <w:r>
        <w:rPr>
          <w:rFonts w:hint="eastAsia" w:ascii="黑体" w:hAnsi="黑体" w:eastAsia="黑体" w:cs="黑体"/>
        </w:rPr>
        <w:t>《公路路基施工技术规范》(JTG/T</w:t>
      </w:r>
      <w:r>
        <w:rPr>
          <w:rFonts w:hint="eastAsia" w:ascii="黑体" w:hAnsi="黑体" w:eastAsia="黑体" w:cs="黑体"/>
          <w:spacing w:val="-17"/>
        </w:rPr>
        <w:t xml:space="preserve"> </w:t>
      </w:r>
      <w:r>
        <w:rPr>
          <w:rFonts w:hint="eastAsia" w:ascii="黑体" w:hAnsi="黑体" w:eastAsia="黑体" w:cs="黑体"/>
        </w:rPr>
        <w:t>3610-2019)、《公路水泥混凝土路面施工技术细则》（JTG/T F30-2014）</w:t>
      </w:r>
      <w:r>
        <w:rPr>
          <w:rFonts w:hint="eastAsia" w:ascii="黑体" w:hAnsi="黑体" w:eastAsia="黑体" w:cs="黑体"/>
          <w:spacing w:val="-6"/>
        </w:rPr>
        <w:t>技术要求规定。</w:t>
      </w:r>
    </w:p>
    <w:p w14:paraId="70A5E2B9">
      <w:pPr>
        <w:pStyle w:val="3"/>
      </w:pPr>
      <w:r>
        <w:rPr>
          <w:rFonts w:ascii="Times New Roman" w:eastAsia="Times New Roman"/>
        </w:rPr>
        <w:t>6.1</w:t>
      </w:r>
      <w:r>
        <w:rPr>
          <w:rFonts w:ascii="Times New Roman" w:eastAsia="Times New Roman"/>
          <w:spacing w:val="67"/>
        </w:rPr>
        <w:t xml:space="preserve"> </w:t>
      </w:r>
      <w:r>
        <w:t>水泥</w:t>
      </w:r>
    </w:p>
    <w:p w14:paraId="26F7D068">
      <w:pPr>
        <w:pStyle w:val="2"/>
        <w:spacing w:before="89" w:line="403" w:lineRule="auto"/>
        <w:ind w:left="221" w:right="235" w:firstLine="520"/>
        <w:jc w:val="both"/>
        <w:rPr>
          <w:rFonts w:ascii="黑体" w:hAnsi="黑体" w:eastAsia="黑体" w:cs="黑体"/>
        </w:rPr>
      </w:pPr>
      <w:r>
        <w:rPr>
          <w:rFonts w:hint="eastAsia" w:ascii="黑体" w:hAnsi="黑体" w:eastAsia="黑体" w:cs="黑体"/>
          <w:spacing w:val="-6"/>
        </w:rPr>
        <w:t xml:space="preserve">水泥混凝土面层水泥须采用 </w:t>
      </w:r>
      <w:r>
        <w:rPr>
          <w:rFonts w:hint="eastAsia" w:ascii="黑体" w:hAnsi="黑体" w:eastAsia="黑体" w:cs="黑体"/>
        </w:rPr>
        <w:t xml:space="preserve">42.5 </w:t>
      </w:r>
      <w:r>
        <w:rPr>
          <w:rFonts w:hint="eastAsia" w:ascii="黑体" w:hAnsi="黑体" w:eastAsia="黑体" w:cs="黑体"/>
          <w:spacing w:val="-12"/>
        </w:rPr>
        <w:t>普通硅酸盐水泥，其技术标准符合现行国家标准和</w:t>
      </w:r>
      <w:r>
        <w:rPr>
          <w:rFonts w:hint="eastAsia" w:ascii="黑体" w:hAnsi="黑体" w:eastAsia="黑体" w:cs="黑体"/>
          <w:spacing w:val="-16"/>
        </w:rPr>
        <w:t xml:space="preserve">规范要求。水泥用量不得小于 </w:t>
      </w:r>
      <w:r>
        <w:rPr>
          <w:rFonts w:hint="eastAsia" w:ascii="黑体" w:hAnsi="黑体" w:eastAsia="黑体" w:cs="黑体"/>
        </w:rPr>
        <w:t>300Kg/m</w:t>
      </w:r>
      <w:r>
        <w:rPr>
          <w:rFonts w:hint="eastAsia" w:ascii="黑体" w:hAnsi="黑体" w:eastAsia="黑体" w:cs="黑体"/>
          <w:position w:val="9"/>
          <w:sz w:val="17"/>
        </w:rPr>
        <w:t>3</w:t>
      </w:r>
      <w:r>
        <w:rPr>
          <w:rFonts w:hint="eastAsia" w:ascii="黑体" w:hAnsi="黑体" w:eastAsia="黑体" w:cs="黑体"/>
        </w:rPr>
        <w:t>,</w:t>
      </w:r>
      <w:r>
        <w:rPr>
          <w:rFonts w:hint="eastAsia" w:ascii="黑体" w:hAnsi="黑体" w:eastAsia="黑体" w:cs="黑体"/>
          <w:spacing w:val="-7"/>
        </w:rPr>
        <w:t xml:space="preserve">设计标准为混凝土 </w:t>
      </w:r>
      <w:r>
        <w:rPr>
          <w:rFonts w:hint="eastAsia" w:ascii="黑体" w:hAnsi="黑体" w:eastAsia="黑体" w:cs="黑体"/>
        </w:rPr>
        <w:t>28d 龄期，抗弯拉强度不低</w:t>
      </w:r>
      <w:r>
        <w:rPr>
          <w:rFonts w:hint="eastAsia" w:ascii="黑体" w:hAnsi="黑体" w:eastAsia="黑体" w:cs="黑体"/>
          <w:spacing w:val="-41"/>
        </w:rPr>
        <w:t xml:space="preserve">于 </w:t>
      </w:r>
      <w:r>
        <w:rPr>
          <w:rFonts w:hint="eastAsia" w:ascii="黑体" w:hAnsi="黑体" w:eastAsia="黑体" w:cs="黑体"/>
          <w:spacing w:val="2"/>
        </w:rPr>
        <w:t>4.0Mpa</w:t>
      </w:r>
      <w:r>
        <w:rPr>
          <w:rFonts w:hint="eastAsia" w:ascii="黑体" w:hAnsi="黑体" w:eastAsia="黑体" w:cs="黑体"/>
          <w:spacing w:val="11"/>
        </w:rPr>
        <w:t>。其化学成份和物理指标必须满足《公路水泥混凝土路面施工技术细则》</w:t>
      </w:r>
    </w:p>
    <w:p w14:paraId="0C02DE0E">
      <w:pPr>
        <w:pStyle w:val="2"/>
        <w:spacing w:before="1"/>
        <w:ind w:left="221"/>
        <w:jc w:val="both"/>
        <w:rPr>
          <w:rFonts w:ascii="黑体" w:hAnsi="黑体" w:eastAsia="黑体" w:cs="黑体"/>
        </w:rPr>
      </w:pPr>
      <w:r>
        <w:rPr>
          <w:rFonts w:hint="eastAsia" w:ascii="黑体" w:hAnsi="黑体" w:eastAsia="黑体" w:cs="黑体"/>
        </w:rPr>
        <w:t>（JTG/T F30－2014）表 3.1.3“中、轻交通”技术要求。</w:t>
      </w:r>
    </w:p>
    <w:p w14:paraId="650D825F">
      <w:pPr>
        <w:pStyle w:val="3"/>
      </w:pPr>
      <w:r>
        <w:rPr>
          <w:rFonts w:ascii="Times New Roman" w:eastAsia="Times New Roman"/>
        </w:rPr>
        <w:t>6.2</w:t>
      </w:r>
      <w:r>
        <w:rPr>
          <w:rFonts w:ascii="Times New Roman" w:eastAsia="Times New Roman"/>
          <w:spacing w:val="66"/>
        </w:rPr>
        <w:t xml:space="preserve"> </w:t>
      </w:r>
      <w:r>
        <w:t>粗集料</w:t>
      </w:r>
    </w:p>
    <w:p w14:paraId="524F54B2">
      <w:pPr>
        <w:pStyle w:val="2"/>
        <w:spacing w:before="256" w:line="403" w:lineRule="auto"/>
        <w:ind w:left="221" w:right="234" w:firstLine="520"/>
        <w:jc w:val="both"/>
        <w:rPr>
          <w:rFonts w:ascii="黑体" w:hAnsi="黑体" w:eastAsia="黑体" w:cs="黑体"/>
        </w:rPr>
      </w:pPr>
      <w:r>
        <w:rPr>
          <w:rFonts w:hint="eastAsia" w:ascii="黑体" w:hAnsi="黑体" w:eastAsia="黑体" w:cs="黑体"/>
          <w:spacing w:val="-5"/>
        </w:rPr>
        <w:t>路面混凝土的粗集料原则上使用地坚硬、耐久、洁净的碎石，其等级不低于《公路</w:t>
      </w:r>
      <w:r>
        <w:rPr>
          <w:rFonts w:hint="eastAsia" w:ascii="黑体" w:hAnsi="黑体" w:eastAsia="黑体" w:cs="黑体"/>
          <w:spacing w:val="-6"/>
        </w:rPr>
        <w:t>水泥混凝土路面施工技术规范》</w:t>
      </w:r>
      <w:r>
        <w:rPr>
          <w:rFonts w:hint="eastAsia" w:ascii="黑体" w:hAnsi="黑体" w:eastAsia="黑体" w:cs="黑体"/>
        </w:rPr>
        <w:t>（JTG F30-2014）</w:t>
      </w:r>
      <w:r>
        <w:rPr>
          <w:rFonts w:hint="eastAsia" w:ascii="黑体" w:hAnsi="黑体" w:eastAsia="黑体" w:cs="黑体"/>
          <w:spacing w:val="-1"/>
        </w:rPr>
        <w:t>Ⅱ级技术要求，其最大料径不宜大于26.5mm</w:t>
      </w:r>
      <w:r>
        <w:rPr>
          <w:rFonts w:hint="eastAsia" w:ascii="黑体" w:hAnsi="黑体" w:eastAsia="黑体" w:cs="黑体"/>
        </w:rPr>
        <w:t>，应满足：含泥量＜1.0%，硫化物及硫酸盐＜1.0%（</w:t>
      </w:r>
      <w:r>
        <w:rPr>
          <w:rFonts w:hint="eastAsia" w:ascii="黑体" w:hAnsi="黑体" w:eastAsia="黑体" w:cs="黑体"/>
          <w:spacing w:val="-28"/>
        </w:rPr>
        <w:t xml:space="preserve">按 </w:t>
      </w:r>
      <w:r>
        <w:rPr>
          <w:rFonts w:hint="eastAsia" w:ascii="黑体" w:hAnsi="黑体" w:eastAsia="黑体" w:cs="黑体"/>
        </w:rPr>
        <w:t>SO</w:t>
      </w:r>
      <w:r>
        <w:rPr>
          <w:rFonts w:hint="eastAsia" w:ascii="黑体" w:hAnsi="黑体" w:eastAsia="黑体" w:cs="黑体"/>
          <w:vertAlign w:val="subscript"/>
        </w:rPr>
        <w:t>3</w:t>
      </w:r>
      <w:r>
        <w:rPr>
          <w:rFonts w:hint="eastAsia" w:ascii="黑体" w:hAnsi="黑体" w:eastAsia="黑体" w:cs="黑体"/>
        </w:rPr>
        <w:t xml:space="preserve"> </w:t>
      </w:r>
      <w:r>
        <w:rPr>
          <w:rFonts w:hint="eastAsia" w:ascii="黑体" w:hAnsi="黑体" w:eastAsia="黑体" w:cs="黑体"/>
          <w:spacing w:val="2"/>
        </w:rPr>
        <w:t>质量</w:t>
      </w:r>
      <w:r>
        <w:rPr>
          <w:rFonts w:hint="eastAsia" w:ascii="黑体" w:hAnsi="黑体" w:eastAsia="黑体" w:cs="黑体"/>
          <w:spacing w:val="3"/>
        </w:rPr>
        <w:t>）</w:t>
      </w:r>
      <w:r>
        <w:rPr>
          <w:rFonts w:hint="eastAsia" w:ascii="黑体" w:hAnsi="黑体" w:eastAsia="黑体" w:cs="黑体"/>
        </w:rPr>
        <w:t>，表观密度</w:t>
      </w:r>
    </w:p>
    <w:p w14:paraId="487116DE">
      <w:pPr>
        <w:pStyle w:val="2"/>
        <w:spacing w:before="3" w:line="403" w:lineRule="auto"/>
        <w:ind w:left="221" w:right="235"/>
        <w:jc w:val="both"/>
        <w:rPr>
          <w:rFonts w:ascii="黑体" w:hAnsi="黑体" w:eastAsia="黑体" w:cs="黑体"/>
        </w:rPr>
      </w:pPr>
      <w:r>
        <w:rPr>
          <w:rFonts w:hint="eastAsia" w:ascii="黑体" w:hAnsi="黑体" w:eastAsia="黑体" w:cs="黑体"/>
        </w:rPr>
        <w:t>＞2500kg/m</w:t>
      </w:r>
      <w:r>
        <w:rPr>
          <w:rFonts w:hint="eastAsia" w:ascii="黑体" w:hAnsi="黑体" w:eastAsia="黑体" w:cs="黑体"/>
          <w:position w:val="9"/>
          <w:sz w:val="17"/>
        </w:rPr>
        <w:t>3</w:t>
      </w:r>
      <w:r>
        <w:rPr>
          <w:rFonts w:hint="eastAsia" w:ascii="黑体" w:hAnsi="黑体" w:eastAsia="黑体" w:cs="黑体"/>
        </w:rPr>
        <w:t>，松散堆积密度＞1350kg/m</w:t>
      </w:r>
      <w:r>
        <w:rPr>
          <w:rFonts w:hint="eastAsia" w:ascii="黑体" w:hAnsi="黑体" w:eastAsia="黑体" w:cs="黑体"/>
          <w:position w:val="9"/>
          <w:sz w:val="17"/>
        </w:rPr>
        <w:t>3</w:t>
      </w:r>
      <w:r>
        <w:rPr>
          <w:rFonts w:hint="eastAsia" w:ascii="黑体" w:hAnsi="黑体" w:eastAsia="黑体" w:cs="黑体"/>
        </w:rPr>
        <w:t>，空隙率＜47%。不得使用不分级的统料，应按最大公称粒径的不同采用 2～4 个粒级的碎石集料进行掺配。水泥砼路面粗集料质量技术指标应符合表 6-1 要求：</w:t>
      </w:r>
    </w:p>
    <w:p w14:paraId="790B4264"/>
    <w:p w14:paraId="32531C04">
      <w:pPr>
        <w:pStyle w:val="2"/>
      </w:pPr>
    </w:p>
    <w:p w14:paraId="35871333">
      <w:pPr>
        <w:pStyle w:val="4"/>
        <w:spacing w:before="33"/>
        <w:ind w:left="2904"/>
      </w:pPr>
      <w:r>
        <w:rPr>
          <w:spacing w:val="-33"/>
        </w:rPr>
        <w:t xml:space="preserve">表 </w:t>
      </w:r>
      <w:r>
        <w:rPr>
          <w:rFonts w:ascii="Times New Roman" w:eastAsia="Times New Roman"/>
        </w:rPr>
        <w:t>6-1</w:t>
      </w:r>
      <w:r>
        <w:rPr>
          <w:rFonts w:ascii="Times New Roman" w:eastAsia="Times New Roman"/>
          <w:spacing w:val="64"/>
        </w:rPr>
        <w:t xml:space="preserve"> </w:t>
      </w:r>
      <w:r>
        <w:t>水泥砼路面粗集料质量技术要求</w:t>
      </w:r>
    </w:p>
    <w:tbl>
      <w:tblPr>
        <w:tblStyle w:val="7"/>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70"/>
        <w:gridCol w:w="907"/>
        <w:gridCol w:w="2465"/>
        <w:gridCol w:w="1876"/>
        <w:gridCol w:w="1948"/>
        <w:gridCol w:w="2313"/>
      </w:tblGrid>
      <w:tr w14:paraId="005089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50" w:hRule="exact"/>
          <w:jc w:val="center"/>
        </w:trPr>
        <w:tc>
          <w:tcPr>
            <w:tcW w:w="570" w:type="dxa"/>
            <w:vMerge w:val="restart"/>
            <w:vAlign w:val="center"/>
          </w:tcPr>
          <w:p w14:paraId="19F8491F">
            <w:pPr>
              <w:pStyle w:val="9"/>
              <w:spacing w:before="1" w:line="535" w:lineRule="auto"/>
              <w:ind w:left="209" w:leftChars="95" w:right="157"/>
              <w:jc w:val="both"/>
              <w:rPr>
                <w:sz w:val="21"/>
              </w:rPr>
            </w:pPr>
            <w:r>
              <w:rPr>
                <w:sz w:val="21"/>
              </w:rPr>
              <w:t>项目</w:t>
            </w:r>
          </w:p>
        </w:tc>
        <w:tc>
          <w:tcPr>
            <w:tcW w:w="9509" w:type="dxa"/>
            <w:gridSpan w:val="5"/>
            <w:vAlign w:val="center"/>
          </w:tcPr>
          <w:p w14:paraId="6519E993">
            <w:pPr>
              <w:pStyle w:val="9"/>
              <w:spacing w:before="5"/>
            </w:pPr>
          </w:p>
          <w:p w14:paraId="2E2298E6">
            <w:pPr>
              <w:pStyle w:val="9"/>
              <w:ind w:left="3769" w:right="3751"/>
              <w:rPr>
                <w:sz w:val="21"/>
              </w:rPr>
            </w:pPr>
            <w:r>
              <w:rPr>
                <w:sz w:val="21"/>
              </w:rPr>
              <w:t>粗集料质量技术要求</w:t>
            </w:r>
          </w:p>
        </w:tc>
      </w:tr>
      <w:tr w14:paraId="5DD42B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50" w:hRule="exact"/>
          <w:jc w:val="center"/>
        </w:trPr>
        <w:tc>
          <w:tcPr>
            <w:tcW w:w="570" w:type="dxa"/>
            <w:vMerge w:val="continue"/>
            <w:tcBorders>
              <w:top w:val="nil"/>
            </w:tcBorders>
            <w:vAlign w:val="center"/>
          </w:tcPr>
          <w:p w14:paraId="2CCAB855">
            <w:pPr>
              <w:jc w:val="center"/>
              <w:rPr>
                <w:sz w:val="2"/>
                <w:szCs w:val="2"/>
              </w:rPr>
            </w:pPr>
          </w:p>
        </w:tc>
        <w:tc>
          <w:tcPr>
            <w:tcW w:w="907" w:type="dxa"/>
            <w:vAlign w:val="center"/>
          </w:tcPr>
          <w:p w14:paraId="780E4D4C">
            <w:pPr>
              <w:pStyle w:val="9"/>
              <w:ind w:left="0" w:right="108"/>
              <w:rPr>
                <w:sz w:val="26"/>
              </w:rPr>
            </w:pPr>
            <w:r>
              <w:rPr>
                <w:sz w:val="21"/>
              </w:rPr>
              <w:t>压碎值</w:t>
            </w:r>
          </w:p>
          <w:p w14:paraId="57B86294">
            <w:pPr>
              <w:pStyle w:val="9"/>
              <w:ind w:left="123" w:right="104"/>
              <w:rPr>
                <w:rFonts w:ascii="Calibri"/>
                <w:sz w:val="21"/>
              </w:rPr>
            </w:pPr>
            <w:r>
              <w:rPr>
                <w:rFonts w:ascii="Calibri"/>
                <w:sz w:val="21"/>
              </w:rPr>
              <w:t>(%)</w:t>
            </w:r>
          </w:p>
        </w:tc>
        <w:tc>
          <w:tcPr>
            <w:tcW w:w="2465" w:type="dxa"/>
            <w:vAlign w:val="center"/>
          </w:tcPr>
          <w:p w14:paraId="57AABF46">
            <w:pPr>
              <w:pStyle w:val="9"/>
              <w:spacing w:before="2" w:line="600" w:lineRule="exact"/>
              <w:ind w:left="0" w:right="77"/>
              <w:jc w:val="both"/>
              <w:rPr>
                <w:sz w:val="21"/>
              </w:rPr>
            </w:pPr>
            <w:r>
              <w:rPr>
                <w:sz w:val="21"/>
              </w:rPr>
              <w:t>针片状颗粒含量</w:t>
            </w:r>
            <w:r>
              <w:rPr>
                <w:rFonts w:ascii="Calibri" w:eastAsia="Calibri"/>
                <w:sz w:val="21"/>
              </w:rPr>
              <w:t>(</w:t>
            </w:r>
            <w:r>
              <w:rPr>
                <w:sz w:val="21"/>
              </w:rPr>
              <w:t>按质量计</w:t>
            </w:r>
            <w:r>
              <w:rPr>
                <w:rFonts w:ascii="Calibri" w:eastAsia="Calibri"/>
                <w:sz w:val="21"/>
              </w:rPr>
              <w:t>)</w:t>
            </w:r>
            <w:r>
              <w:rPr>
                <w:sz w:val="21"/>
              </w:rPr>
              <w:t>（</w:t>
            </w:r>
          </w:p>
        </w:tc>
        <w:tc>
          <w:tcPr>
            <w:tcW w:w="1876" w:type="dxa"/>
            <w:vAlign w:val="center"/>
          </w:tcPr>
          <w:p w14:paraId="4C78D5C4">
            <w:pPr>
              <w:pStyle w:val="9"/>
              <w:spacing w:before="1"/>
              <w:ind w:left="0" w:right="96"/>
              <w:jc w:val="both"/>
              <w:rPr>
                <w:sz w:val="25"/>
              </w:rPr>
            </w:pPr>
            <w:r>
              <w:rPr>
                <w:sz w:val="21"/>
              </w:rPr>
              <w:t>坚固性</w:t>
            </w:r>
            <w:r>
              <w:rPr>
                <w:rFonts w:ascii="Calibri" w:eastAsia="Calibri"/>
                <w:sz w:val="21"/>
              </w:rPr>
              <w:t>(</w:t>
            </w:r>
            <w:r>
              <w:rPr>
                <w:sz w:val="21"/>
              </w:rPr>
              <w:t>按质量计</w:t>
            </w:r>
            <w:r>
              <w:rPr>
                <w:rFonts w:ascii="Calibri" w:eastAsia="Calibri"/>
                <w:sz w:val="21"/>
              </w:rPr>
              <w:t>)</w:t>
            </w:r>
          </w:p>
          <w:p w14:paraId="52ADAB46">
            <w:pPr>
              <w:pStyle w:val="9"/>
              <w:ind w:left="0" w:right="96" w:firstLine="630" w:firstLineChars="300"/>
              <w:jc w:val="both"/>
              <w:rPr>
                <w:sz w:val="21"/>
              </w:rPr>
            </w:pPr>
            <w:r>
              <w:rPr>
                <w:sz w:val="21"/>
              </w:rPr>
              <w:t>（</w:t>
            </w:r>
            <w:r>
              <w:rPr>
                <w:rFonts w:ascii="Calibri" w:eastAsia="Calibri"/>
                <w:sz w:val="21"/>
              </w:rPr>
              <w:t>%</w:t>
            </w:r>
            <w:r>
              <w:rPr>
                <w:sz w:val="21"/>
              </w:rPr>
              <w:t>）</w:t>
            </w:r>
          </w:p>
        </w:tc>
        <w:tc>
          <w:tcPr>
            <w:tcW w:w="1948" w:type="dxa"/>
            <w:vAlign w:val="center"/>
          </w:tcPr>
          <w:p w14:paraId="6B908BEC">
            <w:pPr>
              <w:pStyle w:val="9"/>
              <w:spacing w:before="1"/>
              <w:ind w:left="0" w:right="79"/>
              <w:jc w:val="both"/>
              <w:rPr>
                <w:sz w:val="25"/>
              </w:rPr>
            </w:pPr>
            <w:r>
              <w:rPr>
                <w:sz w:val="21"/>
              </w:rPr>
              <w:t xml:space="preserve">含泥量 </w:t>
            </w:r>
            <w:r>
              <w:rPr>
                <w:rFonts w:ascii="Calibri" w:eastAsia="Calibri"/>
                <w:sz w:val="21"/>
              </w:rPr>
              <w:t>(</w:t>
            </w:r>
            <w:r>
              <w:rPr>
                <w:sz w:val="21"/>
              </w:rPr>
              <w:t>按质量计</w:t>
            </w:r>
            <w:r>
              <w:rPr>
                <w:rFonts w:ascii="Calibri" w:eastAsia="Calibri"/>
                <w:sz w:val="21"/>
              </w:rPr>
              <w:t>)</w:t>
            </w:r>
          </w:p>
          <w:p w14:paraId="2354C15D">
            <w:pPr>
              <w:pStyle w:val="9"/>
              <w:ind w:left="97" w:right="77"/>
              <w:rPr>
                <w:sz w:val="21"/>
              </w:rPr>
            </w:pPr>
            <w:r>
              <w:rPr>
                <w:sz w:val="21"/>
              </w:rPr>
              <w:t>（</w:t>
            </w:r>
            <w:r>
              <w:rPr>
                <w:rFonts w:ascii="Calibri" w:eastAsia="Calibri"/>
                <w:sz w:val="21"/>
              </w:rPr>
              <w:t>%</w:t>
            </w:r>
            <w:r>
              <w:rPr>
                <w:sz w:val="21"/>
              </w:rPr>
              <w:t>）</w:t>
            </w:r>
          </w:p>
        </w:tc>
        <w:tc>
          <w:tcPr>
            <w:tcW w:w="2313" w:type="dxa"/>
            <w:vAlign w:val="center"/>
          </w:tcPr>
          <w:p w14:paraId="058AE488">
            <w:pPr>
              <w:pStyle w:val="9"/>
              <w:ind w:left="0" w:right="168" w:firstLine="210" w:firstLineChars="100"/>
              <w:jc w:val="both"/>
              <w:rPr>
                <w:sz w:val="26"/>
              </w:rPr>
            </w:pPr>
            <w:r>
              <w:rPr>
                <w:sz w:val="21"/>
              </w:rPr>
              <w:t>抗压强度（火成岩）</w:t>
            </w:r>
          </w:p>
          <w:p w14:paraId="3C6DDD6B">
            <w:pPr>
              <w:pStyle w:val="9"/>
              <w:ind w:left="184" w:right="165"/>
              <w:rPr>
                <w:sz w:val="21"/>
              </w:rPr>
            </w:pPr>
            <w:r>
              <w:rPr>
                <w:sz w:val="21"/>
              </w:rPr>
              <w:t>（</w:t>
            </w:r>
            <w:r>
              <w:rPr>
                <w:rFonts w:ascii="Calibri" w:eastAsia="Calibri"/>
                <w:sz w:val="21"/>
              </w:rPr>
              <w:t>MPa</w:t>
            </w:r>
            <w:r>
              <w:rPr>
                <w:sz w:val="21"/>
              </w:rPr>
              <w:t>）</w:t>
            </w:r>
          </w:p>
        </w:tc>
      </w:tr>
      <w:tr w14:paraId="7FBC6F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50" w:hRule="exact"/>
          <w:jc w:val="center"/>
        </w:trPr>
        <w:tc>
          <w:tcPr>
            <w:tcW w:w="570" w:type="dxa"/>
            <w:vAlign w:val="center"/>
          </w:tcPr>
          <w:p w14:paraId="2F97F70D">
            <w:pPr>
              <w:pStyle w:val="9"/>
              <w:ind w:left="0" w:firstLine="207" w:firstLineChars="100"/>
              <w:jc w:val="both"/>
              <w:rPr>
                <w:sz w:val="25"/>
              </w:rPr>
            </w:pPr>
            <w:r>
              <w:rPr>
                <w:w w:val="99"/>
                <w:sz w:val="21"/>
              </w:rPr>
              <w:t>面</w:t>
            </w:r>
          </w:p>
          <w:p w14:paraId="73ED68FD">
            <w:pPr>
              <w:pStyle w:val="9"/>
              <w:ind w:left="0" w:firstLine="207" w:firstLineChars="100"/>
              <w:jc w:val="both"/>
              <w:rPr>
                <w:sz w:val="21"/>
              </w:rPr>
            </w:pPr>
            <w:r>
              <w:rPr>
                <w:w w:val="99"/>
                <w:sz w:val="21"/>
              </w:rPr>
              <w:t>层</w:t>
            </w:r>
          </w:p>
        </w:tc>
        <w:tc>
          <w:tcPr>
            <w:tcW w:w="907" w:type="dxa"/>
            <w:vAlign w:val="center"/>
          </w:tcPr>
          <w:p w14:paraId="75E1A5BF">
            <w:pPr>
              <w:pStyle w:val="9"/>
              <w:ind w:left="0"/>
              <w:rPr>
                <w:rFonts w:ascii="Calibri" w:eastAsia="Calibri"/>
                <w:sz w:val="21"/>
              </w:rPr>
            </w:pPr>
            <w:r>
              <w:rPr>
                <w:sz w:val="21"/>
              </w:rPr>
              <w:t>＜</w:t>
            </w:r>
            <w:r>
              <w:rPr>
                <w:rFonts w:ascii="Calibri" w:eastAsia="Calibri"/>
                <w:sz w:val="21"/>
              </w:rPr>
              <w:t>25</w:t>
            </w:r>
          </w:p>
        </w:tc>
        <w:tc>
          <w:tcPr>
            <w:tcW w:w="2465" w:type="dxa"/>
            <w:vAlign w:val="center"/>
          </w:tcPr>
          <w:p w14:paraId="6CA089B1">
            <w:pPr>
              <w:pStyle w:val="9"/>
              <w:ind w:left="0" w:right="968"/>
              <w:rPr>
                <w:rFonts w:ascii="Calibri" w:eastAsia="Calibri"/>
                <w:sz w:val="21"/>
              </w:rPr>
            </w:pPr>
            <w:r>
              <w:rPr>
                <w:sz w:val="21"/>
              </w:rPr>
              <w:t>＜</w:t>
            </w:r>
            <w:r>
              <w:rPr>
                <w:rFonts w:ascii="Calibri" w:eastAsia="Calibri"/>
                <w:sz w:val="21"/>
              </w:rPr>
              <w:t>15</w:t>
            </w:r>
          </w:p>
        </w:tc>
        <w:tc>
          <w:tcPr>
            <w:tcW w:w="1876" w:type="dxa"/>
            <w:vAlign w:val="center"/>
          </w:tcPr>
          <w:p w14:paraId="65CF4E80">
            <w:pPr>
              <w:pStyle w:val="9"/>
              <w:ind w:left="0" w:right="96"/>
              <w:rPr>
                <w:rFonts w:ascii="Calibri" w:eastAsia="Calibri"/>
                <w:sz w:val="21"/>
              </w:rPr>
            </w:pPr>
            <w:r>
              <w:rPr>
                <w:sz w:val="21"/>
              </w:rPr>
              <w:t>＜</w:t>
            </w:r>
            <w:r>
              <w:rPr>
                <w:rFonts w:ascii="Calibri" w:eastAsia="Calibri"/>
                <w:sz w:val="21"/>
              </w:rPr>
              <w:t>8</w:t>
            </w:r>
          </w:p>
        </w:tc>
        <w:tc>
          <w:tcPr>
            <w:tcW w:w="1948" w:type="dxa"/>
            <w:vAlign w:val="center"/>
          </w:tcPr>
          <w:p w14:paraId="5D036070">
            <w:pPr>
              <w:pStyle w:val="9"/>
              <w:ind w:left="0" w:right="79"/>
              <w:rPr>
                <w:rFonts w:ascii="Calibri" w:eastAsia="Calibri"/>
                <w:sz w:val="21"/>
              </w:rPr>
            </w:pPr>
            <w:r>
              <w:rPr>
                <w:sz w:val="21"/>
              </w:rPr>
              <w:t>＜</w:t>
            </w:r>
            <w:r>
              <w:rPr>
                <w:rFonts w:ascii="Calibri" w:eastAsia="Calibri"/>
                <w:sz w:val="21"/>
              </w:rPr>
              <w:t>1</w:t>
            </w:r>
          </w:p>
        </w:tc>
        <w:tc>
          <w:tcPr>
            <w:tcW w:w="2313" w:type="dxa"/>
            <w:vAlign w:val="center"/>
          </w:tcPr>
          <w:p w14:paraId="65977DA7">
            <w:pPr>
              <w:pStyle w:val="9"/>
              <w:ind w:left="0" w:right="165"/>
              <w:rPr>
                <w:rFonts w:ascii="Calibri" w:hAnsi="Calibri"/>
                <w:sz w:val="21"/>
              </w:rPr>
            </w:pPr>
            <w:r>
              <w:rPr>
                <w:sz w:val="21"/>
              </w:rPr>
              <w:t>≥</w:t>
            </w:r>
            <w:r>
              <w:rPr>
                <w:rFonts w:ascii="Calibri" w:hAnsi="Calibri"/>
                <w:sz w:val="21"/>
              </w:rPr>
              <w:t>100</w:t>
            </w:r>
          </w:p>
        </w:tc>
      </w:tr>
    </w:tbl>
    <w:p w14:paraId="7AFFD0F9">
      <w:pPr>
        <w:pStyle w:val="2"/>
        <w:spacing w:before="1"/>
        <w:ind w:left="129" w:firstLine="1040" w:firstLineChars="400"/>
        <w:rPr>
          <w:rFonts w:ascii="黑体" w:hAnsi="黑体" w:eastAsia="黑体" w:cs="黑体"/>
        </w:rPr>
      </w:pPr>
      <w:r>
        <w:rPr>
          <w:rFonts w:hint="eastAsia" w:ascii="黑体" w:hAnsi="黑体" w:eastAsia="黑体" w:cs="黑体"/>
        </w:rPr>
        <w:t>注：水泥混凝土路面基层石料压碎值采用的试验方法和面层相同。</w:t>
      </w:r>
    </w:p>
    <w:p w14:paraId="4300E30F">
      <w:pPr>
        <w:pStyle w:val="3"/>
        <w:spacing w:before="218"/>
      </w:pPr>
      <w:r>
        <w:rPr>
          <w:rFonts w:hint="eastAsia"/>
          <w:lang w:val="en-US"/>
        </w:rPr>
        <w:t xml:space="preserve">6.3 </w:t>
      </w:r>
      <w:r>
        <w:t>细集料</w:t>
      </w:r>
    </w:p>
    <w:p w14:paraId="14138102">
      <w:pPr>
        <w:pStyle w:val="2"/>
        <w:spacing w:before="258"/>
        <w:ind w:firstLine="780" w:firstLineChars="300"/>
        <w:rPr>
          <w:rFonts w:ascii="黑体" w:hAnsi="黑体" w:eastAsia="黑体" w:cs="黑体"/>
        </w:rPr>
      </w:pPr>
      <w:r>
        <w:rPr>
          <w:rFonts w:hint="eastAsia" w:ascii="黑体" w:hAnsi="黑体" w:eastAsia="黑体" w:cs="黑体"/>
        </w:rPr>
        <w:t>路面的细集料应采用质地坚硬、耐久、洁净的天然河砂，其等级不低于Ⅱ级，氯化物（氯离子质量）＜0.02%，坚固性＜8%，云母含量＜2%，含泥量＜2%，泥块含量＜ 1%，硫化物及硫酸盐＜0.5%（按 SO3 质量），轻物质＜1.0%，表观密度＞2500kg/m3， 松散堆积密度＞1350kg/m3，空隙率＜47%。本项目不宜使用抗磨性较差的泥岩、页岩、板岩等水成岩类母岩品种生产机制砂，不得使用海砂及淡化海砂。</w:t>
      </w:r>
    </w:p>
    <w:p w14:paraId="4B48D2F0">
      <w:pPr>
        <w:pStyle w:val="3"/>
        <w:tabs>
          <w:tab w:val="left" w:pos="1012"/>
        </w:tabs>
        <w:spacing w:before="211"/>
        <w:ind w:left="0"/>
        <w:rPr>
          <w:b w:val="0"/>
        </w:rPr>
      </w:pPr>
      <w:r>
        <w:rPr>
          <w:rFonts w:hint="eastAsia"/>
          <w:w w:val="99"/>
          <w:lang w:val="en-US"/>
        </w:rPr>
        <w:t xml:space="preserve">6.4 </w:t>
      </w:r>
      <w:r>
        <w:rPr>
          <w:w w:val="99"/>
        </w:rPr>
        <w:t>水</w:t>
      </w:r>
    </w:p>
    <w:p w14:paraId="43D11748">
      <w:pPr>
        <w:pStyle w:val="2"/>
        <w:spacing w:before="258"/>
        <w:ind w:firstLine="520" w:firstLineChars="200"/>
        <w:rPr>
          <w:rFonts w:ascii="黑体" w:hAnsi="黑体" w:eastAsia="黑体" w:cs="黑体"/>
        </w:rPr>
      </w:pPr>
      <w:r>
        <w:rPr>
          <w:rFonts w:hint="eastAsia" w:ascii="黑体" w:hAnsi="黑体" w:eastAsia="黑体" w:cs="黑体"/>
        </w:rPr>
        <w:t>水应符合国家现行标准《混凝土用水标准》JGJ 63 的规定。</w:t>
      </w:r>
    </w:p>
    <w:p w14:paraId="4776F3AE">
      <w:pPr>
        <w:pStyle w:val="10"/>
        <w:tabs>
          <w:tab w:val="left" w:pos="1692"/>
        </w:tabs>
        <w:spacing w:before="226"/>
        <w:ind w:left="0" w:firstLine="0"/>
        <w:rPr>
          <w:rFonts w:ascii="黑体" w:hAnsi="黑体" w:eastAsia="黑体" w:cs="黑体"/>
          <w:sz w:val="26"/>
        </w:rPr>
      </w:pPr>
      <w:r>
        <w:rPr>
          <w:rFonts w:hint="eastAsia" w:ascii="黑体" w:hAnsi="黑体" w:eastAsia="黑体" w:cs="黑体"/>
          <w:sz w:val="26"/>
        </w:rPr>
        <w:t>（</w:t>
      </w:r>
      <w:r>
        <w:rPr>
          <w:rFonts w:hint="eastAsia" w:ascii="黑体" w:hAnsi="黑体" w:eastAsia="黑体" w:cs="黑体"/>
          <w:sz w:val="26"/>
          <w:lang w:val="en-US"/>
        </w:rPr>
        <w:t>1</w:t>
      </w:r>
      <w:r>
        <w:rPr>
          <w:rFonts w:hint="eastAsia" w:ascii="黑体" w:hAnsi="黑体" w:eastAsia="黑体" w:cs="黑体"/>
          <w:sz w:val="26"/>
        </w:rPr>
        <w:t>）、饮用水可直接作为混凝土搅拌合养护用水。</w:t>
      </w:r>
    </w:p>
    <w:p w14:paraId="396F41D6">
      <w:pPr>
        <w:pStyle w:val="10"/>
        <w:tabs>
          <w:tab w:val="left" w:pos="1692"/>
        </w:tabs>
        <w:spacing w:before="226"/>
        <w:ind w:left="0" w:firstLine="0"/>
        <w:rPr>
          <w:rFonts w:ascii="黑体" w:hAnsi="黑体" w:eastAsia="黑体" w:cs="黑体"/>
          <w:sz w:val="26"/>
        </w:rPr>
      </w:pPr>
      <w:r>
        <w:rPr>
          <w:rFonts w:hint="eastAsia" w:ascii="黑体" w:hAnsi="黑体" w:eastAsia="黑体" w:cs="黑体"/>
          <w:sz w:val="26"/>
        </w:rPr>
        <w:t>（</w:t>
      </w:r>
      <w:r>
        <w:rPr>
          <w:rFonts w:hint="eastAsia" w:ascii="黑体" w:hAnsi="黑体" w:eastAsia="黑体" w:cs="黑体"/>
          <w:sz w:val="26"/>
          <w:lang w:val="en-US"/>
        </w:rPr>
        <w:t>2</w:t>
      </w:r>
      <w:r>
        <w:rPr>
          <w:rFonts w:hint="eastAsia" w:ascii="黑体" w:hAnsi="黑体" w:eastAsia="黑体" w:cs="黑体"/>
          <w:sz w:val="26"/>
        </w:rPr>
        <w:t>）不得含有油污、泥和其他有害杂质的清洁中性水，PH</w:t>
      </w:r>
      <w:r>
        <w:rPr>
          <w:rFonts w:hint="eastAsia" w:ascii="黑体" w:hAnsi="黑体" w:eastAsia="黑体" w:cs="黑体"/>
          <w:spacing w:val="-2"/>
          <w:sz w:val="26"/>
        </w:rPr>
        <w:t xml:space="preserve"> </w:t>
      </w:r>
      <w:r>
        <w:rPr>
          <w:rFonts w:hint="eastAsia" w:ascii="黑体" w:hAnsi="黑体" w:eastAsia="黑体" w:cs="黑体"/>
          <w:spacing w:val="-22"/>
          <w:sz w:val="26"/>
        </w:rPr>
        <w:t xml:space="preserve">值为 </w:t>
      </w:r>
      <w:r>
        <w:rPr>
          <w:rFonts w:hint="eastAsia" w:ascii="黑体" w:hAnsi="黑体" w:eastAsia="黑体" w:cs="黑体"/>
          <w:sz w:val="26"/>
        </w:rPr>
        <w:t>6～8。</w:t>
      </w:r>
    </w:p>
    <w:p w14:paraId="7C3D9098">
      <w:pPr>
        <w:pStyle w:val="3"/>
        <w:tabs>
          <w:tab w:val="left" w:pos="875"/>
        </w:tabs>
        <w:spacing w:before="210"/>
        <w:ind w:left="0"/>
      </w:pPr>
      <w:r>
        <w:rPr>
          <w:rFonts w:hint="eastAsia"/>
          <w:lang w:val="en-US"/>
        </w:rPr>
        <w:t xml:space="preserve">6.5 </w:t>
      </w:r>
      <w:r>
        <w:t>接缝材料</w:t>
      </w:r>
    </w:p>
    <w:p w14:paraId="60E11FF6">
      <w:pPr>
        <w:pStyle w:val="2"/>
        <w:spacing w:before="259"/>
        <w:ind w:firstLine="520" w:firstLineChars="200"/>
        <w:rPr>
          <w:rFonts w:ascii="黑体" w:hAnsi="黑体" w:eastAsia="黑体" w:cs="黑体"/>
        </w:rPr>
      </w:pPr>
      <w:r>
        <w:rPr>
          <w:rFonts w:hint="eastAsia" w:ascii="黑体" w:hAnsi="黑体" w:eastAsia="黑体" w:cs="黑体"/>
        </w:rPr>
        <w:t>接缝材料应满足《公路水泥混凝土路面接缝材料》 JT/T 203-2014 的相关规定,每</w:t>
      </w:r>
      <w:r>
        <w:rPr>
          <w:rFonts w:hint="eastAsia" w:ascii="黑体" w:hAnsi="黑体" w:eastAsia="黑体" w:cs="黑体"/>
          <w:lang w:val="en-US"/>
        </w:rPr>
        <w:t>2</w:t>
      </w:r>
      <w:r>
        <w:rPr>
          <w:rFonts w:hint="eastAsia" w:ascii="黑体" w:hAnsi="黑体" w:eastAsia="黑体" w:cs="黑体"/>
        </w:rPr>
        <w:t>00m 设置一处胀缝。</w:t>
      </w:r>
    </w:p>
    <w:p w14:paraId="37940D3D">
      <w:pPr>
        <w:pStyle w:val="2"/>
        <w:spacing w:before="226"/>
        <w:ind w:firstLine="478" w:firstLineChars="200"/>
        <w:jc w:val="both"/>
        <w:rPr>
          <w:rFonts w:ascii="黑体" w:hAnsi="黑体" w:eastAsia="黑体" w:cs="黑体"/>
        </w:rPr>
      </w:pPr>
      <w:r>
        <w:rPr>
          <w:rFonts w:hint="eastAsia" w:ascii="黑体" w:hAnsi="黑体" w:eastAsia="黑体" w:cs="黑体"/>
          <w:spacing w:val="-4"/>
          <w:w w:val="95"/>
        </w:rPr>
        <w:t xml:space="preserve">应选用能适应混凝土面板膨胀和收缩、施工时不变形、弹性复原率高、耐久性好的  </w:t>
      </w:r>
      <w:r>
        <w:rPr>
          <w:rFonts w:hint="eastAsia" w:ascii="黑体" w:hAnsi="黑体" w:eastAsia="黑体" w:cs="黑体"/>
          <w:spacing w:val="-12"/>
          <w:w w:val="95"/>
        </w:rPr>
        <w:t>胀缝板。高速公路、一级公路宜采用塑胶、橡胶泡沫板或沥青纤维板</w:t>
      </w:r>
      <w:r>
        <w:rPr>
          <w:rFonts w:hint="eastAsia" w:ascii="黑体" w:hAnsi="黑体" w:eastAsia="黑体" w:cs="黑体"/>
          <w:w w:val="95"/>
        </w:rPr>
        <w:t xml:space="preserve">;其他公路可采用各  </w:t>
      </w:r>
      <w:r>
        <w:rPr>
          <w:rFonts w:hint="eastAsia" w:ascii="黑体" w:hAnsi="黑体" w:eastAsia="黑体" w:cs="黑体"/>
        </w:rPr>
        <w:t>种胀缝板。</w:t>
      </w:r>
    </w:p>
    <w:p w14:paraId="45CCB414">
      <w:pPr>
        <w:pStyle w:val="2"/>
        <w:spacing w:before="226" w:line="403" w:lineRule="auto"/>
        <w:ind w:right="170" w:firstLine="504" w:firstLineChars="200"/>
        <w:jc w:val="both"/>
        <w:rPr>
          <w:rFonts w:ascii="黑体" w:hAnsi="黑体" w:eastAsia="黑体" w:cs="黑体"/>
          <w:spacing w:val="-7"/>
        </w:rPr>
      </w:pPr>
      <w:r>
        <w:rPr>
          <w:rFonts w:hint="eastAsia" w:ascii="黑体" w:hAnsi="黑体" w:eastAsia="黑体" w:cs="黑体"/>
          <w:spacing w:val="-4"/>
        </w:rPr>
        <w:t>填缝材料应具有与混凝土板壁粘结牢固、回弹性好、不溶于水、不渗水，高温时不</w:t>
      </w:r>
      <w:r>
        <w:rPr>
          <w:rFonts w:hint="eastAsia" w:ascii="黑体" w:hAnsi="黑体" w:eastAsia="黑体" w:cs="黑体"/>
          <w:spacing w:val="-9"/>
        </w:rPr>
        <w:t>挤出、不流淌、抗嵌入能力强、耐老化龟裂，负温拉伸量大，低温时不脆裂、耐久性好</w:t>
      </w:r>
      <w:r>
        <w:rPr>
          <w:rFonts w:hint="eastAsia" w:ascii="黑体" w:hAnsi="黑体" w:eastAsia="黑体" w:cs="黑体"/>
          <w:spacing w:val="-12"/>
          <w:w w:val="95"/>
        </w:rPr>
        <w:t>等性能。填缝料有常温施工式和加热施工式两种，常温填缝料有聚</w:t>
      </w:r>
      <w:r>
        <w:rPr>
          <w:rFonts w:hint="eastAsia" w:ascii="黑体" w:hAnsi="黑体" w:eastAsia="黑体" w:cs="黑体"/>
          <w:spacing w:val="-3"/>
          <w:w w:val="95"/>
        </w:rPr>
        <w:t>（</w:t>
      </w:r>
      <w:r>
        <w:rPr>
          <w:rFonts w:hint="eastAsia" w:ascii="黑体" w:hAnsi="黑体" w:eastAsia="黑体" w:cs="黑体"/>
          <w:w w:val="95"/>
        </w:rPr>
        <w:t>氨</w:t>
      </w:r>
      <w:r>
        <w:rPr>
          <w:rFonts w:hint="eastAsia" w:ascii="黑体" w:hAnsi="黑体" w:eastAsia="黑体" w:cs="黑体"/>
          <w:spacing w:val="-36"/>
          <w:w w:val="95"/>
        </w:rPr>
        <w:t>）</w:t>
      </w:r>
      <w:r>
        <w:rPr>
          <w:rFonts w:hint="eastAsia" w:ascii="黑体" w:hAnsi="黑体" w:eastAsia="黑体" w:cs="黑体"/>
          <w:spacing w:val="-7"/>
          <w:w w:val="95"/>
        </w:rPr>
        <w:t xml:space="preserve">酯、硅树脂类，   </w:t>
      </w:r>
      <w:r>
        <w:rPr>
          <w:rFonts w:hint="eastAsia" w:ascii="黑体" w:hAnsi="黑体" w:eastAsia="黑体" w:cs="黑体"/>
          <w:spacing w:val="-7"/>
        </w:rPr>
        <w:t>氯丁橡胶、沥青橡胶类等。加热式有沥青玛蹄脂类、聚氯乙烯胶泥类、改性沥青类等。</w:t>
      </w:r>
    </w:p>
    <w:p w14:paraId="592531B7">
      <w:pPr>
        <w:pStyle w:val="2"/>
        <w:spacing w:before="226" w:line="403" w:lineRule="auto"/>
        <w:ind w:right="170"/>
        <w:jc w:val="both"/>
        <w:rPr>
          <w:b/>
          <w:sz w:val="28"/>
        </w:rPr>
      </w:pPr>
      <w:r>
        <w:rPr>
          <w:rFonts w:ascii="Times New Roman" w:eastAsia="Times New Roman"/>
          <w:b/>
          <w:spacing w:val="-7"/>
          <w:sz w:val="28"/>
        </w:rPr>
        <w:t>6.6</w:t>
      </w:r>
      <w:r>
        <w:rPr>
          <w:rFonts w:hint="eastAsia" w:ascii="Times New Roman"/>
          <w:b/>
          <w:spacing w:val="-7"/>
          <w:sz w:val="28"/>
          <w:lang w:val="en-US"/>
        </w:rPr>
        <w:t xml:space="preserve"> </w:t>
      </w:r>
      <w:r>
        <w:rPr>
          <w:b/>
          <w:spacing w:val="-7"/>
          <w:sz w:val="28"/>
        </w:rPr>
        <w:t>碎石调平层材料要求</w:t>
      </w:r>
    </w:p>
    <w:p w14:paraId="02F11A24">
      <w:pPr>
        <w:pStyle w:val="2"/>
        <w:spacing w:before="18"/>
        <w:ind w:left="1040"/>
        <w:rPr>
          <w:rFonts w:ascii="黑体" w:hAnsi="黑体" w:eastAsia="黑体" w:cs="黑体"/>
        </w:rPr>
      </w:pPr>
      <w:r>
        <w:rPr>
          <w:rFonts w:hint="eastAsia" w:ascii="黑体" w:hAnsi="黑体" w:eastAsia="黑体" w:cs="黑体"/>
        </w:rPr>
        <w:t>碎石级配采用骨架密实型级配, 为了有效控制级配，集料规格应至少划分为四档：</w:t>
      </w:r>
    </w:p>
    <w:p w14:paraId="768496B0">
      <w:pPr>
        <w:pStyle w:val="2"/>
        <w:spacing w:before="226"/>
        <w:ind w:left="521"/>
        <w:jc w:val="both"/>
        <w:rPr>
          <w:rFonts w:ascii="黑体" w:hAnsi="黑体" w:eastAsia="黑体" w:cs="黑体"/>
        </w:rPr>
      </w:pPr>
      <w:r>
        <w:rPr>
          <w:rFonts w:hint="eastAsia" w:ascii="黑体" w:hAnsi="黑体" w:eastAsia="黑体" w:cs="黑体"/>
        </w:rPr>
        <w:t>0～5、5～10、10～20、10～30，级配组成如表 6-2 所示。</w:t>
      </w:r>
    </w:p>
    <w:p w14:paraId="5795E64F">
      <w:pPr>
        <w:tabs>
          <w:tab w:val="left" w:pos="4087"/>
        </w:tabs>
        <w:spacing w:before="198"/>
        <w:ind w:left="3183"/>
        <w:rPr>
          <w:b/>
          <w:sz w:val="24"/>
        </w:rPr>
      </w:pPr>
      <w:r>
        <w:rPr>
          <w:b/>
          <w:sz w:val="24"/>
        </w:rPr>
        <w:t>表</w:t>
      </w:r>
      <w:r>
        <w:rPr>
          <w:b/>
          <w:spacing w:val="-62"/>
          <w:sz w:val="24"/>
        </w:rPr>
        <w:t xml:space="preserve"> </w:t>
      </w:r>
      <w:r>
        <w:rPr>
          <w:b/>
          <w:sz w:val="24"/>
        </w:rPr>
        <w:t>6-2</w:t>
      </w:r>
      <w:r>
        <w:rPr>
          <w:b/>
          <w:sz w:val="24"/>
        </w:rPr>
        <w:tab/>
      </w:r>
      <w:r>
        <w:rPr>
          <w:b/>
          <w:sz w:val="24"/>
        </w:rPr>
        <w:t>调平层骨架密实型级配碎石级配组成表</w:t>
      </w:r>
    </w:p>
    <w:tbl>
      <w:tblPr>
        <w:tblStyle w:val="7"/>
        <w:tblW w:w="0" w:type="auto"/>
        <w:tblInd w:w="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426"/>
        <w:gridCol w:w="760"/>
        <w:gridCol w:w="1076"/>
        <w:gridCol w:w="848"/>
        <w:gridCol w:w="849"/>
        <w:gridCol w:w="848"/>
        <w:gridCol w:w="849"/>
        <w:gridCol w:w="848"/>
        <w:gridCol w:w="849"/>
        <w:gridCol w:w="849"/>
        <w:gridCol w:w="848"/>
        <w:gridCol w:w="848"/>
        <w:gridCol w:w="741"/>
      </w:tblGrid>
      <w:tr w14:paraId="6EDB57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8" w:hRule="atLeast"/>
        </w:trPr>
        <w:tc>
          <w:tcPr>
            <w:tcW w:w="426" w:type="dxa"/>
            <w:vMerge w:val="restart"/>
          </w:tcPr>
          <w:p w14:paraId="2CB145BC">
            <w:pPr>
              <w:pStyle w:val="9"/>
              <w:spacing w:before="2"/>
              <w:rPr>
                <w:sz w:val="23"/>
              </w:rPr>
            </w:pPr>
          </w:p>
          <w:p w14:paraId="27CCF964">
            <w:pPr>
              <w:pStyle w:val="9"/>
              <w:spacing w:before="1" w:line="278" w:lineRule="auto"/>
              <w:ind w:left="106" w:right="88"/>
              <w:rPr>
                <w:sz w:val="21"/>
              </w:rPr>
            </w:pPr>
            <w:r>
              <w:rPr>
                <w:sz w:val="21"/>
              </w:rPr>
              <w:t>层位</w:t>
            </w:r>
          </w:p>
        </w:tc>
        <w:tc>
          <w:tcPr>
            <w:tcW w:w="10213" w:type="dxa"/>
            <w:gridSpan w:val="12"/>
          </w:tcPr>
          <w:p w14:paraId="7D883EBA">
            <w:pPr>
              <w:pStyle w:val="9"/>
              <w:spacing w:before="153"/>
              <w:ind w:left="3354" w:right="3334"/>
              <w:rPr>
                <w:sz w:val="21"/>
              </w:rPr>
            </w:pPr>
            <w:r>
              <w:rPr>
                <w:sz w:val="21"/>
              </w:rPr>
              <w:t>通过下列方筛孔(mm)的质量百分率(%)</w:t>
            </w:r>
          </w:p>
        </w:tc>
      </w:tr>
      <w:tr w14:paraId="3D45E9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426" w:type="dxa"/>
            <w:vMerge w:val="continue"/>
            <w:tcBorders>
              <w:top w:val="nil"/>
            </w:tcBorders>
          </w:tcPr>
          <w:p w14:paraId="6FC2A6C8">
            <w:pPr>
              <w:rPr>
                <w:sz w:val="2"/>
                <w:szCs w:val="2"/>
              </w:rPr>
            </w:pPr>
          </w:p>
        </w:tc>
        <w:tc>
          <w:tcPr>
            <w:tcW w:w="760" w:type="dxa"/>
          </w:tcPr>
          <w:p w14:paraId="198549DC">
            <w:pPr>
              <w:pStyle w:val="9"/>
              <w:spacing w:before="154"/>
              <w:ind w:left="149" w:right="130"/>
              <w:rPr>
                <w:sz w:val="21"/>
              </w:rPr>
            </w:pPr>
            <w:r>
              <w:rPr>
                <w:sz w:val="21"/>
              </w:rPr>
              <w:t>37.5</w:t>
            </w:r>
          </w:p>
        </w:tc>
        <w:tc>
          <w:tcPr>
            <w:tcW w:w="1076" w:type="dxa"/>
          </w:tcPr>
          <w:p w14:paraId="296F327F">
            <w:pPr>
              <w:pStyle w:val="9"/>
              <w:spacing w:before="154"/>
              <w:ind w:left="149" w:right="130"/>
              <w:rPr>
                <w:sz w:val="21"/>
              </w:rPr>
            </w:pPr>
            <w:r>
              <w:rPr>
                <w:sz w:val="21"/>
              </w:rPr>
              <w:t>31.5</w:t>
            </w:r>
          </w:p>
        </w:tc>
        <w:tc>
          <w:tcPr>
            <w:tcW w:w="848" w:type="dxa"/>
          </w:tcPr>
          <w:p w14:paraId="29F1071B">
            <w:pPr>
              <w:pStyle w:val="9"/>
              <w:spacing w:before="154"/>
              <w:ind w:left="87" w:right="67"/>
              <w:rPr>
                <w:sz w:val="21"/>
              </w:rPr>
            </w:pPr>
            <w:r>
              <w:rPr>
                <w:sz w:val="21"/>
              </w:rPr>
              <w:t>26.5</w:t>
            </w:r>
          </w:p>
        </w:tc>
        <w:tc>
          <w:tcPr>
            <w:tcW w:w="849" w:type="dxa"/>
          </w:tcPr>
          <w:p w14:paraId="1EAA6FE7">
            <w:pPr>
              <w:pStyle w:val="9"/>
              <w:spacing w:before="154"/>
              <w:ind w:left="86" w:right="69"/>
              <w:rPr>
                <w:sz w:val="21"/>
              </w:rPr>
            </w:pPr>
            <w:r>
              <w:rPr>
                <w:sz w:val="21"/>
              </w:rPr>
              <w:t>19</w:t>
            </w:r>
          </w:p>
        </w:tc>
        <w:tc>
          <w:tcPr>
            <w:tcW w:w="848" w:type="dxa"/>
          </w:tcPr>
          <w:p w14:paraId="0B93A346">
            <w:pPr>
              <w:pStyle w:val="9"/>
              <w:spacing w:before="154"/>
              <w:ind w:left="87" w:right="67"/>
              <w:rPr>
                <w:sz w:val="21"/>
              </w:rPr>
            </w:pPr>
            <w:r>
              <w:rPr>
                <w:sz w:val="21"/>
              </w:rPr>
              <w:t>16</w:t>
            </w:r>
          </w:p>
        </w:tc>
        <w:tc>
          <w:tcPr>
            <w:tcW w:w="849" w:type="dxa"/>
          </w:tcPr>
          <w:p w14:paraId="39EB6A4E">
            <w:pPr>
              <w:pStyle w:val="9"/>
              <w:spacing w:before="154"/>
              <w:ind w:left="86" w:right="69"/>
              <w:rPr>
                <w:sz w:val="21"/>
              </w:rPr>
            </w:pPr>
            <w:r>
              <w:rPr>
                <w:sz w:val="21"/>
              </w:rPr>
              <w:t>13.2</w:t>
            </w:r>
          </w:p>
        </w:tc>
        <w:tc>
          <w:tcPr>
            <w:tcW w:w="848" w:type="dxa"/>
          </w:tcPr>
          <w:p w14:paraId="1759FCD1">
            <w:pPr>
              <w:pStyle w:val="9"/>
              <w:spacing w:before="154"/>
              <w:ind w:left="87" w:right="68"/>
              <w:rPr>
                <w:sz w:val="21"/>
              </w:rPr>
            </w:pPr>
            <w:r>
              <w:rPr>
                <w:sz w:val="21"/>
              </w:rPr>
              <w:t>9.5</w:t>
            </w:r>
          </w:p>
        </w:tc>
        <w:tc>
          <w:tcPr>
            <w:tcW w:w="849" w:type="dxa"/>
          </w:tcPr>
          <w:p w14:paraId="7244A687">
            <w:pPr>
              <w:pStyle w:val="9"/>
              <w:spacing w:before="154"/>
              <w:ind w:left="86" w:right="69"/>
              <w:rPr>
                <w:sz w:val="21"/>
              </w:rPr>
            </w:pPr>
            <w:r>
              <w:rPr>
                <w:sz w:val="21"/>
              </w:rPr>
              <w:t>4.75</w:t>
            </w:r>
          </w:p>
        </w:tc>
        <w:tc>
          <w:tcPr>
            <w:tcW w:w="849" w:type="dxa"/>
          </w:tcPr>
          <w:p w14:paraId="4EB5899F">
            <w:pPr>
              <w:pStyle w:val="9"/>
              <w:spacing w:before="154"/>
              <w:ind w:left="87" w:right="69"/>
              <w:rPr>
                <w:sz w:val="21"/>
              </w:rPr>
            </w:pPr>
            <w:r>
              <w:rPr>
                <w:sz w:val="21"/>
              </w:rPr>
              <w:t>2.36</w:t>
            </w:r>
          </w:p>
        </w:tc>
        <w:tc>
          <w:tcPr>
            <w:tcW w:w="848" w:type="dxa"/>
          </w:tcPr>
          <w:p w14:paraId="256D66EA">
            <w:pPr>
              <w:pStyle w:val="9"/>
              <w:spacing w:before="154"/>
              <w:ind w:left="87" w:right="67"/>
              <w:rPr>
                <w:sz w:val="21"/>
              </w:rPr>
            </w:pPr>
            <w:r>
              <w:rPr>
                <w:sz w:val="21"/>
              </w:rPr>
              <w:t>1.18</w:t>
            </w:r>
          </w:p>
        </w:tc>
        <w:tc>
          <w:tcPr>
            <w:tcW w:w="848" w:type="dxa"/>
          </w:tcPr>
          <w:p w14:paraId="7111E3CA">
            <w:pPr>
              <w:pStyle w:val="9"/>
              <w:spacing w:before="154"/>
              <w:ind w:left="87" w:right="69"/>
              <w:rPr>
                <w:sz w:val="21"/>
              </w:rPr>
            </w:pPr>
            <w:r>
              <w:rPr>
                <w:sz w:val="21"/>
              </w:rPr>
              <w:t>0.6</w:t>
            </w:r>
          </w:p>
        </w:tc>
        <w:tc>
          <w:tcPr>
            <w:tcW w:w="741" w:type="dxa"/>
          </w:tcPr>
          <w:p w14:paraId="565CB2D8">
            <w:pPr>
              <w:pStyle w:val="9"/>
              <w:spacing w:before="154"/>
              <w:ind w:left="106"/>
              <w:rPr>
                <w:sz w:val="21"/>
              </w:rPr>
            </w:pPr>
            <w:r>
              <w:rPr>
                <w:sz w:val="21"/>
              </w:rPr>
              <w:t>0.075</w:t>
            </w:r>
          </w:p>
        </w:tc>
      </w:tr>
      <w:tr w14:paraId="1C2C2A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340" w:hRule="atLeast"/>
        </w:trPr>
        <w:tc>
          <w:tcPr>
            <w:tcW w:w="426" w:type="dxa"/>
          </w:tcPr>
          <w:p w14:paraId="3E0A76BB">
            <w:pPr>
              <w:pStyle w:val="9"/>
              <w:spacing w:before="4"/>
              <w:rPr>
                <w:sz w:val="17"/>
              </w:rPr>
            </w:pPr>
          </w:p>
          <w:p w14:paraId="3279CA10">
            <w:pPr>
              <w:pStyle w:val="9"/>
              <w:spacing w:before="1" w:line="278" w:lineRule="auto"/>
              <w:ind w:left="106" w:right="88"/>
              <w:jc w:val="both"/>
              <w:rPr>
                <w:sz w:val="21"/>
              </w:rPr>
            </w:pPr>
            <w:r>
              <w:rPr>
                <w:sz w:val="21"/>
              </w:rPr>
              <w:t>调平层</w:t>
            </w:r>
          </w:p>
        </w:tc>
        <w:tc>
          <w:tcPr>
            <w:tcW w:w="760" w:type="dxa"/>
          </w:tcPr>
          <w:p w14:paraId="05499165">
            <w:pPr>
              <w:pStyle w:val="9"/>
              <w:rPr>
                <w:sz w:val="20"/>
              </w:rPr>
            </w:pPr>
          </w:p>
          <w:p w14:paraId="725B9167">
            <w:pPr>
              <w:pStyle w:val="9"/>
              <w:spacing w:before="9"/>
              <w:rPr>
                <w:sz w:val="21"/>
              </w:rPr>
            </w:pPr>
          </w:p>
          <w:p w14:paraId="3DE601B9">
            <w:pPr>
              <w:pStyle w:val="9"/>
              <w:ind w:left="147" w:right="130"/>
              <w:rPr>
                <w:sz w:val="21"/>
              </w:rPr>
            </w:pPr>
            <w:r>
              <w:rPr>
                <w:sz w:val="21"/>
              </w:rPr>
              <w:t>100</w:t>
            </w:r>
          </w:p>
        </w:tc>
        <w:tc>
          <w:tcPr>
            <w:tcW w:w="1076" w:type="dxa"/>
          </w:tcPr>
          <w:p w14:paraId="3BDCDFDD">
            <w:pPr>
              <w:pStyle w:val="9"/>
              <w:rPr>
                <w:sz w:val="20"/>
              </w:rPr>
            </w:pPr>
          </w:p>
          <w:p w14:paraId="2384E9F8">
            <w:pPr>
              <w:pStyle w:val="9"/>
              <w:spacing w:before="9"/>
              <w:rPr>
                <w:sz w:val="21"/>
              </w:rPr>
            </w:pPr>
          </w:p>
          <w:p w14:paraId="3D1089EA">
            <w:pPr>
              <w:pStyle w:val="9"/>
              <w:ind w:left="149" w:right="132"/>
              <w:rPr>
                <w:sz w:val="21"/>
              </w:rPr>
            </w:pPr>
            <w:r>
              <w:rPr>
                <w:sz w:val="21"/>
              </w:rPr>
              <w:t>90～100</w:t>
            </w:r>
          </w:p>
        </w:tc>
        <w:tc>
          <w:tcPr>
            <w:tcW w:w="848" w:type="dxa"/>
          </w:tcPr>
          <w:p w14:paraId="3E87A00A">
            <w:pPr>
              <w:pStyle w:val="9"/>
              <w:rPr>
                <w:sz w:val="20"/>
              </w:rPr>
            </w:pPr>
          </w:p>
          <w:p w14:paraId="741364CA">
            <w:pPr>
              <w:pStyle w:val="9"/>
              <w:spacing w:before="9"/>
              <w:rPr>
                <w:sz w:val="21"/>
              </w:rPr>
            </w:pPr>
          </w:p>
          <w:p w14:paraId="270E8C53">
            <w:pPr>
              <w:pStyle w:val="9"/>
              <w:ind w:left="87" w:right="69"/>
              <w:rPr>
                <w:sz w:val="21"/>
              </w:rPr>
            </w:pPr>
            <w:r>
              <w:rPr>
                <w:sz w:val="21"/>
              </w:rPr>
              <w:t>80～93</w:t>
            </w:r>
          </w:p>
        </w:tc>
        <w:tc>
          <w:tcPr>
            <w:tcW w:w="849" w:type="dxa"/>
          </w:tcPr>
          <w:p w14:paraId="742A1834">
            <w:pPr>
              <w:pStyle w:val="9"/>
              <w:rPr>
                <w:sz w:val="20"/>
              </w:rPr>
            </w:pPr>
          </w:p>
          <w:p w14:paraId="0DEF6ABF">
            <w:pPr>
              <w:pStyle w:val="9"/>
              <w:spacing w:before="9"/>
              <w:rPr>
                <w:sz w:val="21"/>
              </w:rPr>
            </w:pPr>
          </w:p>
          <w:p w14:paraId="34DECB93">
            <w:pPr>
              <w:pStyle w:val="9"/>
              <w:ind w:left="87" w:right="67"/>
              <w:rPr>
                <w:sz w:val="21"/>
              </w:rPr>
            </w:pPr>
            <w:r>
              <w:rPr>
                <w:sz w:val="21"/>
              </w:rPr>
              <w:t>64～81</w:t>
            </w:r>
          </w:p>
        </w:tc>
        <w:tc>
          <w:tcPr>
            <w:tcW w:w="848" w:type="dxa"/>
          </w:tcPr>
          <w:p w14:paraId="623483FE">
            <w:pPr>
              <w:pStyle w:val="9"/>
              <w:rPr>
                <w:sz w:val="20"/>
              </w:rPr>
            </w:pPr>
          </w:p>
          <w:p w14:paraId="13B88CF4">
            <w:pPr>
              <w:pStyle w:val="9"/>
              <w:spacing w:before="9"/>
              <w:rPr>
                <w:sz w:val="21"/>
              </w:rPr>
            </w:pPr>
          </w:p>
          <w:p w14:paraId="2A0432C6">
            <w:pPr>
              <w:pStyle w:val="9"/>
              <w:ind w:left="87" w:right="70"/>
              <w:rPr>
                <w:sz w:val="21"/>
              </w:rPr>
            </w:pPr>
            <w:r>
              <w:rPr>
                <w:sz w:val="21"/>
              </w:rPr>
              <w:t>57～75</w:t>
            </w:r>
          </w:p>
        </w:tc>
        <w:tc>
          <w:tcPr>
            <w:tcW w:w="849" w:type="dxa"/>
          </w:tcPr>
          <w:p w14:paraId="7E1CB05D">
            <w:pPr>
              <w:pStyle w:val="9"/>
              <w:rPr>
                <w:sz w:val="20"/>
              </w:rPr>
            </w:pPr>
          </w:p>
          <w:p w14:paraId="2DA6E935">
            <w:pPr>
              <w:pStyle w:val="9"/>
              <w:spacing w:before="9"/>
              <w:rPr>
                <w:sz w:val="21"/>
              </w:rPr>
            </w:pPr>
          </w:p>
          <w:p w14:paraId="774D4ED2">
            <w:pPr>
              <w:pStyle w:val="9"/>
              <w:ind w:left="87" w:right="68"/>
              <w:rPr>
                <w:sz w:val="21"/>
              </w:rPr>
            </w:pPr>
            <w:r>
              <w:rPr>
                <w:sz w:val="21"/>
              </w:rPr>
              <w:t>50～69</w:t>
            </w:r>
          </w:p>
        </w:tc>
        <w:tc>
          <w:tcPr>
            <w:tcW w:w="848" w:type="dxa"/>
          </w:tcPr>
          <w:p w14:paraId="6BD5D3CF">
            <w:pPr>
              <w:pStyle w:val="9"/>
              <w:rPr>
                <w:sz w:val="20"/>
              </w:rPr>
            </w:pPr>
          </w:p>
          <w:p w14:paraId="052BA06B">
            <w:pPr>
              <w:pStyle w:val="9"/>
              <w:spacing w:before="9"/>
              <w:rPr>
                <w:sz w:val="21"/>
              </w:rPr>
            </w:pPr>
          </w:p>
          <w:p w14:paraId="75B5D1DB">
            <w:pPr>
              <w:pStyle w:val="9"/>
              <w:ind w:left="87" w:right="70"/>
              <w:rPr>
                <w:sz w:val="21"/>
              </w:rPr>
            </w:pPr>
            <w:r>
              <w:rPr>
                <w:sz w:val="21"/>
              </w:rPr>
              <w:t>40～60</w:t>
            </w:r>
          </w:p>
        </w:tc>
        <w:tc>
          <w:tcPr>
            <w:tcW w:w="849" w:type="dxa"/>
          </w:tcPr>
          <w:p w14:paraId="5B40A61C">
            <w:pPr>
              <w:pStyle w:val="9"/>
              <w:rPr>
                <w:sz w:val="20"/>
              </w:rPr>
            </w:pPr>
          </w:p>
          <w:p w14:paraId="5A315B35">
            <w:pPr>
              <w:pStyle w:val="9"/>
              <w:spacing w:before="9"/>
              <w:rPr>
                <w:sz w:val="21"/>
              </w:rPr>
            </w:pPr>
          </w:p>
          <w:p w14:paraId="3284F4B2">
            <w:pPr>
              <w:pStyle w:val="9"/>
              <w:ind w:left="87" w:right="68"/>
              <w:rPr>
                <w:sz w:val="21"/>
              </w:rPr>
            </w:pPr>
            <w:r>
              <w:rPr>
                <w:sz w:val="21"/>
              </w:rPr>
              <w:t>25～45</w:t>
            </w:r>
          </w:p>
        </w:tc>
        <w:tc>
          <w:tcPr>
            <w:tcW w:w="849" w:type="dxa"/>
          </w:tcPr>
          <w:p w14:paraId="31AC0E7B">
            <w:pPr>
              <w:pStyle w:val="9"/>
              <w:rPr>
                <w:sz w:val="20"/>
              </w:rPr>
            </w:pPr>
          </w:p>
          <w:p w14:paraId="30B458E7">
            <w:pPr>
              <w:pStyle w:val="9"/>
              <w:spacing w:before="9"/>
              <w:rPr>
                <w:sz w:val="21"/>
              </w:rPr>
            </w:pPr>
          </w:p>
          <w:p w14:paraId="11C3760E">
            <w:pPr>
              <w:pStyle w:val="9"/>
              <w:ind w:left="84" w:right="69"/>
              <w:rPr>
                <w:sz w:val="21"/>
              </w:rPr>
            </w:pPr>
            <w:r>
              <w:rPr>
                <w:sz w:val="21"/>
              </w:rPr>
              <w:t>16～31</w:t>
            </w:r>
          </w:p>
        </w:tc>
        <w:tc>
          <w:tcPr>
            <w:tcW w:w="848" w:type="dxa"/>
          </w:tcPr>
          <w:p w14:paraId="1294AC4A">
            <w:pPr>
              <w:pStyle w:val="9"/>
              <w:rPr>
                <w:sz w:val="20"/>
              </w:rPr>
            </w:pPr>
          </w:p>
          <w:p w14:paraId="6CA24502">
            <w:pPr>
              <w:pStyle w:val="9"/>
              <w:spacing w:before="9"/>
              <w:rPr>
                <w:sz w:val="21"/>
              </w:rPr>
            </w:pPr>
          </w:p>
          <w:p w14:paraId="283E4B6C">
            <w:pPr>
              <w:pStyle w:val="9"/>
              <w:ind w:left="87" w:right="69"/>
              <w:rPr>
                <w:sz w:val="21"/>
              </w:rPr>
            </w:pPr>
            <w:r>
              <w:rPr>
                <w:sz w:val="21"/>
              </w:rPr>
              <w:t>11～22</w:t>
            </w:r>
          </w:p>
        </w:tc>
        <w:tc>
          <w:tcPr>
            <w:tcW w:w="848" w:type="dxa"/>
          </w:tcPr>
          <w:p w14:paraId="78E04513">
            <w:pPr>
              <w:pStyle w:val="9"/>
              <w:rPr>
                <w:sz w:val="20"/>
              </w:rPr>
            </w:pPr>
          </w:p>
          <w:p w14:paraId="4EC6D7BF">
            <w:pPr>
              <w:pStyle w:val="9"/>
              <w:spacing w:before="9"/>
              <w:rPr>
                <w:sz w:val="21"/>
              </w:rPr>
            </w:pPr>
          </w:p>
          <w:p w14:paraId="3D4F9F51">
            <w:pPr>
              <w:pStyle w:val="9"/>
              <w:ind w:left="86" w:right="70"/>
              <w:rPr>
                <w:sz w:val="21"/>
              </w:rPr>
            </w:pPr>
            <w:r>
              <w:rPr>
                <w:sz w:val="21"/>
              </w:rPr>
              <w:t>7～15</w:t>
            </w:r>
          </w:p>
        </w:tc>
        <w:tc>
          <w:tcPr>
            <w:tcW w:w="741" w:type="dxa"/>
          </w:tcPr>
          <w:p w14:paraId="329FB39A">
            <w:pPr>
              <w:pStyle w:val="9"/>
              <w:rPr>
                <w:sz w:val="20"/>
              </w:rPr>
            </w:pPr>
          </w:p>
          <w:p w14:paraId="33B9F83B">
            <w:pPr>
              <w:pStyle w:val="9"/>
              <w:spacing w:before="9"/>
              <w:rPr>
                <w:sz w:val="21"/>
              </w:rPr>
            </w:pPr>
          </w:p>
          <w:p w14:paraId="0074CEBF">
            <w:pPr>
              <w:pStyle w:val="9"/>
              <w:ind w:left="159"/>
              <w:rPr>
                <w:sz w:val="21"/>
              </w:rPr>
            </w:pPr>
            <w:r>
              <w:rPr>
                <w:sz w:val="21"/>
              </w:rPr>
              <w:t>2～5</w:t>
            </w:r>
          </w:p>
        </w:tc>
      </w:tr>
    </w:tbl>
    <w:p w14:paraId="656D74DA">
      <w:pPr>
        <w:pStyle w:val="3"/>
        <w:numPr>
          <w:ilvl w:val="1"/>
          <w:numId w:val="3"/>
        </w:numPr>
        <w:tabs>
          <w:tab w:val="left" w:pos="875"/>
        </w:tabs>
        <w:spacing w:before="73"/>
        <w:ind w:hanging="354"/>
      </w:pPr>
      <w:r>
        <w:t>水泥混凝土施工方法及措施</w:t>
      </w:r>
    </w:p>
    <w:p w14:paraId="3328C446">
      <w:pPr>
        <w:pStyle w:val="10"/>
        <w:numPr>
          <w:ilvl w:val="2"/>
          <w:numId w:val="3"/>
        </w:numPr>
        <w:tabs>
          <w:tab w:val="left" w:pos="1084"/>
        </w:tabs>
        <w:spacing w:before="242"/>
        <w:ind w:hanging="563"/>
        <w:rPr>
          <w:b/>
          <w:sz w:val="28"/>
        </w:rPr>
      </w:pPr>
      <w:r>
        <w:rPr>
          <w:b/>
          <w:sz w:val="28"/>
        </w:rPr>
        <w:t>施工方法</w:t>
      </w:r>
    </w:p>
    <w:p w14:paraId="3DFE70F8">
      <w:pPr>
        <w:pStyle w:val="2"/>
        <w:spacing w:before="5"/>
        <w:rPr>
          <w:b/>
          <w:sz w:val="22"/>
        </w:rPr>
      </w:pPr>
    </w:p>
    <w:p w14:paraId="6540B521">
      <w:pPr>
        <w:pStyle w:val="2"/>
        <w:ind w:left="1042"/>
        <w:rPr>
          <w:rFonts w:ascii="黑体" w:hAnsi="黑体" w:eastAsia="黑体" w:cs="黑体"/>
        </w:rPr>
      </w:pPr>
      <w:r>
        <w:rPr>
          <w:rFonts w:hint="eastAsia" w:ascii="黑体" w:hAnsi="黑体" w:eastAsia="黑体" w:cs="黑体"/>
        </w:rPr>
        <w:t>①下承层准备</w:t>
      </w:r>
    </w:p>
    <w:p w14:paraId="7E71A76C">
      <w:pPr>
        <w:pStyle w:val="2"/>
        <w:spacing w:line="432" w:lineRule="auto"/>
        <w:ind w:left="521" w:right="235" w:firstLine="520"/>
        <w:jc w:val="both"/>
        <w:rPr>
          <w:rFonts w:ascii="黑体" w:hAnsi="黑体" w:eastAsia="黑体" w:cs="黑体"/>
        </w:rPr>
      </w:pPr>
      <w:r>
        <w:rPr>
          <w:rFonts w:hint="eastAsia" w:ascii="黑体" w:hAnsi="黑体" w:eastAsia="黑体" w:cs="黑体"/>
          <w:spacing w:val="-6"/>
          <w:w w:val="95"/>
        </w:rPr>
        <w:t xml:space="preserve">水泥混凝土浇筑前，应对基层的表面进行检查。对监理工程师验收合格的基层清除  </w:t>
      </w:r>
      <w:r>
        <w:rPr>
          <w:rFonts w:hint="eastAsia" w:ascii="黑体" w:hAnsi="黑体" w:eastAsia="黑体" w:cs="黑体"/>
          <w:spacing w:val="-10"/>
          <w:w w:val="95"/>
        </w:rPr>
        <w:t xml:space="preserve">表面浮土，砂石等杂物，做好排水设施，防止非施工人员进入现场破坏，污染基层。并  </w:t>
      </w:r>
      <w:r>
        <w:rPr>
          <w:rFonts w:hint="eastAsia" w:ascii="黑体" w:hAnsi="黑体" w:eastAsia="黑体" w:cs="黑体"/>
          <w:spacing w:val="-10"/>
        </w:rPr>
        <w:t>应保证作业面表面的湿润。</w:t>
      </w:r>
    </w:p>
    <w:p w14:paraId="6930E4C6">
      <w:pPr>
        <w:pStyle w:val="2"/>
        <w:spacing w:before="1"/>
        <w:ind w:left="1042"/>
        <w:rPr>
          <w:rFonts w:ascii="黑体" w:hAnsi="黑体" w:eastAsia="黑体" w:cs="黑体"/>
        </w:rPr>
      </w:pPr>
      <w:r>
        <w:rPr>
          <w:rFonts w:hint="eastAsia" w:ascii="黑体" w:hAnsi="黑体" w:eastAsia="黑体" w:cs="黑体"/>
        </w:rPr>
        <w:t>②测量放样</w:t>
      </w:r>
    </w:p>
    <w:p w14:paraId="13C57A97">
      <w:pPr>
        <w:pStyle w:val="2"/>
        <w:spacing w:line="434" w:lineRule="auto"/>
        <w:ind w:right="105" w:firstLine="669" w:firstLineChars="300"/>
        <w:rPr>
          <w:rFonts w:ascii="黑体" w:hAnsi="黑体" w:eastAsia="黑体" w:cs="黑体"/>
        </w:rPr>
      </w:pPr>
      <w:r>
        <w:rPr>
          <w:rFonts w:hint="eastAsia" w:ascii="黑体" w:hAnsi="黑体" w:eastAsia="黑体" w:cs="黑体"/>
          <w:spacing w:val="-12"/>
          <w:w w:val="95"/>
        </w:rPr>
        <w:t xml:space="preserve">检查基层平面尺寸、标高，横坡，达到规范要求后，测设路面中心线，设立水准点；  </w:t>
      </w:r>
      <w:r>
        <w:rPr>
          <w:rFonts w:hint="eastAsia" w:ascii="黑体" w:hAnsi="黑体" w:eastAsia="黑体" w:cs="黑体"/>
          <w:spacing w:val="-39"/>
        </w:rPr>
        <w:t xml:space="preserve">每 </w:t>
      </w:r>
      <w:r>
        <w:rPr>
          <w:rFonts w:hint="eastAsia" w:ascii="黑体" w:hAnsi="黑体" w:eastAsia="黑体" w:cs="黑体"/>
        </w:rPr>
        <w:t>10m 断面测定设计标高值，给水沟立模提供依据。</w:t>
      </w:r>
    </w:p>
    <w:p w14:paraId="19FCB399">
      <w:pPr>
        <w:pStyle w:val="2"/>
        <w:spacing w:line="327" w:lineRule="exact"/>
        <w:rPr>
          <w:rFonts w:ascii="黑体" w:hAnsi="黑体" w:eastAsia="黑体" w:cs="黑体"/>
        </w:rPr>
      </w:pPr>
      <w:r>
        <w:rPr>
          <w:rFonts w:hint="eastAsia" w:ascii="黑体" w:hAnsi="黑体" w:eastAsia="黑体" w:cs="黑体"/>
        </w:rPr>
        <w:t>③模板安装</w:t>
      </w:r>
    </w:p>
    <w:p w14:paraId="0E82A5AA">
      <w:pPr>
        <w:pStyle w:val="2"/>
        <w:spacing w:before="10"/>
        <w:rPr>
          <w:rFonts w:ascii="黑体" w:hAnsi="黑体" w:eastAsia="黑体" w:cs="黑体"/>
          <w:sz w:val="20"/>
        </w:rPr>
      </w:pPr>
    </w:p>
    <w:p w14:paraId="451A1D42">
      <w:pPr>
        <w:pStyle w:val="2"/>
        <w:spacing w:line="432" w:lineRule="auto"/>
        <w:ind w:right="235" w:firstLine="496" w:firstLineChars="200"/>
        <w:jc w:val="both"/>
        <w:rPr>
          <w:rFonts w:ascii="黑体" w:hAnsi="黑体" w:eastAsia="黑体" w:cs="黑体"/>
          <w:spacing w:val="-7"/>
          <w:szCs w:val="22"/>
        </w:rPr>
      </w:pPr>
      <w:r>
        <w:rPr>
          <w:rFonts w:hint="eastAsia" w:ascii="黑体" w:hAnsi="黑体" w:eastAsia="黑体" w:cs="黑体"/>
          <w:spacing w:val="-6"/>
        </w:rPr>
        <w:t>模板采用钢模，模板安装保证其具有足够的稳定性确保施工中不变形。模板的安装</w:t>
      </w:r>
      <w:r>
        <w:rPr>
          <w:rFonts w:hint="eastAsia" w:ascii="黑体" w:hAnsi="黑体" w:eastAsia="黑体" w:cs="黑体"/>
          <w:spacing w:val="-10"/>
        </w:rPr>
        <w:t>根据混凝土浇筑顺序而定，模板安装在水沟边缘上，安装完毕后，仔细检查模板的平顺性和</w:t>
      </w:r>
      <w:r>
        <w:rPr>
          <w:rFonts w:hint="eastAsia" w:ascii="黑体" w:hAnsi="黑体" w:eastAsia="黑体" w:cs="黑体"/>
          <w:spacing w:val="-7"/>
          <w:szCs w:val="22"/>
        </w:rPr>
        <w:t>垂直度，模板与基层接触面不得有缝隙，然后涂脱模剂。</w:t>
      </w:r>
    </w:p>
    <w:p w14:paraId="15E15727">
      <w:pPr>
        <w:pStyle w:val="2"/>
        <w:spacing w:before="2"/>
        <w:rPr>
          <w:rFonts w:ascii="黑体" w:hAnsi="黑体" w:eastAsia="黑体" w:cs="黑体"/>
          <w:spacing w:val="-7"/>
          <w:szCs w:val="22"/>
        </w:rPr>
      </w:pPr>
      <w:r>
        <w:rPr>
          <w:rFonts w:hint="eastAsia" w:ascii="黑体" w:hAnsi="黑体" w:eastAsia="黑体" w:cs="黑体"/>
          <w:spacing w:val="-7"/>
          <w:szCs w:val="22"/>
        </w:rPr>
        <w:t>④通过试铺确定以下内容，为正式施工提供依据：</w:t>
      </w:r>
    </w:p>
    <w:p w14:paraId="00D93569">
      <w:pPr>
        <w:pStyle w:val="2"/>
        <w:numPr>
          <w:ilvl w:val="0"/>
          <w:numId w:val="4"/>
        </w:numPr>
        <w:spacing w:line="432" w:lineRule="auto"/>
        <w:ind w:right="2923" w:firstLine="492" w:firstLineChars="200"/>
        <w:rPr>
          <w:rFonts w:ascii="黑体" w:hAnsi="黑体" w:eastAsia="黑体" w:cs="黑体"/>
          <w:spacing w:val="-7"/>
          <w:szCs w:val="22"/>
        </w:rPr>
      </w:pPr>
      <w:r>
        <w:rPr>
          <w:rFonts w:hint="eastAsia" w:ascii="黑体" w:hAnsi="黑体" w:eastAsia="黑体" w:cs="黑体"/>
          <w:spacing w:val="-7"/>
          <w:szCs w:val="22"/>
        </w:rPr>
        <w:t>验证用于施工的集料配合比比例、水灰比及拌和时间。</w:t>
      </w:r>
    </w:p>
    <w:p w14:paraId="27E2A023">
      <w:pPr>
        <w:pStyle w:val="2"/>
        <w:spacing w:line="432" w:lineRule="auto"/>
        <w:ind w:left="440" w:leftChars="200" w:right="2923"/>
        <w:rPr>
          <w:rFonts w:ascii="黑体" w:hAnsi="黑体" w:eastAsia="黑体" w:cs="黑体"/>
          <w:spacing w:val="-7"/>
          <w:szCs w:val="22"/>
        </w:rPr>
      </w:pPr>
      <w:r>
        <w:rPr>
          <w:rFonts w:hint="eastAsia" w:ascii="黑体" w:hAnsi="黑体" w:eastAsia="黑体" w:cs="黑体"/>
          <w:spacing w:val="-7"/>
          <w:szCs w:val="22"/>
        </w:rPr>
        <w:t>b、确定每一作业段的合适长度。</w:t>
      </w:r>
    </w:p>
    <w:p w14:paraId="3C2631E3">
      <w:pPr>
        <w:pStyle w:val="2"/>
        <w:spacing w:before="1"/>
        <w:ind w:firstLine="492" w:firstLineChars="200"/>
        <w:rPr>
          <w:rFonts w:ascii="黑体" w:hAnsi="黑体" w:eastAsia="黑体" w:cs="黑体"/>
          <w:spacing w:val="-7"/>
          <w:szCs w:val="22"/>
          <w:lang w:val="en-US"/>
        </w:rPr>
      </w:pPr>
      <w:r>
        <w:rPr>
          <w:rFonts w:hint="eastAsia" w:ascii="黑体" w:hAnsi="黑体" w:eastAsia="黑体" w:cs="黑体"/>
          <w:spacing w:val="-7"/>
          <w:szCs w:val="22"/>
        </w:rPr>
        <w:t>c、做好钢筋翻样，钢筋制作根据翻样图进行制作，要求尺寸、数量、钢筋型号准</w:t>
      </w:r>
      <w:r>
        <w:rPr>
          <w:rFonts w:hint="eastAsia" w:ascii="黑体" w:hAnsi="黑体" w:eastAsia="黑体" w:cs="黑体"/>
          <w:spacing w:val="-7"/>
          <w:szCs w:val="22"/>
          <w:lang w:val="en-US"/>
        </w:rPr>
        <w:t>确</w:t>
      </w:r>
    </w:p>
    <w:p w14:paraId="2054A846">
      <w:pPr>
        <w:pStyle w:val="2"/>
        <w:spacing w:before="1"/>
        <w:ind w:firstLine="492" w:firstLineChars="200"/>
        <w:rPr>
          <w:rFonts w:ascii="黑体" w:hAnsi="黑体" w:eastAsia="黑体" w:cs="黑体"/>
          <w:spacing w:val="-7"/>
          <w:szCs w:val="22"/>
        </w:rPr>
      </w:pPr>
      <w:r>
        <w:rPr>
          <w:rFonts w:hint="eastAsia" w:ascii="黑体" w:hAnsi="黑体" w:eastAsia="黑体" w:cs="黑体"/>
          <w:spacing w:val="-7"/>
          <w:szCs w:val="22"/>
        </w:rPr>
        <w:t>d、确定钢模脱模剂及用量，确定模板固定方式及弯曲度（弯道）、垂直度等，确定拆模、抹光、压纹、切缝时间。</w:t>
      </w:r>
    </w:p>
    <w:p w14:paraId="6AC83648">
      <w:pPr>
        <w:pStyle w:val="2"/>
        <w:spacing w:before="1"/>
        <w:ind w:firstLine="492" w:firstLineChars="200"/>
        <w:rPr>
          <w:rFonts w:ascii="黑体" w:hAnsi="黑体" w:eastAsia="黑体" w:cs="黑体"/>
          <w:spacing w:val="-7"/>
          <w:szCs w:val="22"/>
        </w:rPr>
      </w:pPr>
      <w:r>
        <w:rPr>
          <w:rFonts w:hint="eastAsia" w:ascii="黑体" w:hAnsi="黑体" w:eastAsia="黑体" w:cs="黑体"/>
          <w:spacing w:val="-7"/>
          <w:szCs w:val="22"/>
          <w:lang w:val="en-US"/>
        </w:rPr>
        <w:t>e、</w:t>
      </w:r>
      <w:r>
        <w:rPr>
          <w:rFonts w:hint="eastAsia" w:ascii="黑体" w:hAnsi="黑体" w:eastAsia="黑体" w:cs="黑体"/>
          <w:spacing w:val="-7"/>
          <w:szCs w:val="22"/>
        </w:rPr>
        <w:t>严格组织拌和、运输、振捣、等工序，缩短延迟时间。</w:t>
      </w:r>
    </w:p>
    <w:p w14:paraId="1DD7527B">
      <w:pPr>
        <w:pStyle w:val="2"/>
        <w:spacing w:before="1"/>
        <w:rPr>
          <w:rFonts w:ascii="黑体" w:hAnsi="黑体" w:eastAsia="黑体" w:cs="黑体"/>
          <w:spacing w:val="-7"/>
          <w:szCs w:val="22"/>
          <w:lang w:val="en-US"/>
        </w:rPr>
      </w:pPr>
      <w:r>
        <w:rPr>
          <w:rFonts w:hint="eastAsia" w:ascii="黑体" w:hAnsi="黑体" w:eastAsia="黑体" w:cs="黑体"/>
          <w:spacing w:val="-7"/>
          <w:szCs w:val="22"/>
        </w:rPr>
        <w:t>⑤混凝土拌和、运输、浇筑、振捣</w:t>
      </w:r>
    </w:p>
    <w:p w14:paraId="688408EE">
      <w:pPr>
        <w:spacing w:before="81" w:line="600" w:lineRule="exact"/>
        <w:ind w:firstLine="528"/>
        <w:rPr>
          <w:rFonts w:ascii="黑体" w:hAnsi="黑体" w:eastAsia="黑体" w:cs="黑体"/>
          <w:spacing w:val="-7"/>
          <w:sz w:val="26"/>
        </w:rPr>
      </w:pPr>
      <w:r>
        <w:rPr>
          <w:rFonts w:hint="eastAsia" w:ascii="黑体" w:hAnsi="黑体" w:eastAsia="黑体" w:cs="黑体"/>
          <w:spacing w:val="-7"/>
          <w:sz w:val="26"/>
        </w:rPr>
        <w:t>a 、按监理工程师批准的混凝土配合比拌制水泥混凝土。随时检测砂、石含水量以</w:t>
      </w:r>
    </w:p>
    <w:p w14:paraId="2C5780E8">
      <w:pPr>
        <w:spacing w:before="1" w:line="225" w:lineRule="auto"/>
        <w:ind w:firstLine="11"/>
        <w:rPr>
          <w:rFonts w:ascii="黑体" w:hAnsi="黑体" w:eastAsia="黑体" w:cs="黑体"/>
          <w:spacing w:val="-7"/>
          <w:sz w:val="26"/>
        </w:rPr>
      </w:pPr>
      <w:r>
        <w:rPr>
          <w:rFonts w:hint="eastAsia" w:ascii="黑体" w:hAnsi="黑体" w:eastAsia="黑体" w:cs="黑体"/>
          <w:spacing w:val="-7"/>
          <w:sz w:val="26"/>
        </w:rPr>
        <w:t>便于严格控制水灰比。混凝土出机时测定坍落度并制定试件。每台班拌第一罐混合料时，</w:t>
      </w:r>
    </w:p>
    <w:p w14:paraId="33F91415">
      <w:pPr>
        <w:spacing w:before="294" w:line="221" w:lineRule="auto"/>
        <w:ind w:firstLine="11"/>
        <w:rPr>
          <w:rFonts w:ascii="黑体" w:hAnsi="黑体" w:eastAsia="黑体" w:cs="黑体"/>
          <w:spacing w:val="-7"/>
          <w:sz w:val="26"/>
        </w:rPr>
      </w:pPr>
      <w:r>
        <w:rPr>
          <w:rFonts w:hint="eastAsia" w:ascii="黑体" w:hAnsi="黑体" w:eastAsia="黑体" w:cs="黑体"/>
          <w:spacing w:val="-7"/>
          <w:sz w:val="26"/>
        </w:rPr>
        <w:t>增加 10Kg～15Kg 水泥及相应的水与砂，以防止粘罐损失一部分砂浆，并适当延长搅拌</w:t>
      </w:r>
    </w:p>
    <w:p w14:paraId="75842E43">
      <w:pPr>
        <w:spacing w:before="300" w:line="228" w:lineRule="auto"/>
        <w:ind w:firstLine="22"/>
        <w:rPr>
          <w:rFonts w:ascii="黑体" w:hAnsi="黑体" w:eastAsia="黑体" w:cs="黑体"/>
          <w:spacing w:val="-7"/>
          <w:sz w:val="26"/>
        </w:rPr>
      </w:pPr>
      <w:r>
        <w:rPr>
          <w:rFonts w:hint="eastAsia" w:ascii="黑体" w:hAnsi="黑体" w:eastAsia="黑体" w:cs="黑体"/>
          <w:spacing w:val="-7"/>
          <w:sz w:val="26"/>
        </w:rPr>
        <w:t>时间。</w:t>
      </w:r>
    </w:p>
    <w:p w14:paraId="6AEFA8DD">
      <w:pPr>
        <w:spacing w:before="246" w:line="349" w:lineRule="exact"/>
        <w:ind w:firstLine="518"/>
        <w:rPr>
          <w:rFonts w:ascii="黑体" w:hAnsi="黑体" w:eastAsia="黑体" w:cs="黑体"/>
          <w:spacing w:val="-7"/>
          <w:sz w:val="26"/>
        </w:rPr>
      </w:pPr>
      <w:r>
        <w:rPr>
          <w:rFonts w:hint="eastAsia" w:ascii="黑体" w:hAnsi="黑体" w:eastAsia="黑体" w:cs="黑体"/>
          <w:spacing w:val="-7"/>
          <w:sz w:val="26"/>
        </w:rPr>
        <w:t>b 、采用搅拌运输车运输，避免车辆颠簸，造成混凝土离析。</w:t>
      </w:r>
    </w:p>
    <w:p w14:paraId="072E0F1D">
      <w:pPr>
        <w:spacing w:before="295" w:line="600" w:lineRule="exact"/>
        <w:ind w:firstLine="527"/>
        <w:rPr>
          <w:rFonts w:ascii="黑体" w:hAnsi="黑体" w:eastAsia="黑体" w:cs="黑体"/>
          <w:spacing w:val="-7"/>
          <w:sz w:val="26"/>
        </w:rPr>
      </w:pPr>
      <w:r>
        <w:rPr>
          <w:rFonts w:hint="eastAsia" w:ascii="黑体" w:hAnsi="黑体" w:eastAsia="黑体" w:cs="黑体"/>
          <w:spacing w:val="-7"/>
          <w:sz w:val="26"/>
        </w:rPr>
        <w:t>c 、混凝土振捣前进一步检查模板合格后，然后浇筑、振捣。振捣采用扦入式振捣</w:t>
      </w:r>
    </w:p>
    <w:p w14:paraId="0D068383">
      <w:pPr>
        <w:spacing w:before="2" w:line="225" w:lineRule="auto"/>
        <w:ind w:firstLine="10"/>
        <w:rPr>
          <w:rFonts w:ascii="黑体" w:hAnsi="黑体" w:eastAsia="黑体" w:cs="黑体"/>
          <w:spacing w:val="-7"/>
          <w:sz w:val="26"/>
        </w:rPr>
      </w:pPr>
      <w:r>
        <w:rPr>
          <w:rFonts w:hint="eastAsia" w:ascii="黑体" w:hAnsi="黑体" w:eastAsia="黑体" w:cs="黑体"/>
          <w:spacing w:val="-7"/>
          <w:sz w:val="26"/>
        </w:rPr>
        <w:t>棒、平板振捣器共同作业的方式，振捣过程中，辅以人工找平。随时检查模板有无松动，</w:t>
      </w:r>
    </w:p>
    <w:p w14:paraId="4DEFE000">
      <w:pPr>
        <w:spacing w:before="294" w:line="226" w:lineRule="auto"/>
        <w:ind w:firstLine="12"/>
        <w:rPr>
          <w:rFonts w:ascii="黑体" w:hAnsi="黑体" w:eastAsia="黑体" w:cs="黑体"/>
          <w:spacing w:val="-7"/>
          <w:sz w:val="26"/>
        </w:rPr>
      </w:pPr>
      <w:r>
        <w:rPr>
          <w:rFonts w:hint="eastAsia" w:ascii="黑体" w:hAnsi="黑体" w:eastAsia="黑体" w:cs="黑体"/>
          <w:spacing w:val="-7"/>
          <w:sz w:val="26"/>
        </w:rPr>
        <w:t>上升或沉降，发现问题，及时纠正。振捣棒拔出时速度要慢，以免产生空洞；  振动时</w:t>
      </w:r>
    </w:p>
    <w:p w14:paraId="06714EAC">
      <w:pPr>
        <w:spacing w:before="248" w:line="221" w:lineRule="auto"/>
        <w:ind w:firstLine="514" w:firstLineChars="209"/>
        <w:outlineLvl w:val="6"/>
        <w:rPr>
          <w:rFonts w:ascii="黑体" w:hAnsi="黑体" w:eastAsia="黑体" w:cs="黑体"/>
          <w:spacing w:val="-7"/>
          <w:sz w:val="26"/>
        </w:rPr>
      </w:pPr>
      <w:r>
        <w:rPr>
          <w:rFonts w:hint="eastAsia" w:ascii="黑体" w:hAnsi="黑体" w:eastAsia="黑体" w:cs="黑体"/>
          <w:spacing w:val="-7"/>
          <w:sz w:val="26"/>
        </w:rPr>
        <w:t>应把握尺度，防止漏振和过振，以彻底捣实混凝土，但时间不能太久，以至造成离析。</w:t>
      </w:r>
    </w:p>
    <w:p w14:paraId="43E3DAD3">
      <w:pPr>
        <w:spacing w:before="248" w:line="221" w:lineRule="auto"/>
        <w:ind w:firstLine="514" w:firstLineChars="209"/>
        <w:outlineLvl w:val="6"/>
        <w:rPr>
          <w:rFonts w:ascii="黑体" w:hAnsi="黑体" w:eastAsia="黑体" w:cs="黑体"/>
          <w:spacing w:val="-7"/>
          <w:sz w:val="26"/>
        </w:rPr>
      </w:pPr>
      <w:r>
        <w:rPr>
          <w:rFonts w:hint="eastAsia" w:ascii="黑体" w:hAnsi="黑体" w:eastAsia="黑体" w:cs="黑体"/>
          <w:spacing w:val="-7"/>
          <w:sz w:val="26"/>
        </w:rPr>
        <w:t>振动梁运行过程中不得有空洞、凸起，保证平整度。浇捣过程中应密切注意模板变形及</w:t>
      </w:r>
    </w:p>
    <w:p w14:paraId="174EAF4A">
      <w:pPr>
        <w:spacing w:before="248" w:line="221" w:lineRule="auto"/>
        <w:ind w:firstLine="514" w:firstLineChars="209"/>
        <w:outlineLvl w:val="6"/>
        <w:rPr>
          <w:rFonts w:ascii="黑体" w:hAnsi="黑体" w:eastAsia="黑体" w:cs="黑体"/>
          <w:spacing w:val="-7"/>
          <w:sz w:val="26"/>
        </w:rPr>
      </w:pPr>
      <w:r>
        <w:rPr>
          <w:rFonts w:hint="eastAsia" w:ascii="黑体" w:hAnsi="黑体" w:eastAsia="黑体" w:cs="黑体"/>
          <w:spacing w:val="-7"/>
          <w:sz w:val="26"/>
        </w:rPr>
        <w:t>漏浆，有发生现象应立即纠正。混凝土捣实后 24 小时之间，不得受到振动。</w:t>
      </w:r>
    </w:p>
    <w:p w14:paraId="40A76D2B">
      <w:pPr>
        <w:spacing w:before="248" w:line="221" w:lineRule="auto"/>
        <w:outlineLvl w:val="6"/>
        <w:rPr>
          <w:rFonts w:ascii="黑体" w:hAnsi="黑体" w:eastAsia="黑体" w:cs="黑体"/>
          <w:spacing w:val="-7"/>
          <w:sz w:val="26"/>
        </w:rPr>
      </w:pPr>
      <w:r>
        <w:rPr>
          <w:rFonts w:hint="eastAsia" w:ascii="黑体" w:hAnsi="黑体" w:eastAsia="黑体" w:cs="黑体"/>
          <w:spacing w:val="-7"/>
          <w:sz w:val="26"/>
        </w:rPr>
        <w:t>⑤做面、压槽</w:t>
      </w:r>
    </w:p>
    <w:p w14:paraId="7213E8CE">
      <w:pPr>
        <w:spacing w:before="248" w:line="221" w:lineRule="auto"/>
        <w:ind w:firstLine="514" w:firstLineChars="209"/>
        <w:outlineLvl w:val="6"/>
        <w:rPr>
          <w:rFonts w:ascii="黑体" w:hAnsi="黑体" w:eastAsia="黑体" w:cs="黑体"/>
          <w:spacing w:val="-7"/>
          <w:sz w:val="26"/>
        </w:rPr>
      </w:pPr>
      <w:r>
        <w:rPr>
          <w:rFonts w:hint="eastAsia" w:ascii="黑体" w:hAnsi="黑体" w:eastAsia="黑体" w:cs="黑体"/>
          <w:spacing w:val="-7"/>
          <w:sz w:val="26"/>
        </w:rPr>
        <w:t>a 、振捣完成收浆后用粗抹光机抹光，将凸出石子或不光之处抹平。最后用靠尺板</w:t>
      </w:r>
    </w:p>
    <w:p w14:paraId="00D70D0B">
      <w:pPr>
        <w:spacing w:before="248" w:line="221" w:lineRule="auto"/>
        <w:ind w:firstLine="514" w:firstLineChars="209"/>
        <w:outlineLvl w:val="6"/>
        <w:rPr>
          <w:rFonts w:ascii="黑体" w:hAnsi="黑体" w:eastAsia="黑体" w:cs="黑体"/>
          <w:spacing w:val="-7"/>
          <w:sz w:val="26"/>
        </w:rPr>
      </w:pPr>
      <w:r>
        <w:rPr>
          <w:rFonts w:hint="eastAsia" w:ascii="黑体" w:hAnsi="黑体" w:eastAsia="黑体" w:cs="黑体"/>
          <w:spacing w:val="-7"/>
          <w:sz w:val="26"/>
        </w:rPr>
        <w:t>检查路面平整度，符合要求后用铁抹子人工抹光。合格后进行表面横向纹处理，压纹时</w:t>
      </w:r>
    </w:p>
    <w:p w14:paraId="551C092E">
      <w:pPr>
        <w:spacing w:before="248" w:line="221" w:lineRule="auto"/>
        <w:ind w:firstLine="514" w:firstLineChars="209"/>
        <w:outlineLvl w:val="6"/>
        <w:rPr>
          <w:rFonts w:ascii="黑体" w:hAnsi="黑体" w:eastAsia="黑体" w:cs="黑体"/>
          <w:spacing w:val="-7"/>
          <w:sz w:val="26"/>
        </w:rPr>
      </w:pPr>
      <w:r>
        <w:rPr>
          <w:rFonts w:hint="eastAsia" w:ascii="黑体" w:hAnsi="黑体" w:eastAsia="黑体" w:cs="黑体"/>
          <w:spacing w:val="-7"/>
          <w:sz w:val="26"/>
        </w:rPr>
        <w:t>应掌握好砼表面的干湿度，现场检查可用手试摁砼，确定适当后，在两侧模板上搁置一</w:t>
      </w:r>
    </w:p>
    <w:p w14:paraId="2F990DAB">
      <w:pPr>
        <w:spacing w:before="248" w:line="221" w:lineRule="auto"/>
        <w:ind w:firstLine="514" w:firstLineChars="209"/>
        <w:outlineLvl w:val="6"/>
        <w:rPr>
          <w:rFonts w:ascii="黑体" w:hAnsi="黑体" w:eastAsia="黑体" w:cs="黑体"/>
          <w:spacing w:val="-7"/>
          <w:sz w:val="26"/>
        </w:rPr>
      </w:pPr>
      <w:r>
        <w:rPr>
          <w:rFonts w:hint="eastAsia" w:ascii="黑体" w:hAnsi="黑体" w:eastAsia="黑体" w:cs="黑体"/>
          <w:spacing w:val="-7"/>
          <w:sz w:val="26"/>
        </w:rPr>
        <w:t>根槽钢，提供压纹器过往轨道。采用压槽的方式，制作防滑道，并通过加大上部荷载改</w:t>
      </w:r>
    </w:p>
    <w:p w14:paraId="1DAE23E7">
      <w:pPr>
        <w:spacing w:before="248" w:line="221" w:lineRule="auto"/>
        <w:ind w:firstLine="514" w:firstLineChars="209"/>
        <w:outlineLvl w:val="6"/>
        <w:rPr>
          <w:rFonts w:ascii="黑体" w:hAnsi="黑体" w:eastAsia="黑体" w:cs="黑体"/>
          <w:spacing w:val="-7"/>
          <w:sz w:val="26"/>
        </w:rPr>
      </w:pPr>
      <w:r>
        <w:rPr>
          <w:rFonts w:hint="eastAsia" w:ascii="黑体" w:hAnsi="黑体" w:eastAsia="黑体" w:cs="黑体"/>
          <w:spacing w:val="-7"/>
          <w:sz w:val="26"/>
        </w:rPr>
        <w:t>变压槽效果。</w:t>
      </w:r>
    </w:p>
    <w:p w14:paraId="3CA41309">
      <w:pPr>
        <w:spacing w:before="248" w:line="221" w:lineRule="auto"/>
        <w:ind w:firstLine="514" w:firstLineChars="209"/>
        <w:outlineLvl w:val="6"/>
        <w:rPr>
          <w:rFonts w:ascii="黑体" w:hAnsi="黑体" w:eastAsia="黑体" w:cs="黑体"/>
          <w:spacing w:val="-7"/>
          <w:sz w:val="26"/>
        </w:rPr>
      </w:pPr>
      <w:r>
        <w:rPr>
          <w:rFonts w:hint="eastAsia" w:ascii="黑体" w:hAnsi="黑体" w:eastAsia="黑体" w:cs="黑体"/>
          <w:spacing w:val="-7"/>
          <w:sz w:val="26"/>
        </w:rPr>
        <w:t>b 、压槽完成后设置围档，以防人踩、破坏路面。混凝土浇注完成 12 小时后，拆模</w:t>
      </w:r>
    </w:p>
    <w:p w14:paraId="7D7B09FF">
      <w:pPr>
        <w:spacing w:before="248" w:line="221" w:lineRule="auto"/>
        <w:ind w:firstLine="514" w:firstLineChars="209"/>
        <w:outlineLvl w:val="6"/>
        <w:rPr>
          <w:rFonts w:ascii="黑体" w:hAnsi="黑体" w:eastAsia="黑体" w:cs="黑体"/>
          <w:spacing w:val="-7"/>
          <w:sz w:val="26"/>
        </w:rPr>
      </w:pPr>
      <w:r>
        <w:rPr>
          <w:rFonts w:hint="eastAsia" w:ascii="黑体" w:hAnsi="黑体" w:eastAsia="黑体" w:cs="黑体"/>
          <w:spacing w:val="-7"/>
          <w:sz w:val="26"/>
        </w:rPr>
        <w:t>养生。拆模时应小心，不得损边掉角。养生方法：应湿润混凝土，然后人工覆盖薄膜。</w:t>
      </w:r>
    </w:p>
    <w:p w14:paraId="743B71A5">
      <w:pPr>
        <w:spacing w:before="248" w:line="221" w:lineRule="auto"/>
        <w:ind w:firstLine="514" w:firstLineChars="209"/>
        <w:outlineLvl w:val="6"/>
        <w:rPr>
          <w:rFonts w:ascii="黑体" w:hAnsi="黑体" w:eastAsia="黑体" w:cs="黑体"/>
          <w:spacing w:val="-7"/>
          <w:sz w:val="26"/>
        </w:rPr>
      </w:pPr>
      <w:r>
        <w:rPr>
          <w:rFonts w:hint="eastAsia" w:ascii="黑体" w:hAnsi="黑体" w:eastAsia="黑体" w:cs="黑体"/>
          <w:spacing w:val="-7"/>
          <w:sz w:val="26"/>
        </w:rPr>
        <w:t>在 7 天内加强保湿养生，15 天内常规养生。养生期应封闭交通，不允许任何车辆通行。</w:t>
      </w:r>
    </w:p>
    <w:p w14:paraId="2783CA71">
      <w:pPr>
        <w:spacing w:before="248" w:line="221" w:lineRule="auto"/>
        <w:ind w:firstLine="516" w:firstLineChars="209"/>
        <w:outlineLvl w:val="6"/>
        <w:rPr>
          <w:rFonts w:ascii="黑体" w:hAnsi="黑体" w:eastAsia="黑体" w:cs="黑体"/>
          <w:b/>
          <w:bCs/>
          <w:spacing w:val="-7"/>
          <w:sz w:val="26"/>
        </w:rPr>
      </w:pPr>
      <w:r>
        <w:rPr>
          <w:rFonts w:hint="eastAsia" w:ascii="黑体" w:hAnsi="黑体" w:eastAsia="黑体" w:cs="黑体"/>
          <w:b/>
          <w:bCs/>
          <w:spacing w:val="-7"/>
          <w:sz w:val="26"/>
        </w:rPr>
        <w:t>6.7.2工艺措施</w:t>
      </w:r>
    </w:p>
    <w:p w14:paraId="05FA2280">
      <w:pPr>
        <w:spacing w:before="248" w:line="221" w:lineRule="auto"/>
        <w:ind w:firstLine="514" w:firstLineChars="209"/>
        <w:outlineLvl w:val="6"/>
        <w:rPr>
          <w:rFonts w:ascii="黑体" w:hAnsi="黑体" w:eastAsia="黑体" w:cs="黑体"/>
          <w:spacing w:val="-7"/>
          <w:sz w:val="26"/>
        </w:rPr>
      </w:pPr>
      <w:r>
        <w:rPr>
          <w:rFonts w:hint="eastAsia" w:ascii="黑体" w:hAnsi="黑体" w:eastAsia="黑体" w:cs="黑体"/>
          <w:spacing w:val="-7"/>
          <w:sz w:val="26"/>
        </w:rPr>
        <w:t>①严格按技术规范标准和监理程序选择性准备水泥混凝土路面原材料，做好混凝土</w:t>
      </w:r>
    </w:p>
    <w:p w14:paraId="680A4CFB">
      <w:pPr>
        <w:spacing w:before="248" w:line="221" w:lineRule="auto"/>
        <w:ind w:firstLine="514" w:firstLineChars="209"/>
        <w:outlineLvl w:val="6"/>
        <w:rPr>
          <w:rFonts w:ascii="黑体" w:hAnsi="黑体" w:eastAsia="黑体" w:cs="黑体"/>
          <w:spacing w:val="-7"/>
          <w:sz w:val="26"/>
        </w:rPr>
      </w:pPr>
      <w:r>
        <w:rPr>
          <w:rFonts w:hint="eastAsia" w:ascii="黑体" w:hAnsi="黑体" w:eastAsia="黑体" w:cs="黑体"/>
          <w:spacing w:val="-7"/>
          <w:sz w:val="26"/>
        </w:rPr>
        <w:t>配合比设计。</w:t>
      </w:r>
    </w:p>
    <w:p w14:paraId="6E383A22">
      <w:pPr>
        <w:spacing w:before="248" w:line="221" w:lineRule="auto"/>
        <w:ind w:firstLine="514" w:firstLineChars="209"/>
        <w:outlineLvl w:val="6"/>
        <w:rPr>
          <w:rFonts w:ascii="黑体" w:hAnsi="黑体" w:eastAsia="黑体" w:cs="黑体"/>
          <w:spacing w:val="-7"/>
          <w:sz w:val="26"/>
        </w:rPr>
      </w:pPr>
      <w:r>
        <w:rPr>
          <w:rFonts w:hint="eastAsia" w:ascii="黑体" w:hAnsi="黑体" w:eastAsia="黑体" w:cs="黑体"/>
          <w:spacing w:val="-7"/>
          <w:sz w:val="26"/>
        </w:rPr>
        <w:t>②严格执行合同规范和监理程序，做到前道工序未经检查认可，后道工序不施工。 施工过程中，成立专职的质检机构，严格按施工质量检查验收标准进行自检。</w:t>
      </w:r>
    </w:p>
    <w:p w14:paraId="7E1B1B57">
      <w:pPr>
        <w:spacing w:before="248" w:line="221" w:lineRule="auto"/>
        <w:ind w:firstLine="514" w:firstLineChars="209"/>
        <w:outlineLvl w:val="6"/>
        <w:rPr>
          <w:rFonts w:ascii="黑体" w:hAnsi="黑体" w:eastAsia="黑体" w:cs="黑体"/>
          <w:spacing w:val="-7"/>
          <w:sz w:val="26"/>
        </w:rPr>
      </w:pPr>
      <w:r>
        <w:rPr>
          <w:rFonts w:hint="eastAsia" w:ascii="黑体" w:hAnsi="黑体" w:eastAsia="黑体" w:cs="黑体"/>
          <w:spacing w:val="-7"/>
          <w:sz w:val="26"/>
        </w:rPr>
        <w:t>③混凝土制备时要准确地控制混合料的配合比，严格控制水灰比，出机时检查坍落 度等，每班制作试件保证混凝土质量。</w:t>
      </w:r>
    </w:p>
    <w:p w14:paraId="70F4D582">
      <w:pPr>
        <w:spacing w:before="248" w:line="221" w:lineRule="auto"/>
        <w:ind w:firstLine="514" w:firstLineChars="209"/>
        <w:outlineLvl w:val="6"/>
        <w:rPr>
          <w:rFonts w:ascii="黑体" w:hAnsi="黑体" w:eastAsia="黑体" w:cs="黑体"/>
          <w:spacing w:val="-7"/>
          <w:sz w:val="26"/>
        </w:rPr>
      </w:pPr>
      <w:r>
        <w:rPr>
          <w:rFonts w:hint="eastAsia" w:ascii="黑体" w:hAnsi="黑体" w:eastAsia="黑体" w:cs="黑体"/>
          <w:spacing w:val="-7"/>
          <w:sz w:val="26"/>
        </w:rPr>
        <w:t>④模板安装结实牢固，混凝土振捣时要防止侧力过大，挤倒侧模板。混凝土板周边 加强振捣，严防石料集中，确保周边表面砂浆充实饱满，便于密封。</w:t>
      </w:r>
    </w:p>
    <w:p w14:paraId="7BAFD4A2">
      <w:pPr>
        <w:spacing w:before="248" w:line="221" w:lineRule="auto"/>
        <w:ind w:firstLine="514" w:firstLineChars="209"/>
        <w:outlineLvl w:val="6"/>
        <w:rPr>
          <w:rFonts w:ascii="黑体" w:hAnsi="黑体" w:eastAsia="黑体" w:cs="黑体"/>
          <w:spacing w:val="-7"/>
          <w:sz w:val="26"/>
        </w:rPr>
      </w:pPr>
      <w:r>
        <w:rPr>
          <w:rFonts w:hint="eastAsia" w:ascii="黑体" w:hAnsi="黑体" w:eastAsia="黑体" w:cs="黑体"/>
          <w:spacing w:val="-7"/>
          <w:sz w:val="26"/>
        </w:rPr>
        <w:t>⑤严格按施工组织设计中明确的施工顺序、施工方法，施工工艺和保证质量的措施 组织实施，确保水泥混凝土面板施工质量。</w:t>
      </w:r>
    </w:p>
    <w:p w14:paraId="237D4729">
      <w:pPr>
        <w:spacing w:before="248" w:line="221" w:lineRule="auto"/>
        <w:ind w:firstLine="514" w:firstLineChars="209"/>
        <w:outlineLvl w:val="6"/>
        <w:rPr>
          <w:rFonts w:ascii="黑体" w:hAnsi="黑体" w:eastAsia="黑体" w:cs="黑体"/>
          <w:spacing w:val="-7"/>
          <w:sz w:val="26"/>
        </w:rPr>
      </w:pPr>
      <w:r>
        <w:rPr>
          <w:rFonts w:hint="eastAsia" w:ascii="黑体" w:hAnsi="黑体" w:eastAsia="黑体" w:cs="黑体"/>
          <w:spacing w:val="-7"/>
          <w:sz w:val="26"/>
        </w:rPr>
        <w:t>⑥对已成型的段落的混凝土抗折强度、厚度、平整度、中线平面偏位、纵坡坡度、 宽度、横坡度进行抽检。</w:t>
      </w:r>
    </w:p>
    <w:p w14:paraId="181FB08F">
      <w:pPr>
        <w:spacing w:before="1" w:line="236" w:lineRule="auto"/>
        <w:ind w:firstLine="21"/>
        <w:rPr>
          <w:rFonts w:ascii="黑体" w:hAnsi="黑体" w:eastAsia="黑体" w:cs="黑体"/>
          <w:b/>
          <w:bCs/>
          <w:sz w:val="29"/>
          <w:szCs w:val="29"/>
        </w:rPr>
      </w:pPr>
      <w:r>
        <w:rPr>
          <w:rFonts w:ascii="黑体" w:hAnsi="黑体" w:eastAsia="黑体" w:cs="黑体"/>
          <w:b/>
          <w:bCs/>
          <w:spacing w:val="10"/>
          <w:sz w:val="29"/>
          <w:szCs w:val="29"/>
        </w:rPr>
        <w:t>七</w:t>
      </w:r>
      <w:r>
        <w:rPr>
          <w:rFonts w:ascii="黑体" w:hAnsi="黑体" w:eastAsia="黑体" w:cs="黑体"/>
          <w:b/>
          <w:bCs/>
          <w:spacing w:val="11"/>
          <w:sz w:val="29"/>
          <w:szCs w:val="29"/>
        </w:rPr>
        <w:t>、</w:t>
      </w:r>
      <w:r>
        <w:rPr>
          <w:rFonts w:ascii="黑体" w:hAnsi="黑体" w:eastAsia="黑体" w:cs="黑体"/>
          <w:b/>
          <w:bCs/>
          <w:spacing w:val="10"/>
          <w:sz w:val="29"/>
          <w:szCs w:val="29"/>
        </w:rPr>
        <w:t>施</w:t>
      </w:r>
      <w:r>
        <w:rPr>
          <w:rFonts w:ascii="黑体" w:hAnsi="黑体" w:eastAsia="黑体" w:cs="黑体"/>
          <w:b/>
          <w:bCs/>
          <w:spacing w:val="9"/>
          <w:sz w:val="29"/>
          <w:szCs w:val="29"/>
        </w:rPr>
        <w:t>工注意事项</w:t>
      </w:r>
    </w:p>
    <w:p w14:paraId="12C52E6D">
      <w:pPr>
        <w:spacing w:before="228" w:line="228" w:lineRule="auto"/>
        <w:ind w:firstLine="21"/>
        <w:rPr>
          <w:b/>
          <w:bCs/>
          <w:sz w:val="28"/>
          <w:szCs w:val="28"/>
        </w:rPr>
      </w:pPr>
      <w:r>
        <w:rPr>
          <w:rFonts w:ascii="Times New Roman" w:hAnsi="Times New Roman" w:eastAsia="Times New Roman" w:cs="Times New Roman"/>
          <w:b/>
          <w:bCs/>
          <w:spacing w:val="4"/>
          <w:sz w:val="29"/>
          <w:szCs w:val="29"/>
        </w:rPr>
        <w:t>7</w:t>
      </w:r>
      <w:r>
        <w:rPr>
          <w:rFonts w:ascii="Times New Roman" w:hAnsi="Times New Roman" w:eastAsia="Times New Roman" w:cs="Times New Roman"/>
          <w:b/>
          <w:bCs/>
          <w:spacing w:val="2"/>
          <w:sz w:val="29"/>
          <w:szCs w:val="29"/>
        </w:rPr>
        <w:t>.</w:t>
      </w:r>
      <w:r>
        <w:rPr>
          <w:rFonts w:ascii="Times New Roman" w:hAnsi="Times New Roman" w:eastAsia="Times New Roman" w:cs="Times New Roman"/>
          <w:b/>
          <w:bCs/>
          <w:spacing w:val="4"/>
          <w:sz w:val="29"/>
          <w:szCs w:val="29"/>
        </w:rPr>
        <w:t>1</w:t>
      </w:r>
      <w:r>
        <w:rPr>
          <w:rFonts w:ascii="Times New Roman" w:hAnsi="Times New Roman" w:eastAsia="Times New Roman" w:cs="Times New Roman"/>
          <w:b/>
          <w:bCs/>
          <w:spacing w:val="2"/>
          <w:sz w:val="29"/>
          <w:szCs w:val="29"/>
        </w:rPr>
        <w:t xml:space="preserve"> </w:t>
      </w:r>
      <w:r>
        <w:rPr>
          <w:rFonts w:ascii="黑体" w:hAnsi="黑体" w:eastAsia="黑体" w:cs="黑体"/>
          <w:b/>
          <w:bCs/>
          <w:spacing w:val="6"/>
          <w:sz w:val="29"/>
          <w:szCs w:val="29"/>
        </w:rPr>
        <w:t>施工组织设</w:t>
      </w:r>
      <w:r>
        <w:rPr>
          <w:rFonts w:ascii="黑体" w:hAnsi="黑体" w:eastAsia="黑体" w:cs="黑体"/>
          <w:b/>
          <w:bCs/>
          <w:spacing w:val="5"/>
          <w:sz w:val="29"/>
          <w:szCs w:val="29"/>
        </w:rPr>
        <w:t>计与</w:t>
      </w:r>
      <w:r>
        <w:rPr>
          <w:b/>
          <w:bCs/>
          <w:spacing w:val="5"/>
          <w:sz w:val="28"/>
          <w:szCs w:val="28"/>
        </w:rPr>
        <w:t>公路作业安全管理</w:t>
      </w:r>
    </w:p>
    <w:p w14:paraId="3192C239">
      <w:pPr>
        <w:spacing w:before="248" w:line="221" w:lineRule="auto"/>
        <w:ind w:firstLine="514" w:firstLineChars="209"/>
        <w:outlineLvl w:val="6"/>
        <w:rPr>
          <w:rFonts w:ascii="黑体" w:hAnsi="黑体" w:eastAsia="黑体" w:cs="黑体"/>
          <w:spacing w:val="-7"/>
          <w:sz w:val="26"/>
        </w:rPr>
      </w:pPr>
      <w:r>
        <w:rPr>
          <w:rFonts w:hint="eastAsia" w:ascii="黑体" w:hAnsi="黑体" w:eastAsia="黑体" w:cs="黑体"/>
          <w:spacing w:val="-7"/>
          <w:sz w:val="26"/>
        </w:rPr>
        <w:t>施工时必须做好施工组织设计, 以保证施工期间的交通运输和施工作业不收到干扰。公路作业安全管理有两部分，一是对作业区以外的有限范围内实行交通管制，目的 是避免作业人员、设备与行驶车辆的安全隐患，保障道路畅通；二是对作业区内都作业人员进行必要的安全管理，确保施工安全。</w:t>
      </w:r>
    </w:p>
    <w:p w14:paraId="6631C824">
      <w:pPr>
        <w:spacing w:before="248" w:line="221" w:lineRule="auto"/>
        <w:ind w:firstLine="20"/>
        <w:outlineLvl w:val="6"/>
        <w:rPr>
          <w:b/>
          <w:bCs/>
          <w:sz w:val="28"/>
          <w:szCs w:val="28"/>
        </w:rPr>
      </w:pPr>
      <w:r>
        <w:rPr>
          <w:rFonts w:ascii="Times New Roman" w:hAnsi="Times New Roman" w:eastAsia="Times New Roman" w:cs="Times New Roman"/>
          <w:b/>
          <w:bCs/>
          <w:sz w:val="28"/>
          <w:szCs w:val="28"/>
        </w:rPr>
        <w:t>7.2</w:t>
      </w:r>
      <w:r>
        <w:rPr>
          <w:rFonts w:ascii="Times New Roman" w:hAnsi="Times New Roman" w:eastAsia="Times New Roman" w:cs="Times New Roman"/>
          <w:b/>
          <w:bCs/>
          <w:spacing w:val="-1"/>
          <w:sz w:val="28"/>
          <w:szCs w:val="28"/>
        </w:rPr>
        <w:t xml:space="preserve">  </w:t>
      </w:r>
      <w:r>
        <w:rPr>
          <w:b/>
          <w:bCs/>
          <w:sz w:val="28"/>
          <w:szCs w:val="28"/>
        </w:rPr>
        <w:t>交通组织通行方案</w:t>
      </w:r>
    </w:p>
    <w:p w14:paraId="1ED7F934">
      <w:pPr>
        <w:spacing w:before="248" w:line="221" w:lineRule="auto"/>
        <w:ind w:firstLine="514" w:firstLineChars="209"/>
        <w:outlineLvl w:val="6"/>
        <w:rPr>
          <w:rFonts w:ascii="黑体" w:hAnsi="黑体" w:eastAsia="黑体" w:cs="黑体"/>
          <w:spacing w:val="-7"/>
          <w:sz w:val="26"/>
        </w:rPr>
      </w:pPr>
      <w:r>
        <w:rPr>
          <w:rFonts w:hint="eastAsia" w:ascii="黑体" w:hAnsi="黑体" w:eastAsia="黑体" w:cs="黑体"/>
          <w:spacing w:val="-7"/>
          <w:sz w:val="26"/>
        </w:rPr>
        <w:t>为了预防车辆因不明前方是施工区域而造成车辆大量拥堵或者车辆冲入施工区域 而产生安全隐患，施工单位应结合实际路段上的交通特点，并在施工前一个星期，通知 施工区域居民注意安全出行，来往车辆注意绕行。</w:t>
      </w:r>
    </w:p>
    <w:p w14:paraId="5E7FF77C">
      <w:pPr>
        <w:spacing w:before="1" w:line="225" w:lineRule="auto"/>
        <w:ind w:firstLine="540"/>
        <w:rPr>
          <w:rFonts w:ascii="黑体" w:hAnsi="黑体" w:eastAsia="黑体" w:cs="黑体"/>
          <w:spacing w:val="-7"/>
          <w:sz w:val="26"/>
        </w:rPr>
      </w:pPr>
      <w:r>
        <w:rPr>
          <w:rFonts w:hint="eastAsia" w:ascii="黑体" w:hAnsi="黑体" w:eastAsia="黑体" w:cs="黑体"/>
          <w:spacing w:val="-7"/>
          <w:sz w:val="26"/>
        </w:rPr>
        <w:t>施工单位应在施工区域的前方设置警示牌（提醒前方施工，请绕行的施工标志），</w:t>
      </w:r>
    </w:p>
    <w:p w14:paraId="6E4647B4">
      <w:pPr>
        <w:pStyle w:val="2"/>
        <w:spacing w:before="63" w:line="432" w:lineRule="auto"/>
        <w:ind w:left="101" w:right="38"/>
        <w:rPr>
          <w:rFonts w:ascii="黑体" w:hAnsi="黑体" w:eastAsia="黑体" w:cs="黑体"/>
          <w:spacing w:val="-7"/>
          <w:szCs w:val="22"/>
        </w:rPr>
      </w:pPr>
      <w:r>
        <w:rPr>
          <w:rFonts w:hint="eastAsia" w:ascii="黑体" w:hAnsi="黑体" w:eastAsia="黑体" w:cs="黑体"/>
          <w:spacing w:val="-7"/>
          <w:szCs w:val="22"/>
        </w:rPr>
        <w:t>并在施工范围外前后两端交叉路口处安放“前方施工，请绕行”反光牌，合理分流交通，   必要时需组织专人在施工段落两侧指导车流绕行道路。</w:t>
      </w:r>
    </w:p>
    <w:p w14:paraId="1939C7AB">
      <w:pPr>
        <w:pStyle w:val="2"/>
        <w:spacing w:before="1" w:line="432" w:lineRule="auto"/>
        <w:ind w:left="101" w:right="167" w:firstLine="518"/>
        <w:rPr>
          <w:rFonts w:ascii="黑体" w:hAnsi="黑体" w:eastAsia="黑体" w:cs="黑体"/>
          <w:spacing w:val="-7"/>
          <w:szCs w:val="22"/>
        </w:rPr>
      </w:pPr>
      <w:r>
        <w:rPr>
          <w:rFonts w:hint="eastAsia" w:ascii="黑体" w:hAnsi="黑体" w:eastAsia="黑体" w:cs="黑体"/>
          <w:spacing w:val="-7"/>
          <w:szCs w:val="22"/>
        </w:rPr>
        <w:t>本项目施工车辆应限制载重，并由施工单位合理组织在公路上通行，应避免施工车  辆占用周边乡道、村道，对周边乡道、村道路面造成损伤。</w:t>
      </w:r>
    </w:p>
    <w:p w14:paraId="58ADA796">
      <w:pPr>
        <w:pStyle w:val="3"/>
        <w:numPr>
          <w:ilvl w:val="1"/>
          <w:numId w:val="5"/>
        </w:numPr>
        <w:tabs>
          <w:tab w:val="left" w:pos="455"/>
        </w:tabs>
        <w:spacing w:line="313" w:lineRule="exact"/>
        <w:ind w:hanging="354"/>
      </w:pPr>
      <w:r>
        <w:t>施工组织注意事项</w:t>
      </w:r>
    </w:p>
    <w:p w14:paraId="190315BD">
      <w:pPr>
        <w:pStyle w:val="2"/>
        <w:spacing w:before="7"/>
        <w:rPr>
          <w:b/>
          <w:sz w:val="22"/>
        </w:rPr>
      </w:pPr>
    </w:p>
    <w:p w14:paraId="2665AAE2">
      <w:pPr>
        <w:pStyle w:val="2"/>
        <w:spacing w:before="1"/>
        <w:rPr>
          <w:rFonts w:ascii="黑体" w:hAnsi="黑体" w:eastAsia="黑体" w:cs="黑体"/>
          <w:spacing w:val="-7"/>
          <w:szCs w:val="22"/>
        </w:rPr>
      </w:pPr>
      <w:r>
        <w:rPr>
          <w:rFonts w:hint="eastAsia" w:ascii="黑体" w:hAnsi="黑体" w:eastAsia="黑体" w:cs="黑体"/>
          <w:spacing w:val="-7"/>
          <w:szCs w:val="22"/>
        </w:rPr>
        <w:t>1、为满足施工作业的机具的通行要求，应全线统一协调安排、组织。</w:t>
      </w:r>
    </w:p>
    <w:p w14:paraId="255974EC">
      <w:pPr>
        <w:pStyle w:val="2"/>
        <w:spacing w:line="429" w:lineRule="auto"/>
        <w:ind w:right="167"/>
        <w:rPr>
          <w:rFonts w:ascii="黑体" w:hAnsi="黑体" w:eastAsia="黑体" w:cs="黑体"/>
          <w:spacing w:val="-7"/>
          <w:szCs w:val="22"/>
        </w:rPr>
      </w:pPr>
      <w:r>
        <w:rPr>
          <w:rFonts w:hint="eastAsia" w:ascii="黑体" w:hAnsi="黑体" w:eastAsia="黑体" w:cs="黑体"/>
          <w:spacing w:val="-7"/>
          <w:szCs w:val="22"/>
        </w:rPr>
        <w:t>2、建议施工单位必须采用相应机器设备进行施工，并选用专业化施工队伍，确保工期和路面施工质量。</w:t>
      </w:r>
    </w:p>
    <w:p w14:paraId="73E74CE2">
      <w:pPr>
        <w:pStyle w:val="2"/>
        <w:spacing w:before="8" w:line="429" w:lineRule="auto"/>
        <w:ind w:right="167"/>
        <w:rPr>
          <w:rFonts w:ascii="黑体" w:hAnsi="黑体" w:eastAsia="黑体" w:cs="黑体"/>
          <w:spacing w:val="-7"/>
          <w:szCs w:val="22"/>
        </w:rPr>
      </w:pPr>
      <w:r>
        <w:rPr>
          <w:rFonts w:hint="eastAsia" w:ascii="黑体" w:hAnsi="黑体" w:eastAsia="黑体" w:cs="黑体"/>
          <w:spacing w:val="-7"/>
          <w:szCs w:val="22"/>
        </w:rPr>
        <w:t>3、施工时前应对现场作业人员组织施工安全教育，施工现场应设置醒目的安全警示标志和安全防护措施。</w:t>
      </w:r>
    </w:p>
    <w:p w14:paraId="0B7D816D">
      <w:pPr>
        <w:pStyle w:val="2"/>
        <w:spacing w:before="7"/>
        <w:rPr>
          <w:rFonts w:ascii="黑体" w:hAnsi="黑体" w:eastAsia="黑体" w:cs="黑体"/>
          <w:spacing w:val="-7"/>
          <w:szCs w:val="22"/>
        </w:rPr>
      </w:pPr>
      <w:r>
        <w:rPr>
          <w:rFonts w:hint="eastAsia" w:ascii="黑体" w:hAnsi="黑体" w:eastAsia="黑体" w:cs="黑体"/>
          <w:spacing w:val="-7"/>
          <w:szCs w:val="22"/>
        </w:rPr>
        <w:t>4、加强交通管制，必要时采用分段施工，确保施工期间车辆，行人安全通行。</w:t>
      </w:r>
    </w:p>
    <w:p w14:paraId="68DAE7DF">
      <w:pPr>
        <w:pStyle w:val="2"/>
        <w:spacing w:before="7"/>
        <w:rPr>
          <w:rFonts w:ascii="黑体" w:hAnsi="黑体" w:eastAsia="黑体" w:cs="黑体"/>
          <w:spacing w:val="-7"/>
          <w:szCs w:val="22"/>
        </w:rPr>
      </w:pPr>
      <w:r>
        <w:rPr>
          <w:rFonts w:hint="eastAsia" w:ascii="黑体" w:hAnsi="黑体" w:eastAsia="黑体" w:cs="黑体"/>
          <w:spacing w:val="-7"/>
          <w:szCs w:val="22"/>
        </w:rPr>
        <w:t>5、施工中应严格制定可行的安全质量保障体系，确保工程质量。</w:t>
      </w:r>
    </w:p>
    <w:p w14:paraId="30FE3579">
      <w:pPr>
        <w:pStyle w:val="3"/>
        <w:numPr>
          <w:ilvl w:val="1"/>
          <w:numId w:val="5"/>
        </w:numPr>
        <w:tabs>
          <w:tab w:val="left" w:pos="522"/>
        </w:tabs>
        <w:spacing w:before="241"/>
        <w:ind w:left="521" w:hanging="421"/>
      </w:pPr>
      <w:r>
        <w:t>路面施工注意事项</w:t>
      </w:r>
    </w:p>
    <w:p w14:paraId="2356262B">
      <w:pPr>
        <w:pStyle w:val="2"/>
        <w:spacing w:before="259"/>
        <w:ind w:left="620"/>
        <w:rPr>
          <w:rFonts w:ascii="黑体" w:hAnsi="黑体" w:eastAsia="黑体" w:cs="黑体"/>
          <w:spacing w:val="-7"/>
          <w:szCs w:val="22"/>
        </w:rPr>
      </w:pPr>
      <w:r>
        <w:rPr>
          <w:rFonts w:hint="eastAsia" w:ascii="黑体" w:hAnsi="黑体" w:eastAsia="黑体" w:cs="黑体"/>
          <w:spacing w:val="-7"/>
          <w:szCs w:val="22"/>
        </w:rPr>
        <w:t>除严格按照有关现场施工规范和设计要求进行施工外，还应注意如下事项：</w:t>
      </w:r>
    </w:p>
    <w:p w14:paraId="3B0316D7">
      <w:pPr>
        <w:pStyle w:val="10"/>
        <w:numPr>
          <w:ilvl w:val="2"/>
          <w:numId w:val="5"/>
        </w:numPr>
        <w:tabs>
          <w:tab w:val="left" w:pos="1278"/>
        </w:tabs>
        <w:spacing w:line="432" w:lineRule="auto"/>
        <w:ind w:right="165" w:firstLine="518"/>
        <w:jc w:val="both"/>
        <w:rPr>
          <w:rFonts w:ascii="黑体" w:hAnsi="黑体" w:eastAsia="黑体" w:cs="黑体"/>
          <w:spacing w:val="-7"/>
          <w:sz w:val="26"/>
        </w:rPr>
      </w:pPr>
      <w:r>
        <w:rPr>
          <w:rFonts w:hint="eastAsia" w:ascii="黑体" w:hAnsi="黑体" w:eastAsia="黑体" w:cs="黑体"/>
          <w:spacing w:val="-7"/>
          <w:sz w:val="26"/>
        </w:rPr>
        <w:t>水泥混凝土必须及早试验、选择、订购符合要求的材料，充分利用同类道路与同类材料的施工实践经验，根据现场自然环境、材料供应、施工进度等情况，经配合  比设计确定各材料的用量。并选用施工方法，指导现场施工。</w:t>
      </w:r>
    </w:p>
    <w:p w14:paraId="008FFA12">
      <w:pPr>
        <w:pStyle w:val="10"/>
        <w:numPr>
          <w:ilvl w:val="2"/>
          <w:numId w:val="5"/>
        </w:numPr>
        <w:tabs>
          <w:tab w:val="left" w:pos="1278"/>
        </w:tabs>
        <w:spacing w:before="1" w:line="432" w:lineRule="auto"/>
        <w:ind w:right="38" w:firstLine="518"/>
        <w:rPr>
          <w:rFonts w:ascii="黑体" w:hAnsi="黑体" w:eastAsia="黑体" w:cs="黑体"/>
        </w:rPr>
      </w:pPr>
      <w:r>
        <w:rPr>
          <w:rFonts w:hint="eastAsia" w:ascii="黑体" w:hAnsi="黑体" w:eastAsia="黑体" w:cs="黑体"/>
          <w:sz w:val="26"/>
        </w:rPr>
        <w:t>在工程开始前以及施工过程中发生材料来源和规格的变化时，必须对材料的</w:t>
      </w:r>
      <w:r>
        <w:rPr>
          <w:rFonts w:hint="eastAsia" w:ascii="黑体" w:hAnsi="黑体" w:eastAsia="黑体" w:cs="黑体"/>
          <w:spacing w:val="-7"/>
          <w:sz w:val="26"/>
        </w:rPr>
        <w:t>来源、材料的质量、数量、供应计划、材料场堆放及储存条件等进行检查。特别是在水</w:t>
      </w:r>
      <w:r>
        <w:rPr>
          <w:rFonts w:hint="eastAsia" w:ascii="黑体" w:hAnsi="黑体" w:eastAsia="黑体" w:cs="黑体"/>
          <w:spacing w:val="-18"/>
          <w:w w:val="95"/>
          <w:sz w:val="26"/>
        </w:rPr>
        <w:t xml:space="preserve">泥混凝土面层施工时，在供料和收料过程中，必须保持不同规格碎石颗粒组成的一致性，   </w:t>
      </w:r>
      <w:r>
        <w:rPr>
          <w:rFonts w:hint="eastAsia" w:ascii="黑体" w:hAnsi="黑体" w:eastAsia="黑体" w:cs="黑体"/>
          <w:spacing w:val="-18"/>
          <w:sz w:val="26"/>
        </w:rPr>
        <w:t>以保证水泥混凝土的矿料级配始终在设计规范规定的范围之内。</w:t>
      </w:r>
      <w:r>
        <w:rPr>
          <w:rFonts w:hint="eastAsia" w:ascii="黑体" w:hAnsi="黑体" w:eastAsia="黑体" w:cs="黑体"/>
          <w:sz w:val="26"/>
        </w:rPr>
        <w:t>施工过程中工程质量检查的内容、频率、质量标准应符合现行规范的有关要求。当检查结构达不到规定要求时，应追加检查次数，检查原因，做好处理，使各道工序的质量指标均达到设计要求，然后方可进行下一道工序。</w:t>
      </w:r>
    </w:p>
    <w:p w14:paraId="2E792E5A">
      <w:pPr>
        <w:pStyle w:val="10"/>
        <w:numPr>
          <w:ilvl w:val="2"/>
          <w:numId w:val="5"/>
        </w:numPr>
        <w:tabs>
          <w:tab w:val="left" w:pos="1272"/>
        </w:tabs>
        <w:spacing w:before="3"/>
        <w:ind w:left="1271" w:hanging="650"/>
        <w:rPr>
          <w:rFonts w:ascii="黑体" w:hAnsi="黑体" w:eastAsia="黑体" w:cs="黑体"/>
          <w:sz w:val="26"/>
        </w:rPr>
      </w:pPr>
      <w:r>
        <w:rPr>
          <w:rFonts w:hint="eastAsia" w:ascii="黑体" w:hAnsi="黑体" w:eastAsia="黑体" w:cs="黑体"/>
          <w:sz w:val="26"/>
        </w:rPr>
        <w:t>按规范要求做好每一结构层交工验收阶段的工程质量自检工作。</w:t>
      </w:r>
    </w:p>
    <w:p w14:paraId="79F3F3CE">
      <w:pPr>
        <w:pStyle w:val="3"/>
        <w:numPr>
          <w:ilvl w:val="1"/>
          <w:numId w:val="5"/>
        </w:numPr>
        <w:tabs>
          <w:tab w:val="left" w:pos="455"/>
        </w:tabs>
        <w:spacing w:before="218"/>
        <w:ind w:hanging="354"/>
      </w:pPr>
      <w:r>
        <w:t>其他未尽事宜请严格按照国家有关施工规范执行。</w:t>
      </w:r>
    </w:p>
    <w:p w14:paraId="1EDD2B9F">
      <w:pPr>
        <w:spacing w:before="310" w:line="224" w:lineRule="auto"/>
        <w:ind w:firstLine="528"/>
        <w:rPr>
          <w:sz w:val="26"/>
        </w:rPr>
      </w:pPr>
    </w:p>
    <w:p w14:paraId="25DF45B6"/>
    <w:p w14:paraId="01820D85">
      <w:pPr>
        <w:pStyle w:val="2"/>
        <w:spacing w:before="1"/>
        <w:ind w:left="129" w:firstLine="1040" w:firstLineChars="400"/>
      </w:pPr>
    </w:p>
    <w:p w14:paraId="754D55D8"/>
    <w:p w14:paraId="32E337F5">
      <w:pPr>
        <w:pStyle w:val="2"/>
        <w:spacing w:before="229"/>
        <w:ind w:left="221"/>
      </w:pPr>
    </w:p>
    <w:p w14:paraId="51E67404">
      <w:pPr>
        <w:pStyle w:val="2"/>
        <w:spacing w:before="258"/>
        <w:ind w:left="740"/>
      </w:pPr>
    </w:p>
    <w:p w14:paraId="10FD9845">
      <w:pPr>
        <w:pStyle w:val="2"/>
        <w:spacing w:before="259" w:line="403" w:lineRule="auto"/>
        <w:ind w:right="38" w:firstLine="462" w:firstLineChars="200"/>
        <w:rPr>
          <w:spacing w:val="-8"/>
          <w:w w:val="95"/>
          <w:lang w:val="en-US"/>
        </w:rPr>
      </w:pPr>
    </w:p>
    <w:p w14:paraId="6BC7483C">
      <w:pPr>
        <w:pStyle w:val="2"/>
        <w:spacing w:line="432" w:lineRule="auto"/>
        <w:ind w:right="167"/>
        <w:jc w:val="both"/>
        <w:rPr>
          <w:spacing w:val="-7"/>
          <w:w w:val="95"/>
          <w:lang w:val="en-US"/>
        </w:rPr>
      </w:pPr>
    </w:p>
    <w:p w14:paraId="572B1657">
      <w:pPr>
        <w:pStyle w:val="2"/>
        <w:spacing w:before="1"/>
      </w:pPr>
    </w:p>
    <w:p w14:paraId="2B04DADA">
      <w:pPr>
        <w:pStyle w:val="10"/>
        <w:tabs>
          <w:tab w:val="left" w:pos="1272"/>
        </w:tabs>
        <w:ind w:left="0" w:firstLine="0"/>
      </w:pPr>
    </w:p>
    <w:p w14:paraId="744CAF77">
      <w:pPr>
        <w:pStyle w:val="2"/>
        <w:spacing w:line="432" w:lineRule="auto"/>
        <w:ind w:right="167" w:firstLine="466" w:firstLineChars="200"/>
        <w:jc w:val="both"/>
        <w:rPr>
          <w:spacing w:val="-7"/>
          <w:w w:val="95"/>
        </w:rPr>
      </w:pPr>
    </w:p>
    <w:p w14:paraId="3CF45301">
      <w:pPr>
        <w:pStyle w:val="10"/>
        <w:tabs>
          <w:tab w:val="left" w:pos="1272"/>
        </w:tabs>
        <w:spacing w:before="1" w:line="240" w:lineRule="atLeast"/>
        <w:ind w:left="621" w:firstLine="0"/>
        <w:rPr>
          <w:spacing w:val="-7"/>
          <w:w w:val="95"/>
          <w:sz w:val="26"/>
          <w:szCs w:val="26"/>
        </w:rPr>
      </w:pPr>
    </w:p>
    <w:p w14:paraId="04212110">
      <w:pPr>
        <w:pStyle w:val="10"/>
        <w:tabs>
          <w:tab w:val="left" w:pos="1272"/>
        </w:tabs>
        <w:spacing w:before="1" w:line="240" w:lineRule="atLeast"/>
        <w:ind w:left="621" w:firstLine="0"/>
        <w:rPr>
          <w:spacing w:val="-7"/>
          <w:w w:val="95"/>
          <w:sz w:val="26"/>
          <w:szCs w:val="26"/>
        </w:rPr>
      </w:pPr>
    </w:p>
    <w:p w14:paraId="05FE122C"/>
    <w:sectPr>
      <w:pgSz w:w="23811" w:h="16838" w:orient="landscape"/>
      <w:pgMar w:top="1800" w:right="1440" w:bottom="1800" w:left="1440" w:header="851" w:footer="992" w:gutter="0"/>
      <w:cols w:equalWidth="0" w:num="2">
        <w:col w:w="10253" w:space="425"/>
        <w:col w:w="10253"/>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E337DD"/>
    <w:multiLevelType w:val="multilevel"/>
    <w:tmpl w:val="84E337DD"/>
    <w:lvl w:ilvl="0" w:tentative="0">
      <w:start w:val="6"/>
      <w:numFmt w:val="decimal"/>
      <w:lvlText w:val="%1"/>
      <w:lvlJc w:val="left"/>
      <w:pPr>
        <w:ind w:left="874" w:hanging="353"/>
      </w:pPr>
      <w:rPr>
        <w:rFonts w:hint="default"/>
        <w:lang w:val="zh-CN" w:eastAsia="zh-CN" w:bidi="zh-CN"/>
      </w:rPr>
    </w:lvl>
    <w:lvl w:ilvl="1" w:tentative="0">
      <w:start w:val="7"/>
      <w:numFmt w:val="decimal"/>
      <w:lvlText w:val="%1.%2"/>
      <w:lvlJc w:val="left"/>
      <w:pPr>
        <w:ind w:left="874" w:hanging="353"/>
      </w:pPr>
      <w:rPr>
        <w:rFonts w:hint="default" w:ascii="Times New Roman" w:hAnsi="Times New Roman" w:eastAsia="Times New Roman" w:cs="Times New Roman"/>
        <w:b/>
        <w:bCs/>
        <w:spacing w:val="-2"/>
        <w:w w:val="100"/>
        <w:sz w:val="26"/>
        <w:szCs w:val="26"/>
        <w:lang w:val="zh-CN" w:eastAsia="zh-CN" w:bidi="zh-CN"/>
      </w:rPr>
    </w:lvl>
    <w:lvl w:ilvl="2" w:tentative="0">
      <w:start w:val="1"/>
      <w:numFmt w:val="decimal"/>
      <w:lvlText w:val="%1.%2.%3"/>
      <w:lvlJc w:val="left"/>
      <w:pPr>
        <w:ind w:left="1083" w:hanging="562"/>
      </w:pPr>
      <w:rPr>
        <w:rFonts w:hint="default" w:ascii="Times New Roman" w:hAnsi="Times New Roman" w:eastAsia="Times New Roman" w:cs="Times New Roman"/>
        <w:b/>
        <w:bCs/>
        <w:spacing w:val="-2"/>
        <w:w w:val="100"/>
        <w:sz w:val="26"/>
        <w:szCs w:val="26"/>
        <w:lang w:val="zh-CN" w:eastAsia="zh-CN" w:bidi="zh-CN"/>
      </w:rPr>
    </w:lvl>
    <w:lvl w:ilvl="3" w:tentative="0">
      <w:start w:val="0"/>
      <w:numFmt w:val="bullet"/>
      <w:lvlText w:val="•"/>
      <w:lvlJc w:val="left"/>
      <w:pPr>
        <w:ind w:left="3191" w:hanging="562"/>
      </w:pPr>
      <w:rPr>
        <w:rFonts w:hint="default"/>
        <w:lang w:val="zh-CN" w:eastAsia="zh-CN" w:bidi="zh-CN"/>
      </w:rPr>
    </w:lvl>
    <w:lvl w:ilvl="4" w:tentative="0">
      <w:start w:val="0"/>
      <w:numFmt w:val="bullet"/>
      <w:lvlText w:val="•"/>
      <w:lvlJc w:val="left"/>
      <w:pPr>
        <w:ind w:left="4247" w:hanging="562"/>
      </w:pPr>
      <w:rPr>
        <w:rFonts w:hint="default"/>
        <w:lang w:val="zh-CN" w:eastAsia="zh-CN" w:bidi="zh-CN"/>
      </w:rPr>
    </w:lvl>
    <w:lvl w:ilvl="5" w:tentative="0">
      <w:start w:val="0"/>
      <w:numFmt w:val="bullet"/>
      <w:lvlText w:val="•"/>
      <w:lvlJc w:val="left"/>
      <w:pPr>
        <w:ind w:left="5303" w:hanging="562"/>
      </w:pPr>
      <w:rPr>
        <w:rFonts w:hint="default"/>
        <w:lang w:val="zh-CN" w:eastAsia="zh-CN" w:bidi="zh-CN"/>
      </w:rPr>
    </w:lvl>
    <w:lvl w:ilvl="6" w:tentative="0">
      <w:start w:val="0"/>
      <w:numFmt w:val="bullet"/>
      <w:lvlText w:val="•"/>
      <w:lvlJc w:val="left"/>
      <w:pPr>
        <w:ind w:left="6358" w:hanging="562"/>
      </w:pPr>
      <w:rPr>
        <w:rFonts w:hint="default"/>
        <w:lang w:val="zh-CN" w:eastAsia="zh-CN" w:bidi="zh-CN"/>
      </w:rPr>
    </w:lvl>
    <w:lvl w:ilvl="7" w:tentative="0">
      <w:start w:val="0"/>
      <w:numFmt w:val="bullet"/>
      <w:lvlText w:val="•"/>
      <w:lvlJc w:val="left"/>
      <w:pPr>
        <w:ind w:left="7414" w:hanging="562"/>
      </w:pPr>
      <w:rPr>
        <w:rFonts w:hint="default"/>
        <w:lang w:val="zh-CN" w:eastAsia="zh-CN" w:bidi="zh-CN"/>
      </w:rPr>
    </w:lvl>
    <w:lvl w:ilvl="8" w:tentative="0">
      <w:start w:val="0"/>
      <w:numFmt w:val="bullet"/>
      <w:lvlText w:val="•"/>
      <w:lvlJc w:val="left"/>
      <w:pPr>
        <w:ind w:left="8470" w:hanging="562"/>
      </w:pPr>
      <w:rPr>
        <w:rFonts w:hint="default"/>
        <w:lang w:val="zh-CN" w:eastAsia="zh-CN" w:bidi="zh-CN"/>
      </w:rPr>
    </w:lvl>
  </w:abstractNum>
  <w:abstractNum w:abstractNumId="1">
    <w:nsid w:val="ABA44D75"/>
    <w:multiLevelType w:val="singleLevel"/>
    <w:tmpl w:val="ABA44D75"/>
    <w:lvl w:ilvl="0" w:tentative="0">
      <w:start w:val="1"/>
      <w:numFmt w:val="lowerLetter"/>
      <w:suff w:val="nothing"/>
      <w:lvlText w:val="%1、"/>
      <w:lvlJc w:val="left"/>
    </w:lvl>
  </w:abstractNum>
  <w:abstractNum w:abstractNumId="2">
    <w:nsid w:val="B9B6F84D"/>
    <w:multiLevelType w:val="multilevel"/>
    <w:tmpl w:val="B9B6F84D"/>
    <w:lvl w:ilvl="0" w:tentative="0">
      <w:start w:val="7"/>
      <w:numFmt w:val="decimal"/>
      <w:lvlText w:val="%1"/>
      <w:lvlJc w:val="left"/>
      <w:pPr>
        <w:ind w:left="454" w:hanging="353"/>
      </w:pPr>
      <w:rPr>
        <w:rFonts w:hint="default"/>
        <w:lang w:val="zh-CN" w:eastAsia="zh-CN" w:bidi="zh-CN"/>
      </w:rPr>
    </w:lvl>
    <w:lvl w:ilvl="1" w:tentative="0">
      <w:start w:val="3"/>
      <w:numFmt w:val="decimal"/>
      <w:lvlText w:val="%1.%2"/>
      <w:lvlJc w:val="left"/>
      <w:pPr>
        <w:ind w:left="454" w:hanging="353"/>
      </w:pPr>
      <w:rPr>
        <w:rFonts w:hint="default" w:ascii="Times New Roman" w:hAnsi="Times New Roman" w:eastAsia="Times New Roman" w:cs="Times New Roman"/>
        <w:b/>
        <w:bCs/>
        <w:spacing w:val="-2"/>
        <w:w w:val="100"/>
        <w:sz w:val="26"/>
        <w:szCs w:val="26"/>
        <w:lang w:val="zh-CN" w:eastAsia="zh-CN" w:bidi="zh-CN"/>
      </w:rPr>
    </w:lvl>
    <w:lvl w:ilvl="2" w:tentative="0">
      <w:start w:val="1"/>
      <w:numFmt w:val="decimal"/>
      <w:lvlText w:val="（%3）"/>
      <w:lvlJc w:val="left"/>
      <w:pPr>
        <w:ind w:left="101" w:hanging="658"/>
      </w:pPr>
      <w:rPr>
        <w:rFonts w:hint="default" w:ascii="宋体" w:hAnsi="宋体" w:eastAsia="宋体" w:cs="宋体"/>
        <w:spacing w:val="2"/>
        <w:w w:val="99"/>
        <w:sz w:val="24"/>
        <w:szCs w:val="24"/>
        <w:lang w:val="zh-CN" w:eastAsia="zh-CN" w:bidi="zh-CN"/>
      </w:rPr>
    </w:lvl>
    <w:lvl w:ilvl="3" w:tentative="0">
      <w:start w:val="0"/>
      <w:numFmt w:val="bullet"/>
      <w:lvlText w:val="•"/>
      <w:lvlJc w:val="left"/>
      <w:pPr>
        <w:ind w:left="2600" w:hanging="658"/>
      </w:pPr>
      <w:rPr>
        <w:rFonts w:hint="default"/>
        <w:lang w:val="zh-CN" w:eastAsia="zh-CN" w:bidi="zh-CN"/>
      </w:rPr>
    </w:lvl>
    <w:lvl w:ilvl="4" w:tentative="0">
      <w:start w:val="0"/>
      <w:numFmt w:val="bullet"/>
      <w:lvlText w:val="•"/>
      <w:lvlJc w:val="left"/>
      <w:pPr>
        <w:ind w:left="3670" w:hanging="658"/>
      </w:pPr>
      <w:rPr>
        <w:rFonts w:hint="default"/>
        <w:lang w:val="zh-CN" w:eastAsia="zh-CN" w:bidi="zh-CN"/>
      </w:rPr>
    </w:lvl>
    <w:lvl w:ilvl="5" w:tentative="0">
      <w:start w:val="0"/>
      <w:numFmt w:val="bullet"/>
      <w:lvlText w:val="•"/>
      <w:lvlJc w:val="left"/>
      <w:pPr>
        <w:ind w:left="4740" w:hanging="658"/>
      </w:pPr>
      <w:rPr>
        <w:rFonts w:hint="default"/>
        <w:lang w:val="zh-CN" w:eastAsia="zh-CN" w:bidi="zh-CN"/>
      </w:rPr>
    </w:lvl>
    <w:lvl w:ilvl="6" w:tentative="0">
      <w:start w:val="0"/>
      <w:numFmt w:val="bullet"/>
      <w:lvlText w:val="•"/>
      <w:lvlJc w:val="left"/>
      <w:pPr>
        <w:ind w:left="5811" w:hanging="658"/>
      </w:pPr>
      <w:rPr>
        <w:rFonts w:hint="default"/>
        <w:lang w:val="zh-CN" w:eastAsia="zh-CN" w:bidi="zh-CN"/>
      </w:rPr>
    </w:lvl>
    <w:lvl w:ilvl="7" w:tentative="0">
      <w:start w:val="0"/>
      <w:numFmt w:val="bullet"/>
      <w:lvlText w:val="•"/>
      <w:lvlJc w:val="left"/>
      <w:pPr>
        <w:ind w:left="6881" w:hanging="658"/>
      </w:pPr>
      <w:rPr>
        <w:rFonts w:hint="default"/>
        <w:lang w:val="zh-CN" w:eastAsia="zh-CN" w:bidi="zh-CN"/>
      </w:rPr>
    </w:lvl>
    <w:lvl w:ilvl="8" w:tentative="0">
      <w:start w:val="0"/>
      <w:numFmt w:val="bullet"/>
      <w:lvlText w:val="•"/>
      <w:lvlJc w:val="left"/>
      <w:pPr>
        <w:ind w:left="7951" w:hanging="658"/>
      </w:pPr>
      <w:rPr>
        <w:rFonts w:hint="default"/>
        <w:lang w:val="zh-CN" w:eastAsia="zh-CN" w:bidi="zh-CN"/>
      </w:rPr>
    </w:lvl>
  </w:abstractNum>
  <w:abstractNum w:abstractNumId="3">
    <w:nsid w:val="BF205925"/>
    <w:multiLevelType w:val="multilevel"/>
    <w:tmpl w:val="BF205925"/>
    <w:lvl w:ilvl="0" w:tentative="0">
      <w:start w:val="3"/>
      <w:numFmt w:val="decimal"/>
      <w:lvlText w:val="%1"/>
      <w:lvlJc w:val="left"/>
      <w:pPr>
        <w:ind w:left="454" w:hanging="353"/>
      </w:pPr>
      <w:rPr>
        <w:rFonts w:hint="default"/>
        <w:lang w:val="zh-CN" w:eastAsia="zh-CN" w:bidi="zh-CN"/>
      </w:rPr>
    </w:lvl>
    <w:lvl w:ilvl="1" w:tentative="0">
      <w:start w:val="1"/>
      <w:numFmt w:val="decimal"/>
      <w:lvlText w:val="%1.%2"/>
      <w:lvlJc w:val="left"/>
      <w:pPr>
        <w:ind w:left="794" w:hanging="353"/>
      </w:pPr>
      <w:rPr>
        <w:rFonts w:hint="default" w:ascii="Times New Roman" w:hAnsi="Times New Roman" w:eastAsia="Times New Roman" w:cs="Times New Roman"/>
        <w:b/>
        <w:bCs/>
        <w:spacing w:val="-2"/>
        <w:w w:val="100"/>
        <w:sz w:val="26"/>
        <w:szCs w:val="26"/>
        <w:lang w:val="zh-CN" w:eastAsia="zh-CN" w:bidi="zh-CN"/>
      </w:rPr>
    </w:lvl>
    <w:lvl w:ilvl="2" w:tentative="0">
      <w:start w:val="1"/>
      <w:numFmt w:val="decimal"/>
      <w:lvlText w:val="（%3）"/>
      <w:lvlJc w:val="left"/>
      <w:pPr>
        <w:ind w:left="1271" w:hanging="649"/>
      </w:pPr>
      <w:rPr>
        <w:rFonts w:hint="default" w:ascii="宋体" w:hAnsi="宋体" w:eastAsia="宋体" w:cs="宋体"/>
        <w:w w:val="99"/>
        <w:sz w:val="24"/>
        <w:szCs w:val="24"/>
        <w:lang w:val="zh-CN" w:eastAsia="zh-CN" w:bidi="zh-CN"/>
      </w:rPr>
    </w:lvl>
    <w:lvl w:ilvl="3" w:tentative="0">
      <w:start w:val="0"/>
      <w:numFmt w:val="bullet"/>
      <w:lvlText w:val="•"/>
      <w:lvlJc w:val="left"/>
      <w:pPr>
        <w:ind w:left="3236" w:hanging="649"/>
      </w:pPr>
      <w:rPr>
        <w:rFonts w:hint="default"/>
        <w:lang w:val="zh-CN" w:eastAsia="zh-CN" w:bidi="zh-CN"/>
      </w:rPr>
    </w:lvl>
    <w:lvl w:ilvl="4" w:tentative="0">
      <w:start w:val="0"/>
      <w:numFmt w:val="bullet"/>
      <w:lvlText w:val="•"/>
      <w:lvlJc w:val="left"/>
      <w:pPr>
        <w:ind w:left="4214" w:hanging="649"/>
      </w:pPr>
      <w:rPr>
        <w:rFonts w:hint="default"/>
        <w:lang w:val="zh-CN" w:eastAsia="zh-CN" w:bidi="zh-CN"/>
      </w:rPr>
    </w:lvl>
    <w:lvl w:ilvl="5" w:tentative="0">
      <w:start w:val="0"/>
      <w:numFmt w:val="bullet"/>
      <w:lvlText w:val="•"/>
      <w:lvlJc w:val="left"/>
      <w:pPr>
        <w:ind w:left="5192" w:hanging="649"/>
      </w:pPr>
      <w:rPr>
        <w:rFonts w:hint="default"/>
        <w:lang w:val="zh-CN" w:eastAsia="zh-CN" w:bidi="zh-CN"/>
      </w:rPr>
    </w:lvl>
    <w:lvl w:ilvl="6" w:tentative="0">
      <w:start w:val="0"/>
      <w:numFmt w:val="bullet"/>
      <w:lvlText w:val="•"/>
      <w:lvlJc w:val="left"/>
      <w:pPr>
        <w:ind w:left="6170" w:hanging="649"/>
      </w:pPr>
      <w:rPr>
        <w:rFonts w:hint="default"/>
        <w:lang w:val="zh-CN" w:eastAsia="zh-CN" w:bidi="zh-CN"/>
      </w:rPr>
    </w:lvl>
    <w:lvl w:ilvl="7" w:tentative="0">
      <w:start w:val="0"/>
      <w:numFmt w:val="bullet"/>
      <w:lvlText w:val="•"/>
      <w:lvlJc w:val="left"/>
      <w:pPr>
        <w:ind w:left="7148" w:hanging="649"/>
      </w:pPr>
      <w:rPr>
        <w:rFonts w:hint="default"/>
        <w:lang w:val="zh-CN" w:eastAsia="zh-CN" w:bidi="zh-CN"/>
      </w:rPr>
    </w:lvl>
    <w:lvl w:ilvl="8" w:tentative="0">
      <w:start w:val="0"/>
      <w:numFmt w:val="bullet"/>
      <w:lvlText w:val="•"/>
      <w:lvlJc w:val="left"/>
      <w:pPr>
        <w:ind w:left="8126" w:hanging="649"/>
      </w:pPr>
      <w:rPr>
        <w:rFonts w:hint="default"/>
        <w:lang w:val="zh-CN" w:eastAsia="zh-CN" w:bidi="zh-CN"/>
      </w:rPr>
    </w:lvl>
  </w:abstractNum>
  <w:abstractNum w:abstractNumId="4">
    <w:nsid w:val="28374203"/>
    <w:multiLevelType w:val="singleLevel"/>
    <w:tmpl w:val="28374203"/>
    <w:lvl w:ilvl="0" w:tentative="0">
      <w:start w:val="5"/>
      <w:numFmt w:val="chineseCounting"/>
      <w:suff w:val="nothing"/>
      <w:lvlText w:val="%1、"/>
      <w:lvlJc w:val="left"/>
      <w:rPr>
        <w:rFonts w:hint="eastAsia"/>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Y5MWZiZTU4MzJmODA0OTBhODNkZjg0OWFlNWQwNzIifQ=="/>
  </w:docVars>
  <w:rsids>
    <w:rsidRoot w:val="132149BE"/>
    <w:rsid w:val="001344B0"/>
    <w:rsid w:val="0019556F"/>
    <w:rsid w:val="00241E5B"/>
    <w:rsid w:val="00312841"/>
    <w:rsid w:val="004B1E31"/>
    <w:rsid w:val="00593BA9"/>
    <w:rsid w:val="006F15C1"/>
    <w:rsid w:val="00797034"/>
    <w:rsid w:val="00855CC6"/>
    <w:rsid w:val="00857AC4"/>
    <w:rsid w:val="009007E2"/>
    <w:rsid w:val="009A3822"/>
    <w:rsid w:val="00B6205C"/>
    <w:rsid w:val="00BA10BB"/>
    <w:rsid w:val="00BA629C"/>
    <w:rsid w:val="00C749F5"/>
    <w:rsid w:val="00CD5B00"/>
    <w:rsid w:val="00DF7AD4"/>
    <w:rsid w:val="00E96F86"/>
    <w:rsid w:val="00F54006"/>
    <w:rsid w:val="00F8086B"/>
    <w:rsid w:val="00FF044E"/>
    <w:rsid w:val="01D36CD6"/>
    <w:rsid w:val="07DB442D"/>
    <w:rsid w:val="132149BE"/>
    <w:rsid w:val="1FA11760"/>
    <w:rsid w:val="221024D1"/>
    <w:rsid w:val="32394FB3"/>
    <w:rsid w:val="342219B9"/>
    <w:rsid w:val="36A12862"/>
    <w:rsid w:val="3DBF3452"/>
    <w:rsid w:val="3E7D6BEA"/>
    <w:rsid w:val="506F5290"/>
    <w:rsid w:val="51B03666"/>
    <w:rsid w:val="54900DFD"/>
    <w:rsid w:val="549C43C6"/>
    <w:rsid w:val="56196381"/>
    <w:rsid w:val="57D61EE8"/>
    <w:rsid w:val="58F65FF3"/>
    <w:rsid w:val="5CF41EC4"/>
    <w:rsid w:val="61E62E61"/>
    <w:rsid w:val="64414F21"/>
    <w:rsid w:val="66F222BF"/>
    <w:rsid w:val="67F8002D"/>
    <w:rsid w:val="69B87A66"/>
    <w:rsid w:val="6A4E7D43"/>
    <w:rsid w:val="6EA04F26"/>
    <w:rsid w:val="70CF78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ind w:left="101"/>
      <w:outlineLvl w:val="0"/>
    </w:pPr>
    <w:rPr>
      <w:rFonts w:ascii="黑体" w:hAnsi="黑体" w:eastAsia="黑体" w:cs="黑体"/>
      <w:b/>
      <w:bCs/>
      <w:sz w:val="30"/>
      <w:szCs w:val="30"/>
    </w:rPr>
  </w:style>
  <w:style w:type="paragraph" w:styleId="4">
    <w:name w:val="heading 2"/>
    <w:basedOn w:val="1"/>
    <w:next w:val="1"/>
    <w:qFormat/>
    <w:uiPriority w:val="1"/>
    <w:pPr>
      <w:spacing w:before="173"/>
      <w:ind w:left="454" w:hanging="354"/>
      <w:outlineLvl w:val="1"/>
    </w:pPr>
    <w:rPr>
      <w:b/>
      <w:bCs/>
      <w:sz w:val="28"/>
      <w:szCs w:val="28"/>
    </w:rPr>
  </w:style>
  <w:style w:type="paragraph" w:styleId="5">
    <w:name w:val="heading 3"/>
    <w:basedOn w:val="1"/>
    <w:next w:val="1"/>
    <w:unhideWhenUsed/>
    <w:qFormat/>
    <w:uiPriority w:val="0"/>
    <w:pPr>
      <w:keepNext/>
      <w:keepLines/>
      <w:spacing w:before="260" w:after="260" w:line="413" w:lineRule="auto"/>
      <w:outlineLvl w:val="2"/>
    </w:pPr>
    <w:rPr>
      <w:b/>
      <w:sz w:val="32"/>
    </w:rPr>
  </w:style>
  <w:style w:type="paragraph" w:styleId="6">
    <w:name w:val="heading 4"/>
    <w:basedOn w:val="1"/>
    <w:next w:val="1"/>
    <w:unhideWhenUsed/>
    <w:qFormat/>
    <w:uiPriority w:val="0"/>
    <w:pPr>
      <w:keepNext/>
      <w:keepLines/>
      <w:spacing w:before="280" w:after="290" w:line="372" w:lineRule="auto"/>
      <w:outlineLvl w:val="3"/>
    </w:pPr>
    <w:rPr>
      <w:rFonts w:ascii="Arial" w:hAnsi="Arial" w:eastAsia="黑体"/>
      <w:b/>
      <w:sz w:val="28"/>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rPr>
      <w:sz w:val="26"/>
      <w:szCs w:val="26"/>
    </w:rPr>
  </w:style>
  <w:style w:type="paragraph" w:customStyle="1" w:styleId="9">
    <w:name w:val="Table Paragraph"/>
    <w:basedOn w:val="1"/>
    <w:qFormat/>
    <w:uiPriority w:val="1"/>
    <w:pPr>
      <w:spacing w:before="112"/>
      <w:ind w:left="5"/>
      <w:jc w:val="center"/>
    </w:pPr>
  </w:style>
  <w:style w:type="paragraph" w:styleId="10">
    <w:name w:val="List Paragraph"/>
    <w:basedOn w:val="1"/>
    <w:qFormat/>
    <w:uiPriority w:val="1"/>
    <w:pPr>
      <w:ind w:left="1271" w:hanging="65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4795</Words>
  <Characters>5285</Characters>
  <Lines>40</Lines>
  <Paragraphs>11</Paragraphs>
  <TotalTime>2</TotalTime>
  <ScaleCrop>false</ScaleCrop>
  <LinksUpToDate>false</LinksUpToDate>
  <CharactersWithSpaces>5423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2022-06-04T12:59:00Z</dcterms:created>
  <dc:creator>良人。</dc:creator>
  <cp:lastModifiedBy>Juncheng</cp:lastModifiedBy>
  <cp:lastPrinted>2023-03-27T08:41:00Z</cp:lastPrinted>
  <dcterms:modified xsi:type="dcterms:W3CDTF">2026-05-13T11:43:37Z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4C0E217BFAB547F7820097395700B449</vt:lpwstr>
  </property>
  <property fmtid="{D5CDD505-2E9C-101B-9397-08002B2CF9AE}" pid="4" name="KSOTemplateDocerSaveRecord">
    <vt:lpwstr>eyJoZGlkIjoiNDg1YTcwYTBhNjIwNTg2ZWIyZWJmNTIyMzRmMDhjNWYiLCJ1c2VySWQiOiI1MzM2NDczNDgifQ==</vt:lpwstr>
  </property>
</Properties>
</file>