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56"/>
          <w:szCs w:val="56"/>
          <w:highlight w:val="none"/>
          <w:lang w:eastAsia="zh-CN"/>
        </w:rPr>
      </w:pPr>
    </w:p>
    <w:p>
      <w:pPr>
        <w:spacing w:line="360" w:lineRule="auto"/>
        <w:jc w:val="center"/>
        <w:rPr>
          <w:rFonts w:hint="eastAsia" w:ascii="宋体" w:hAnsi="宋体" w:eastAsia="宋体" w:cs="宋体"/>
          <w:b/>
          <w:bCs/>
          <w:color w:val="000000"/>
          <w:sz w:val="56"/>
          <w:szCs w:val="56"/>
          <w:highlight w:val="none"/>
          <w:lang w:eastAsia="zh-CN"/>
        </w:rPr>
      </w:pPr>
      <w:r>
        <w:rPr>
          <w:rFonts w:hint="eastAsia" w:ascii="宋体" w:hAnsi="宋体" w:cs="宋体"/>
          <w:b/>
          <w:bCs/>
          <w:color w:val="000000"/>
          <w:sz w:val="56"/>
          <w:szCs w:val="56"/>
          <w:highlight w:val="none"/>
          <w:lang w:eastAsia="zh-CN"/>
        </w:rPr>
        <w:t>粉煤制备系统安全技术升级改造</w:t>
      </w:r>
    </w:p>
    <w:p>
      <w:pPr>
        <w:rPr>
          <w:rFonts w:hint="eastAsia" w:ascii="宋体" w:hAnsi="宋体" w:cs="宋体"/>
          <w:color w:val="000000"/>
          <w:sz w:val="24"/>
          <w:highlight w:val="none"/>
        </w:rPr>
      </w:pPr>
    </w:p>
    <w:p>
      <w:pPr>
        <w:pStyle w:val="11"/>
        <w:rPr>
          <w:rFonts w:hint="eastAsia" w:hAnsi="宋体" w:cs="宋体"/>
          <w:color w:val="000000"/>
          <w:highlight w:val="none"/>
        </w:rPr>
      </w:pPr>
    </w:p>
    <w:p>
      <w:pPr>
        <w:jc w:val="both"/>
        <w:rPr>
          <w:rFonts w:hint="eastAsia" w:ascii="宋体" w:hAnsi="宋体" w:cs="宋体"/>
          <w:b/>
          <w:bCs/>
          <w:color w:val="000000"/>
          <w:sz w:val="52"/>
          <w:szCs w:val="52"/>
          <w:highlight w:val="none"/>
        </w:rPr>
      </w:pPr>
    </w:p>
    <w:p>
      <w:pPr>
        <w:jc w:val="center"/>
        <w:rPr>
          <w:rFonts w:hint="default" w:ascii="宋体" w:hAnsi="宋体" w:eastAsia="宋体" w:cs="宋体"/>
          <w:b/>
          <w:bCs/>
          <w:color w:val="000000"/>
          <w:sz w:val="52"/>
          <w:szCs w:val="52"/>
          <w:highlight w:val="none"/>
          <w:lang w:val="en-US" w:eastAsia="zh-CN"/>
        </w:rPr>
      </w:pPr>
      <w:r>
        <w:rPr>
          <w:rFonts w:hint="eastAsia" w:ascii="宋体" w:hAnsi="宋体" w:eastAsia="宋体" w:cs="宋体"/>
          <w:b/>
          <w:bCs/>
          <w:color w:val="000000"/>
          <w:spacing w:val="26"/>
          <w:sz w:val="84"/>
          <w:szCs w:val="84"/>
          <w:highlight w:val="none"/>
          <w14:shadow w14:blurRad="50800" w14:dist="38100" w14:dir="2700000" w14:sx="100000" w14:sy="100000" w14:kx="0" w14:ky="0" w14:algn="tl">
            <w14:srgbClr w14:val="000000">
              <w14:alpha w14:val="60000"/>
            </w14:srgbClr>
          </w14:shadow>
        </w:rPr>
        <w:t>招标文件</w:t>
      </w:r>
    </w:p>
    <w:p>
      <w:pPr>
        <w:bidi w:val="0"/>
        <w:rPr>
          <w:rFonts w:hint="eastAsia"/>
        </w:rPr>
      </w:pPr>
    </w:p>
    <w:p>
      <w:pPr>
        <w:bidi w:val="0"/>
        <w:rPr>
          <w:rFonts w:hint="eastAsia"/>
        </w:rPr>
      </w:pPr>
    </w:p>
    <w:p>
      <w:pPr>
        <w:pStyle w:val="11"/>
        <w:rPr>
          <w:rFonts w:hint="eastAsia" w:hAnsi="宋体" w:cs="宋体"/>
          <w:color w:val="000000"/>
          <w:highlight w:val="none"/>
        </w:rPr>
      </w:pPr>
    </w:p>
    <w:tbl>
      <w:tblPr>
        <w:tblStyle w:val="27"/>
        <w:tblW w:w="9728" w:type="dxa"/>
        <w:tblInd w:w="-100" w:type="dxa"/>
        <w:tblLayout w:type="fixed"/>
        <w:tblCellMar>
          <w:top w:w="0" w:type="dxa"/>
          <w:left w:w="0" w:type="dxa"/>
          <w:bottom w:w="0" w:type="dxa"/>
          <w:right w:w="0" w:type="dxa"/>
        </w:tblCellMar>
      </w:tblPr>
      <w:tblGrid>
        <w:gridCol w:w="4708"/>
        <w:gridCol w:w="5020"/>
      </w:tblGrid>
      <w:tr>
        <w:tblPrEx>
          <w:tblCellMar>
            <w:top w:w="0" w:type="dxa"/>
            <w:left w:w="0" w:type="dxa"/>
            <w:bottom w:w="0" w:type="dxa"/>
            <w:right w:w="0" w:type="dxa"/>
          </w:tblCellMar>
        </w:tblPrEx>
        <w:trPr>
          <w:trHeight w:val="1205" w:hRule="atLeast"/>
        </w:trPr>
        <w:tc>
          <w:tcPr>
            <w:tcW w:w="4708" w:type="dxa"/>
            <w:noWrap w:val="0"/>
            <w:vAlign w:val="center"/>
          </w:tcPr>
          <w:p>
            <w:pPr>
              <w:pStyle w:val="90"/>
              <w:wordWrap w:val="0"/>
              <w:adjustRightInd w:val="0"/>
              <w:snapToGrid w:val="0"/>
              <w:spacing w:line="240" w:lineRule="auto"/>
              <w:jc w:val="distribute"/>
              <w:rPr>
                <w:rFonts w:ascii="Times New Roman"/>
                <w:snapToGrid w:val="0"/>
                <w:color w:val="auto"/>
                <w:kern w:val="0"/>
                <w:sz w:val="28"/>
                <w:highlight w:val="none"/>
              </w:rPr>
            </w:pPr>
            <w:r>
              <w:rPr>
                <w:rFonts w:hint="eastAsia" w:ascii="Times New Roman"/>
                <w:snapToGrid w:val="0"/>
                <w:color w:val="auto"/>
                <w:kern w:val="0"/>
                <w:sz w:val="28"/>
                <w:highlight w:val="none"/>
              </w:rPr>
              <w:t xml:space="preserve"> 招</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标</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人（盖单位章）：</w:t>
            </w:r>
          </w:p>
        </w:tc>
        <w:tc>
          <w:tcPr>
            <w:tcW w:w="5020" w:type="dxa"/>
            <w:noWrap w:val="0"/>
            <w:vAlign w:val="center"/>
          </w:tcPr>
          <w:p>
            <w:pPr>
              <w:pStyle w:val="90"/>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eastAsia="zh-CN"/>
              </w:rPr>
              <w:t>广东中金岭南工程技术有限公司</w:t>
            </w:r>
          </w:p>
        </w:tc>
      </w:tr>
      <w:tr>
        <w:tblPrEx>
          <w:tblCellMar>
            <w:top w:w="0" w:type="dxa"/>
            <w:left w:w="0" w:type="dxa"/>
            <w:bottom w:w="0" w:type="dxa"/>
            <w:right w:w="0" w:type="dxa"/>
          </w:tblCellMar>
        </w:tblPrEx>
        <w:trPr>
          <w:trHeight w:val="1130" w:hRule="atLeast"/>
        </w:trPr>
        <w:tc>
          <w:tcPr>
            <w:tcW w:w="4708" w:type="dxa"/>
            <w:noWrap w:val="0"/>
            <w:vAlign w:val="center"/>
          </w:tcPr>
          <w:p>
            <w:pPr>
              <w:pStyle w:val="90"/>
              <w:wordWrap w:val="0"/>
              <w:adjustRightInd w:val="0"/>
              <w:snapToGrid w:val="0"/>
              <w:spacing w:line="240" w:lineRule="auto"/>
              <w:jc w:val="distribute"/>
              <w:rPr>
                <w:rFonts w:ascii="Times New Roman"/>
                <w:snapToGrid w:val="0"/>
                <w:color w:val="auto"/>
                <w:kern w:val="0"/>
                <w:sz w:val="28"/>
                <w:highlight w:val="none"/>
              </w:rPr>
            </w:pPr>
            <w:r>
              <w:rPr>
                <w:rFonts w:hint="eastAsia" w:ascii="Times New Roman"/>
                <w:snapToGrid w:val="0"/>
                <w:color w:val="auto"/>
                <w:kern w:val="0"/>
                <w:sz w:val="28"/>
                <w:highlight w:val="none"/>
              </w:rPr>
              <w:t xml:space="preserve"> 招标人工作领导小组负责人（签字）：</w:t>
            </w:r>
          </w:p>
        </w:tc>
        <w:tc>
          <w:tcPr>
            <w:tcW w:w="5020" w:type="dxa"/>
            <w:noWrap w:val="0"/>
            <w:vAlign w:val="center"/>
          </w:tcPr>
          <w:p>
            <w:pPr>
              <w:pStyle w:val="90"/>
              <w:wordWrap w:val="0"/>
              <w:adjustRightInd w:val="0"/>
              <w:snapToGrid w:val="0"/>
              <w:spacing w:line="240" w:lineRule="auto"/>
              <w:rPr>
                <w:rFonts w:ascii="Times New Roman"/>
                <w:snapToGrid w:val="0"/>
                <w:color w:val="auto"/>
                <w:kern w:val="0"/>
                <w:sz w:val="28"/>
                <w:szCs w:val="28"/>
                <w:highlight w:val="none"/>
              </w:rPr>
            </w:pPr>
          </w:p>
        </w:tc>
      </w:tr>
      <w:tr>
        <w:tblPrEx>
          <w:tblCellMar>
            <w:top w:w="0" w:type="dxa"/>
            <w:left w:w="0" w:type="dxa"/>
            <w:bottom w:w="0" w:type="dxa"/>
            <w:right w:w="0" w:type="dxa"/>
          </w:tblCellMar>
        </w:tblPrEx>
        <w:trPr>
          <w:trHeight w:val="1190" w:hRule="atLeast"/>
        </w:trPr>
        <w:tc>
          <w:tcPr>
            <w:tcW w:w="4708" w:type="dxa"/>
            <w:noWrap w:val="0"/>
            <w:vAlign w:val="center"/>
          </w:tcPr>
          <w:p>
            <w:pPr>
              <w:pStyle w:val="90"/>
              <w:wordWrap w:val="0"/>
              <w:adjustRightInd w:val="0"/>
              <w:snapToGrid w:val="0"/>
              <w:spacing w:line="240" w:lineRule="auto"/>
              <w:jc w:val="distribute"/>
              <w:rPr>
                <w:rFonts w:ascii="Times New Roman"/>
                <w:snapToGrid w:val="0"/>
                <w:color w:val="auto"/>
                <w:kern w:val="0"/>
                <w:sz w:val="28"/>
                <w:highlight w:val="none"/>
              </w:rPr>
            </w:pPr>
            <w:r>
              <w:rPr>
                <w:rFonts w:hint="eastAsia" w:ascii="Times New Roman"/>
                <w:snapToGrid w:val="0"/>
                <w:color w:val="auto"/>
                <w:kern w:val="0"/>
                <w:sz w:val="28"/>
                <w:highlight w:val="none"/>
              </w:rPr>
              <w:t xml:space="preserve"> 招 标 代 理 机 构 （盖单位章）：</w:t>
            </w:r>
          </w:p>
        </w:tc>
        <w:tc>
          <w:tcPr>
            <w:tcW w:w="5020" w:type="dxa"/>
            <w:noWrap w:val="0"/>
            <w:vAlign w:val="center"/>
          </w:tcPr>
          <w:p>
            <w:pPr>
              <w:pStyle w:val="90"/>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eastAsia="zh-CN"/>
              </w:rPr>
              <w:t>广东省国际工程咨询有限公司</w:t>
            </w:r>
          </w:p>
        </w:tc>
      </w:tr>
      <w:tr>
        <w:tblPrEx>
          <w:tblCellMar>
            <w:top w:w="0" w:type="dxa"/>
            <w:left w:w="0" w:type="dxa"/>
            <w:bottom w:w="0" w:type="dxa"/>
            <w:right w:w="0" w:type="dxa"/>
          </w:tblCellMar>
        </w:tblPrEx>
        <w:trPr>
          <w:trHeight w:val="1185" w:hRule="atLeast"/>
        </w:trPr>
        <w:tc>
          <w:tcPr>
            <w:tcW w:w="4708" w:type="dxa"/>
            <w:noWrap w:val="0"/>
            <w:vAlign w:val="center"/>
          </w:tcPr>
          <w:p>
            <w:pPr>
              <w:pStyle w:val="90"/>
              <w:wordWrap w:val="0"/>
              <w:adjustRightInd w:val="0"/>
              <w:snapToGrid w:val="0"/>
              <w:spacing w:line="240" w:lineRule="auto"/>
              <w:jc w:val="distribute"/>
              <w:rPr>
                <w:rFonts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招标文件编制人（签字）：</w:t>
            </w:r>
          </w:p>
        </w:tc>
        <w:tc>
          <w:tcPr>
            <w:tcW w:w="5020" w:type="dxa"/>
            <w:noWrap w:val="0"/>
            <w:vAlign w:val="center"/>
          </w:tcPr>
          <w:p>
            <w:pPr>
              <w:pStyle w:val="90"/>
              <w:wordWrap w:val="0"/>
              <w:adjustRightInd w:val="0"/>
              <w:snapToGrid w:val="0"/>
              <w:spacing w:line="240" w:lineRule="auto"/>
              <w:rPr>
                <w:rFonts w:ascii="Times New Roman"/>
                <w:snapToGrid w:val="0"/>
                <w:color w:val="auto"/>
                <w:kern w:val="0"/>
                <w:sz w:val="28"/>
                <w:szCs w:val="28"/>
                <w:highlight w:val="none"/>
              </w:rPr>
            </w:pPr>
          </w:p>
        </w:tc>
      </w:tr>
      <w:tr>
        <w:tblPrEx>
          <w:tblCellMar>
            <w:top w:w="0" w:type="dxa"/>
            <w:left w:w="0" w:type="dxa"/>
            <w:bottom w:w="0" w:type="dxa"/>
            <w:right w:w="0" w:type="dxa"/>
          </w:tblCellMar>
        </w:tblPrEx>
        <w:trPr>
          <w:trHeight w:val="1185" w:hRule="atLeast"/>
        </w:trPr>
        <w:tc>
          <w:tcPr>
            <w:tcW w:w="4708" w:type="dxa"/>
            <w:noWrap w:val="0"/>
            <w:vAlign w:val="center"/>
          </w:tcPr>
          <w:p>
            <w:pPr>
              <w:pStyle w:val="90"/>
              <w:wordWrap w:val="0"/>
              <w:adjustRightInd w:val="0"/>
              <w:snapToGrid w:val="0"/>
              <w:spacing w:line="240" w:lineRule="auto"/>
              <w:jc w:val="distribute"/>
              <w:rPr>
                <w:rFonts w:ascii="Times New Roman"/>
                <w:snapToGrid w:val="0"/>
                <w:color w:val="auto"/>
                <w:kern w:val="0"/>
                <w:sz w:val="28"/>
                <w:highlight w:val="none"/>
              </w:rPr>
            </w:pPr>
            <w:r>
              <w:rPr>
                <w:rFonts w:hint="eastAsia" w:ascii="Times New Roman"/>
                <w:snapToGrid w:val="0"/>
                <w:color w:val="auto"/>
                <w:kern w:val="0"/>
                <w:sz w:val="28"/>
                <w:highlight w:val="none"/>
              </w:rPr>
              <w:t xml:space="preserve"> 招标代理机构项目负责人（签字）：</w:t>
            </w:r>
          </w:p>
        </w:tc>
        <w:tc>
          <w:tcPr>
            <w:tcW w:w="5020" w:type="dxa"/>
            <w:noWrap w:val="0"/>
            <w:vAlign w:val="center"/>
          </w:tcPr>
          <w:p>
            <w:pPr>
              <w:pStyle w:val="90"/>
              <w:wordWrap w:val="0"/>
              <w:adjustRightInd w:val="0"/>
              <w:snapToGrid w:val="0"/>
              <w:spacing w:line="240" w:lineRule="auto"/>
              <w:rPr>
                <w:rFonts w:ascii="Times New Roman"/>
                <w:snapToGrid w:val="0"/>
                <w:color w:val="auto"/>
                <w:kern w:val="0"/>
                <w:sz w:val="28"/>
                <w:szCs w:val="28"/>
                <w:highlight w:val="none"/>
              </w:rPr>
            </w:pPr>
          </w:p>
        </w:tc>
      </w:tr>
      <w:tr>
        <w:tblPrEx>
          <w:tblCellMar>
            <w:top w:w="0" w:type="dxa"/>
            <w:left w:w="0" w:type="dxa"/>
            <w:bottom w:w="0" w:type="dxa"/>
            <w:right w:w="0" w:type="dxa"/>
          </w:tblCellMar>
        </w:tblPrEx>
        <w:trPr>
          <w:trHeight w:val="892" w:hRule="atLeast"/>
        </w:trPr>
        <w:tc>
          <w:tcPr>
            <w:tcW w:w="4708" w:type="dxa"/>
            <w:noWrap w:val="0"/>
            <w:vAlign w:val="center"/>
          </w:tcPr>
          <w:p>
            <w:pPr>
              <w:pStyle w:val="90"/>
              <w:wordWrap w:val="0"/>
              <w:adjustRightInd w:val="0"/>
              <w:snapToGrid w:val="0"/>
              <w:spacing w:line="240" w:lineRule="auto"/>
              <w:jc w:val="distribute"/>
              <w:rPr>
                <w:rFonts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招标文件编制日期：</w:t>
            </w:r>
          </w:p>
        </w:tc>
        <w:tc>
          <w:tcPr>
            <w:tcW w:w="5020" w:type="dxa"/>
            <w:noWrap w:val="0"/>
            <w:vAlign w:val="center"/>
          </w:tcPr>
          <w:p>
            <w:pPr>
              <w:pStyle w:val="90"/>
              <w:wordWrap w:val="0"/>
              <w:adjustRightInd w:val="0"/>
              <w:snapToGrid w:val="0"/>
              <w:spacing w:line="240" w:lineRule="auto"/>
              <w:rPr>
                <w:rFonts w:ascii="Times New Roman"/>
                <w:snapToGrid w:val="0"/>
                <w:color w:val="auto"/>
                <w:kern w:val="0"/>
                <w:sz w:val="28"/>
                <w:highlight w:val="none"/>
              </w:rPr>
            </w:pPr>
            <w:r>
              <w:rPr>
                <w:rFonts w:hint="eastAsia" w:ascii="Times New Roman"/>
                <w:snapToGrid w:val="0"/>
                <w:color w:val="auto"/>
                <w:kern w:val="0"/>
                <w:sz w:val="28"/>
                <w:highlight w:val="none"/>
              </w:rPr>
              <w:t>20</w:t>
            </w:r>
            <w:r>
              <w:rPr>
                <w:rFonts w:hint="eastAsia" w:ascii="Times New Roman"/>
                <w:snapToGrid w:val="0"/>
                <w:color w:val="auto"/>
                <w:kern w:val="0"/>
                <w:sz w:val="28"/>
                <w:highlight w:val="none"/>
                <w:lang w:val="en-US" w:eastAsia="zh-CN"/>
              </w:rPr>
              <w:t>25</w:t>
            </w:r>
            <w:r>
              <w:rPr>
                <w:rFonts w:hint="eastAsia" w:ascii="Times New Roman"/>
                <w:snapToGrid w:val="0"/>
                <w:color w:val="auto"/>
                <w:kern w:val="0"/>
                <w:sz w:val="28"/>
                <w:highlight w:val="none"/>
              </w:rPr>
              <w:t>年</w:t>
            </w:r>
            <w:r>
              <w:rPr>
                <w:rFonts w:hint="eastAsia" w:ascii="Times New Roman"/>
                <w:snapToGrid w:val="0"/>
                <w:color w:val="auto"/>
                <w:kern w:val="0"/>
                <w:sz w:val="28"/>
                <w:highlight w:val="none"/>
                <w:lang w:val="en-US" w:eastAsia="zh-CN"/>
              </w:rPr>
              <w:t>12</w:t>
            </w:r>
            <w:r>
              <w:rPr>
                <w:rFonts w:hint="eastAsia" w:ascii="Times New Roman"/>
                <w:snapToGrid w:val="0"/>
                <w:color w:val="auto"/>
                <w:kern w:val="0"/>
                <w:sz w:val="28"/>
                <w:highlight w:val="none"/>
              </w:rPr>
              <w:t>月</w:t>
            </w:r>
          </w:p>
        </w:tc>
      </w:tr>
    </w:tbl>
    <w:p>
      <w:pPr>
        <w:jc w:val="center"/>
        <w:rPr>
          <w:rFonts w:hint="eastAsia" w:hAnsi="宋体"/>
          <w:b/>
          <w:color w:val="000000"/>
          <w:sz w:val="32"/>
          <w:szCs w:val="32"/>
          <w:highlight w:val="none"/>
        </w:rPr>
      </w:pPr>
      <w:r>
        <w:rPr>
          <w:rFonts w:hint="eastAsia" w:ascii="宋体" w:hAnsi="宋体" w:cs="宋体"/>
          <w:color w:val="000000"/>
          <w:sz w:val="32"/>
          <w:szCs w:val="32"/>
          <w:highlight w:val="none"/>
        </w:rPr>
        <w:t>20</w:t>
      </w:r>
      <w:r>
        <w:rPr>
          <w:rFonts w:hint="eastAsia" w:ascii="宋体" w:hAnsi="宋体" w:cs="宋体"/>
          <w:color w:val="000000"/>
          <w:sz w:val="32"/>
          <w:szCs w:val="32"/>
          <w:highlight w:val="none"/>
          <w:lang w:val="en-US" w:eastAsia="zh-CN"/>
        </w:rPr>
        <w:t>25</w:t>
      </w:r>
      <w:r>
        <w:rPr>
          <w:rFonts w:hint="eastAsia" w:ascii="宋体" w:hAnsi="宋体" w:cs="宋体"/>
          <w:color w:val="000000"/>
          <w:sz w:val="32"/>
          <w:szCs w:val="32"/>
          <w:highlight w:val="none"/>
        </w:rPr>
        <w:t>年</w:t>
      </w:r>
      <w:r>
        <w:rPr>
          <w:rFonts w:hint="eastAsia" w:ascii="宋体" w:hAnsi="宋体" w:cs="宋体"/>
          <w:color w:val="000000"/>
          <w:sz w:val="32"/>
          <w:szCs w:val="32"/>
          <w:highlight w:val="none"/>
          <w:lang w:val="en-US" w:eastAsia="zh-CN"/>
        </w:rPr>
        <w:t>12</w:t>
      </w:r>
      <w:r>
        <w:rPr>
          <w:rFonts w:hint="eastAsia" w:ascii="宋体" w:hAnsi="宋体" w:cs="宋体"/>
          <w:color w:val="000000"/>
          <w:sz w:val="32"/>
          <w:szCs w:val="32"/>
          <w:highlight w:val="none"/>
        </w:rPr>
        <w:t>月</w:t>
      </w:r>
    </w:p>
    <w:p>
      <w:pPr>
        <w:snapToGrid w:val="0"/>
        <w:spacing w:line="380" w:lineRule="exact"/>
        <w:jc w:val="both"/>
        <w:rPr>
          <w:rFonts w:hint="eastAsia" w:hAnsi="宋体"/>
          <w:b/>
          <w:color w:val="000000"/>
          <w:sz w:val="32"/>
          <w:szCs w:val="32"/>
          <w:highlight w:val="none"/>
        </w:rPr>
        <w:sectPr>
          <w:headerReference r:id="rId3" w:type="default"/>
          <w:footerReference r:id="rId4" w:type="default"/>
          <w:pgSz w:w="11905" w:h="16838"/>
          <w:pgMar w:top="1417" w:right="1417" w:bottom="1417" w:left="1417" w:header="850" w:footer="992" w:gutter="0"/>
          <w:pgNumType w:start="1"/>
          <w:cols w:space="720" w:num="1"/>
          <w:docGrid w:type="lines" w:linePitch="389" w:charSpace="0"/>
        </w:sectPr>
      </w:pPr>
    </w:p>
    <w:p>
      <w:pPr>
        <w:snapToGrid w:val="0"/>
        <w:spacing w:line="480" w:lineRule="auto"/>
        <w:jc w:val="center"/>
        <w:rPr>
          <w:rFonts w:hAnsi="宋体"/>
          <w:b/>
          <w:color w:val="000000"/>
          <w:sz w:val="32"/>
          <w:szCs w:val="32"/>
          <w:highlight w:val="none"/>
        </w:rPr>
      </w:pPr>
      <w:r>
        <w:rPr>
          <w:rFonts w:hint="eastAsia" w:hAnsi="宋体"/>
          <w:b/>
          <w:color w:val="000000"/>
          <w:sz w:val="32"/>
          <w:szCs w:val="32"/>
          <w:highlight w:val="none"/>
        </w:rPr>
        <w:t>目  录</w:t>
      </w:r>
    </w:p>
    <w:p>
      <w:pPr>
        <w:pStyle w:val="20"/>
        <w:tabs>
          <w:tab w:val="right" w:leader="dot" w:pos="9071"/>
        </w:tabs>
        <w:spacing w:line="480" w:lineRule="auto"/>
        <w:rPr>
          <w:color w:val="000000"/>
          <w:sz w:val="28"/>
          <w:szCs w:val="28"/>
          <w:highlight w:val="none"/>
        </w:rPr>
      </w:pPr>
      <w:r>
        <w:rPr>
          <w:rFonts w:hint="eastAsia" w:ascii="宋体" w:hAnsi="宋体" w:cs="宋体"/>
          <w:b w:val="0"/>
          <w:color w:val="000000"/>
          <w:sz w:val="28"/>
          <w:szCs w:val="28"/>
          <w:highlight w:val="none"/>
        </w:rPr>
        <w:fldChar w:fldCharType="begin"/>
      </w:r>
      <w:r>
        <w:rPr>
          <w:rFonts w:hint="eastAsia" w:ascii="宋体" w:hAnsi="宋体" w:cs="宋体"/>
          <w:b w:val="0"/>
          <w:color w:val="000000"/>
          <w:sz w:val="28"/>
          <w:szCs w:val="28"/>
          <w:highlight w:val="none"/>
        </w:rPr>
        <w:instrText xml:space="preserve"> TOC \o "1-2" \h \z \u </w:instrText>
      </w:r>
      <w:r>
        <w:rPr>
          <w:rFonts w:hint="eastAsia" w:ascii="宋体" w:hAnsi="宋体" w:cs="宋体"/>
          <w:b w:val="0"/>
          <w:color w:val="000000"/>
          <w:sz w:val="28"/>
          <w:szCs w:val="28"/>
          <w:highlight w:val="none"/>
        </w:rPr>
        <w:fldChar w:fldCharType="separate"/>
      </w:r>
      <w:r>
        <w:rPr>
          <w:rFonts w:hint="eastAsia" w:ascii="宋体" w:hAnsi="宋体" w:cs="宋体"/>
          <w:color w:val="000000"/>
          <w:sz w:val="28"/>
          <w:szCs w:val="28"/>
          <w:highlight w:val="none"/>
        </w:rPr>
        <w:fldChar w:fldCharType="begin"/>
      </w:r>
      <w:r>
        <w:rPr>
          <w:rFonts w:hint="eastAsia" w:ascii="宋体" w:hAnsi="宋体" w:cs="宋体"/>
          <w:color w:val="000000"/>
          <w:sz w:val="28"/>
          <w:szCs w:val="28"/>
          <w:highlight w:val="none"/>
        </w:rPr>
        <w:instrText xml:space="preserve"> HYPERLINK \l _Toc30045 </w:instrText>
      </w:r>
      <w:r>
        <w:rPr>
          <w:rFonts w:hint="eastAsia" w:ascii="宋体" w:hAnsi="宋体" w:cs="宋体"/>
          <w:color w:val="000000"/>
          <w:sz w:val="28"/>
          <w:szCs w:val="28"/>
          <w:highlight w:val="none"/>
        </w:rPr>
        <w:fldChar w:fldCharType="separate"/>
      </w:r>
      <w:r>
        <w:rPr>
          <w:rFonts w:hint="eastAsia"/>
          <w:color w:val="000000"/>
          <w:sz w:val="28"/>
          <w:szCs w:val="28"/>
          <w:highlight w:val="none"/>
        </w:rPr>
        <w:t>第一章、招标公告</w:t>
      </w:r>
      <w:r>
        <w:rPr>
          <w:color w:val="000000"/>
          <w:sz w:val="28"/>
          <w:szCs w:val="28"/>
          <w:highlight w:val="none"/>
        </w:rPr>
        <w:tab/>
      </w:r>
      <w:r>
        <w:rPr>
          <w:color w:val="000000"/>
          <w:sz w:val="28"/>
          <w:szCs w:val="28"/>
          <w:highlight w:val="none"/>
        </w:rPr>
        <w:fldChar w:fldCharType="begin"/>
      </w:r>
      <w:r>
        <w:rPr>
          <w:color w:val="000000"/>
          <w:sz w:val="28"/>
          <w:szCs w:val="28"/>
          <w:highlight w:val="none"/>
        </w:rPr>
        <w:instrText xml:space="preserve"> PAGEREF _Toc30045 \h </w:instrText>
      </w:r>
      <w:r>
        <w:rPr>
          <w:color w:val="000000"/>
          <w:sz w:val="28"/>
          <w:szCs w:val="28"/>
          <w:highlight w:val="none"/>
        </w:rPr>
        <w:fldChar w:fldCharType="separate"/>
      </w:r>
      <w:r>
        <w:rPr>
          <w:color w:val="000000"/>
          <w:sz w:val="28"/>
          <w:szCs w:val="28"/>
          <w:highlight w:val="none"/>
        </w:rPr>
        <w:t>1</w:t>
      </w:r>
      <w:r>
        <w:rPr>
          <w:color w:val="000000"/>
          <w:sz w:val="28"/>
          <w:szCs w:val="28"/>
          <w:highlight w:val="none"/>
        </w:rPr>
        <w:fldChar w:fldCharType="end"/>
      </w:r>
      <w:r>
        <w:rPr>
          <w:rFonts w:hint="eastAsia" w:ascii="宋体" w:hAnsi="宋体" w:cs="宋体"/>
          <w:color w:val="000000"/>
          <w:sz w:val="28"/>
          <w:szCs w:val="28"/>
          <w:highlight w:val="none"/>
        </w:rPr>
        <w:fldChar w:fldCharType="end"/>
      </w:r>
    </w:p>
    <w:p>
      <w:pPr>
        <w:pStyle w:val="20"/>
        <w:tabs>
          <w:tab w:val="right" w:leader="dot" w:pos="9071"/>
        </w:tabs>
        <w:spacing w:line="480" w:lineRule="auto"/>
        <w:rPr>
          <w:color w:val="000000"/>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color w:val="000000"/>
          <w:sz w:val="28"/>
          <w:szCs w:val="28"/>
          <w:highlight w:val="none"/>
        </w:rPr>
        <w:instrText xml:space="preserve"> HYPERLINK \l _Toc18447 </w:instrText>
      </w:r>
      <w:r>
        <w:rPr>
          <w:rFonts w:hint="eastAsia" w:ascii="宋体" w:hAnsi="宋体" w:cs="宋体"/>
          <w:color w:val="000000"/>
          <w:sz w:val="28"/>
          <w:szCs w:val="28"/>
          <w:highlight w:val="none"/>
        </w:rPr>
        <w:fldChar w:fldCharType="separate"/>
      </w:r>
      <w:r>
        <w:rPr>
          <w:rFonts w:hint="eastAsia"/>
          <w:color w:val="000000"/>
          <w:sz w:val="28"/>
          <w:szCs w:val="28"/>
          <w:highlight w:val="none"/>
        </w:rPr>
        <w:t>第二章、投标人须知</w:t>
      </w:r>
      <w:r>
        <w:rPr>
          <w:color w:val="000000"/>
          <w:sz w:val="28"/>
          <w:szCs w:val="28"/>
          <w:highlight w:val="none"/>
        </w:rPr>
        <w:tab/>
      </w:r>
      <w:r>
        <w:rPr>
          <w:color w:val="000000"/>
          <w:sz w:val="28"/>
          <w:szCs w:val="28"/>
          <w:highlight w:val="none"/>
        </w:rPr>
        <w:fldChar w:fldCharType="begin"/>
      </w:r>
      <w:r>
        <w:rPr>
          <w:color w:val="000000"/>
          <w:sz w:val="28"/>
          <w:szCs w:val="28"/>
          <w:highlight w:val="none"/>
        </w:rPr>
        <w:instrText xml:space="preserve"> PAGEREF _Toc18447 \h </w:instrText>
      </w:r>
      <w:r>
        <w:rPr>
          <w:color w:val="000000"/>
          <w:sz w:val="28"/>
          <w:szCs w:val="28"/>
          <w:highlight w:val="none"/>
        </w:rPr>
        <w:fldChar w:fldCharType="separate"/>
      </w:r>
      <w:r>
        <w:rPr>
          <w:color w:val="000000"/>
          <w:sz w:val="28"/>
          <w:szCs w:val="28"/>
          <w:highlight w:val="none"/>
        </w:rPr>
        <w:t>7</w:t>
      </w:r>
      <w:r>
        <w:rPr>
          <w:color w:val="000000"/>
          <w:sz w:val="28"/>
          <w:szCs w:val="28"/>
          <w:highlight w:val="none"/>
        </w:rPr>
        <w:fldChar w:fldCharType="end"/>
      </w:r>
      <w:r>
        <w:rPr>
          <w:rFonts w:hint="eastAsia" w:ascii="宋体" w:hAnsi="宋体" w:cs="宋体"/>
          <w:color w:val="000000"/>
          <w:sz w:val="28"/>
          <w:szCs w:val="28"/>
          <w:highlight w:val="none"/>
        </w:rPr>
        <w:fldChar w:fldCharType="end"/>
      </w:r>
    </w:p>
    <w:p>
      <w:pPr>
        <w:pStyle w:val="20"/>
        <w:tabs>
          <w:tab w:val="right" w:leader="dot" w:pos="9071"/>
        </w:tabs>
        <w:spacing w:line="480" w:lineRule="auto"/>
        <w:rPr>
          <w:color w:val="000000"/>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color w:val="000000"/>
          <w:sz w:val="28"/>
          <w:szCs w:val="28"/>
          <w:highlight w:val="none"/>
        </w:rPr>
        <w:instrText xml:space="preserve"> HYPERLINK \l _Toc18775 </w:instrText>
      </w:r>
      <w:r>
        <w:rPr>
          <w:rFonts w:hint="eastAsia" w:ascii="宋体" w:hAnsi="宋体" w:cs="宋体"/>
          <w:color w:val="000000"/>
          <w:sz w:val="28"/>
          <w:szCs w:val="28"/>
          <w:highlight w:val="none"/>
        </w:rPr>
        <w:fldChar w:fldCharType="separate"/>
      </w:r>
      <w:r>
        <w:rPr>
          <w:rFonts w:hint="eastAsia"/>
          <w:color w:val="000000"/>
          <w:sz w:val="28"/>
          <w:szCs w:val="28"/>
          <w:highlight w:val="none"/>
        </w:rPr>
        <w:t>第三章、评标标准和办法</w:t>
      </w:r>
      <w:r>
        <w:rPr>
          <w:color w:val="000000"/>
          <w:sz w:val="28"/>
          <w:szCs w:val="28"/>
          <w:highlight w:val="none"/>
        </w:rPr>
        <w:tab/>
      </w:r>
      <w:r>
        <w:rPr>
          <w:color w:val="000000"/>
          <w:sz w:val="28"/>
          <w:szCs w:val="28"/>
          <w:highlight w:val="none"/>
        </w:rPr>
        <w:fldChar w:fldCharType="begin"/>
      </w:r>
      <w:r>
        <w:rPr>
          <w:color w:val="000000"/>
          <w:sz w:val="28"/>
          <w:szCs w:val="28"/>
          <w:highlight w:val="none"/>
        </w:rPr>
        <w:instrText xml:space="preserve"> PAGEREF _Toc18775 \h </w:instrText>
      </w:r>
      <w:r>
        <w:rPr>
          <w:color w:val="000000"/>
          <w:sz w:val="28"/>
          <w:szCs w:val="28"/>
          <w:highlight w:val="none"/>
        </w:rPr>
        <w:fldChar w:fldCharType="separate"/>
      </w:r>
      <w:r>
        <w:rPr>
          <w:color w:val="000000"/>
          <w:sz w:val="28"/>
          <w:szCs w:val="28"/>
          <w:highlight w:val="none"/>
        </w:rPr>
        <w:t>27</w:t>
      </w:r>
      <w:r>
        <w:rPr>
          <w:color w:val="000000"/>
          <w:sz w:val="28"/>
          <w:szCs w:val="28"/>
          <w:highlight w:val="none"/>
        </w:rPr>
        <w:fldChar w:fldCharType="end"/>
      </w:r>
      <w:r>
        <w:rPr>
          <w:rFonts w:hint="eastAsia" w:ascii="宋体" w:hAnsi="宋体" w:cs="宋体"/>
          <w:color w:val="000000"/>
          <w:sz w:val="28"/>
          <w:szCs w:val="28"/>
          <w:highlight w:val="none"/>
        </w:rPr>
        <w:fldChar w:fldCharType="end"/>
      </w:r>
    </w:p>
    <w:p>
      <w:pPr>
        <w:pStyle w:val="20"/>
        <w:tabs>
          <w:tab w:val="right" w:leader="dot" w:pos="9071"/>
        </w:tabs>
        <w:spacing w:line="480" w:lineRule="auto"/>
        <w:rPr>
          <w:color w:val="000000"/>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color w:val="000000"/>
          <w:sz w:val="28"/>
          <w:szCs w:val="28"/>
          <w:highlight w:val="none"/>
        </w:rPr>
        <w:instrText xml:space="preserve"> HYPERLINK \l _Toc6104 </w:instrText>
      </w:r>
      <w:r>
        <w:rPr>
          <w:rFonts w:hint="eastAsia" w:ascii="宋体" w:hAnsi="宋体" w:cs="宋体"/>
          <w:color w:val="000000"/>
          <w:sz w:val="28"/>
          <w:szCs w:val="28"/>
          <w:highlight w:val="none"/>
        </w:rPr>
        <w:fldChar w:fldCharType="separate"/>
      </w:r>
      <w:r>
        <w:rPr>
          <w:rFonts w:hint="eastAsia"/>
          <w:color w:val="000000"/>
          <w:sz w:val="28"/>
          <w:szCs w:val="28"/>
          <w:highlight w:val="none"/>
        </w:rPr>
        <w:t>第四章、</w:t>
      </w:r>
      <w:r>
        <w:rPr>
          <w:rFonts w:hint="eastAsia" w:ascii="宋体" w:hAnsi="宋体" w:cs="宋体"/>
          <w:color w:val="000000"/>
          <w:sz w:val="28"/>
          <w:szCs w:val="28"/>
          <w:highlight w:val="none"/>
        </w:rPr>
        <w:t>合同条款及格式</w:t>
      </w:r>
      <w:r>
        <w:rPr>
          <w:color w:val="000000"/>
          <w:sz w:val="28"/>
          <w:szCs w:val="28"/>
          <w:highlight w:val="none"/>
        </w:rPr>
        <w:tab/>
      </w:r>
      <w:r>
        <w:rPr>
          <w:color w:val="000000"/>
          <w:sz w:val="28"/>
          <w:szCs w:val="28"/>
          <w:highlight w:val="none"/>
        </w:rPr>
        <w:fldChar w:fldCharType="begin"/>
      </w:r>
      <w:r>
        <w:rPr>
          <w:color w:val="000000"/>
          <w:sz w:val="28"/>
          <w:szCs w:val="28"/>
          <w:highlight w:val="none"/>
        </w:rPr>
        <w:instrText xml:space="preserve"> PAGEREF _Toc6104 \h </w:instrText>
      </w:r>
      <w:r>
        <w:rPr>
          <w:color w:val="000000"/>
          <w:sz w:val="28"/>
          <w:szCs w:val="28"/>
          <w:highlight w:val="none"/>
        </w:rPr>
        <w:fldChar w:fldCharType="separate"/>
      </w:r>
      <w:r>
        <w:rPr>
          <w:color w:val="000000"/>
          <w:sz w:val="28"/>
          <w:szCs w:val="28"/>
          <w:highlight w:val="none"/>
        </w:rPr>
        <w:t>34</w:t>
      </w:r>
      <w:r>
        <w:rPr>
          <w:color w:val="000000"/>
          <w:sz w:val="28"/>
          <w:szCs w:val="28"/>
          <w:highlight w:val="none"/>
        </w:rPr>
        <w:fldChar w:fldCharType="end"/>
      </w:r>
      <w:r>
        <w:rPr>
          <w:rFonts w:hint="eastAsia" w:ascii="宋体" w:hAnsi="宋体" w:cs="宋体"/>
          <w:color w:val="000000"/>
          <w:sz w:val="28"/>
          <w:szCs w:val="28"/>
          <w:highlight w:val="none"/>
        </w:rPr>
        <w:fldChar w:fldCharType="end"/>
      </w:r>
    </w:p>
    <w:p>
      <w:pPr>
        <w:pStyle w:val="20"/>
        <w:tabs>
          <w:tab w:val="right" w:leader="dot" w:pos="9071"/>
        </w:tabs>
        <w:spacing w:line="480" w:lineRule="auto"/>
        <w:rPr>
          <w:color w:val="000000"/>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color w:val="000000"/>
          <w:sz w:val="28"/>
          <w:szCs w:val="28"/>
          <w:highlight w:val="none"/>
        </w:rPr>
        <w:instrText xml:space="preserve"> HYPERLINK \l _Toc12861 </w:instrText>
      </w:r>
      <w:r>
        <w:rPr>
          <w:rFonts w:hint="eastAsia" w:ascii="宋体" w:hAnsi="宋体" w:cs="宋体"/>
          <w:color w:val="000000"/>
          <w:sz w:val="28"/>
          <w:szCs w:val="28"/>
          <w:highlight w:val="none"/>
        </w:rPr>
        <w:fldChar w:fldCharType="separate"/>
      </w:r>
      <w:r>
        <w:rPr>
          <w:rFonts w:hint="eastAsia"/>
          <w:color w:val="000000"/>
          <w:sz w:val="28"/>
          <w:szCs w:val="28"/>
          <w:highlight w:val="none"/>
        </w:rPr>
        <w:t>第五章、委托人要求</w:t>
      </w:r>
      <w:r>
        <w:rPr>
          <w:color w:val="000000"/>
          <w:sz w:val="28"/>
          <w:szCs w:val="28"/>
          <w:highlight w:val="none"/>
        </w:rPr>
        <w:tab/>
      </w:r>
      <w:r>
        <w:rPr>
          <w:color w:val="000000"/>
          <w:sz w:val="28"/>
          <w:szCs w:val="28"/>
          <w:highlight w:val="none"/>
        </w:rPr>
        <w:fldChar w:fldCharType="begin"/>
      </w:r>
      <w:r>
        <w:rPr>
          <w:color w:val="000000"/>
          <w:sz w:val="28"/>
          <w:szCs w:val="28"/>
          <w:highlight w:val="none"/>
        </w:rPr>
        <w:instrText xml:space="preserve"> PAGEREF _Toc12861 \h </w:instrText>
      </w:r>
      <w:r>
        <w:rPr>
          <w:color w:val="000000"/>
          <w:sz w:val="28"/>
          <w:szCs w:val="28"/>
          <w:highlight w:val="none"/>
        </w:rPr>
        <w:fldChar w:fldCharType="separate"/>
      </w:r>
      <w:r>
        <w:rPr>
          <w:color w:val="000000"/>
          <w:sz w:val="28"/>
          <w:szCs w:val="28"/>
          <w:highlight w:val="none"/>
        </w:rPr>
        <w:t>54</w:t>
      </w:r>
      <w:r>
        <w:rPr>
          <w:color w:val="000000"/>
          <w:sz w:val="28"/>
          <w:szCs w:val="28"/>
          <w:highlight w:val="none"/>
        </w:rPr>
        <w:fldChar w:fldCharType="end"/>
      </w:r>
      <w:r>
        <w:rPr>
          <w:rFonts w:hint="eastAsia" w:ascii="宋体" w:hAnsi="宋体" w:cs="宋体"/>
          <w:color w:val="000000"/>
          <w:sz w:val="28"/>
          <w:szCs w:val="28"/>
          <w:highlight w:val="none"/>
        </w:rPr>
        <w:fldChar w:fldCharType="end"/>
      </w:r>
    </w:p>
    <w:p>
      <w:pPr>
        <w:pStyle w:val="20"/>
        <w:tabs>
          <w:tab w:val="right" w:leader="dot" w:pos="9071"/>
        </w:tabs>
        <w:spacing w:line="480" w:lineRule="auto"/>
        <w:rPr>
          <w:color w:val="000000"/>
          <w:sz w:val="28"/>
          <w:szCs w:val="28"/>
          <w:highlight w:val="none"/>
        </w:rPr>
      </w:pPr>
      <w:r>
        <w:rPr>
          <w:rFonts w:hint="eastAsia" w:ascii="宋体" w:hAnsi="宋体" w:cs="宋体"/>
          <w:color w:val="000000"/>
          <w:sz w:val="28"/>
          <w:szCs w:val="28"/>
          <w:highlight w:val="none"/>
        </w:rPr>
        <w:fldChar w:fldCharType="begin"/>
      </w:r>
      <w:r>
        <w:rPr>
          <w:rFonts w:hint="eastAsia" w:ascii="宋体" w:hAnsi="宋体" w:cs="宋体"/>
          <w:color w:val="000000"/>
          <w:sz w:val="28"/>
          <w:szCs w:val="28"/>
          <w:highlight w:val="none"/>
        </w:rPr>
        <w:instrText xml:space="preserve"> HYPERLINK \l _Toc16684 </w:instrText>
      </w:r>
      <w:r>
        <w:rPr>
          <w:rFonts w:hint="eastAsia" w:ascii="宋体" w:hAnsi="宋体" w:cs="宋体"/>
          <w:color w:val="000000"/>
          <w:sz w:val="28"/>
          <w:szCs w:val="28"/>
          <w:highlight w:val="none"/>
        </w:rPr>
        <w:fldChar w:fldCharType="separate"/>
      </w:r>
      <w:r>
        <w:rPr>
          <w:rFonts w:hint="eastAsia"/>
          <w:color w:val="000000"/>
          <w:sz w:val="28"/>
          <w:szCs w:val="28"/>
          <w:highlight w:val="none"/>
        </w:rPr>
        <w:t>第六章、投标文件格式</w:t>
      </w:r>
      <w:r>
        <w:rPr>
          <w:color w:val="000000"/>
          <w:sz w:val="28"/>
          <w:szCs w:val="28"/>
          <w:highlight w:val="none"/>
        </w:rPr>
        <w:tab/>
      </w:r>
      <w:r>
        <w:rPr>
          <w:color w:val="000000"/>
          <w:sz w:val="28"/>
          <w:szCs w:val="28"/>
          <w:highlight w:val="none"/>
        </w:rPr>
        <w:fldChar w:fldCharType="begin"/>
      </w:r>
      <w:r>
        <w:rPr>
          <w:color w:val="000000"/>
          <w:sz w:val="28"/>
          <w:szCs w:val="28"/>
          <w:highlight w:val="none"/>
        </w:rPr>
        <w:instrText xml:space="preserve"> PAGEREF _Toc16684 \h </w:instrText>
      </w:r>
      <w:r>
        <w:rPr>
          <w:color w:val="000000"/>
          <w:sz w:val="28"/>
          <w:szCs w:val="28"/>
          <w:highlight w:val="none"/>
        </w:rPr>
        <w:fldChar w:fldCharType="separate"/>
      </w:r>
      <w:r>
        <w:rPr>
          <w:color w:val="000000"/>
          <w:sz w:val="28"/>
          <w:szCs w:val="28"/>
          <w:highlight w:val="none"/>
        </w:rPr>
        <w:t>68</w:t>
      </w:r>
      <w:r>
        <w:rPr>
          <w:color w:val="000000"/>
          <w:sz w:val="28"/>
          <w:szCs w:val="28"/>
          <w:highlight w:val="none"/>
        </w:rPr>
        <w:fldChar w:fldCharType="end"/>
      </w:r>
      <w:r>
        <w:rPr>
          <w:rFonts w:hint="eastAsia" w:ascii="宋体" w:hAnsi="宋体" w:cs="宋体"/>
          <w:color w:val="000000"/>
          <w:sz w:val="28"/>
          <w:szCs w:val="28"/>
          <w:highlight w:val="none"/>
        </w:rPr>
        <w:fldChar w:fldCharType="end"/>
      </w:r>
    </w:p>
    <w:p>
      <w:pPr>
        <w:pStyle w:val="21"/>
        <w:tabs>
          <w:tab w:val="right" w:leader="dot" w:pos="9071"/>
          <w:tab w:val="clear" w:pos="9060"/>
        </w:tabs>
        <w:spacing w:line="480" w:lineRule="auto"/>
        <w:rPr>
          <w:color w:val="000000"/>
          <w:sz w:val="28"/>
          <w:szCs w:val="28"/>
          <w:highlight w:val="none"/>
        </w:rPr>
      </w:pPr>
    </w:p>
    <w:p>
      <w:pPr>
        <w:pStyle w:val="23"/>
        <w:spacing w:line="480" w:lineRule="auto"/>
        <w:rPr>
          <w:color w:val="000000"/>
          <w:sz w:val="44"/>
          <w:szCs w:val="44"/>
          <w:highlight w:val="none"/>
        </w:rPr>
        <w:sectPr>
          <w:footerReference r:id="rId5" w:type="default"/>
          <w:pgSz w:w="11905" w:h="16838"/>
          <w:pgMar w:top="1417" w:right="1417" w:bottom="1417" w:left="1417" w:header="850" w:footer="992" w:gutter="0"/>
          <w:pgNumType w:start="1"/>
          <w:cols w:space="720" w:num="1"/>
          <w:docGrid w:type="lines" w:linePitch="389" w:charSpace="0"/>
        </w:sectPr>
      </w:pPr>
      <w:r>
        <w:rPr>
          <w:rFonts w:hint="eastAsia" w:ascii="宋体" w:hAnsi="宋体" w:cs="宋体"/>
          <w:color w:val="000000"/>
          <w:sz w:val="28"/>
          <w:szCs w:val="28"/>
          <w:highlight w:val="none"/>
        </w:rPr>
        <w:fldChar w:fldCharType="end"/>
      </w:r>
    </w:p>
    <w:p>
      <w:pPr>
        <w:pStyle w:val="23"/>
        <w:spacing w:before="0" w:after="0" w:line="360" w:lineRule="auto"/>
        <w:rPr>
          <w:rFonts w:hint="eastAsia"/>
          <w:color w:val="000000"/>
          <w:highlight w:val="none"/>
        </w:rPr>
      </w:pPr>
      <w:bookmarkStart w:id="0" w:name="_Toc30045"/>
      <w:bookmarkStart w:id="1" w:name="OLE_LINK1"/>
      <w:r>
        <w:rPr>
          <w:rFonts w:hint="eastAsia"/>
          <w:color w:val="000000"/>
          <w:highlight w:val="none"/>
        </w:rPr>
        <w:t>第一章</w:t>
      </w:r>
      <w:r>
        <w:rPr>
          <w:rFonts w:hint="eastAsia"/>
          <w:color w:val="000000"/>
          <w:highlight w:val="none"/>
          <w:lang w:val="en-US" w:eastAsia="zh-CN"/>
        </w:rPr>
        <w:t xml:space="preserve"> </w:t>
      </w:r>
      <w:r>
        <w:rPr>
          <w:rFonts w:hint="eastAsia"/>
          <w:color w:val="000000"/>
          <w:highlight w:val="none"/>
        </w:rPr>
        <w:t>招标公告</w:t>
      </w:r>
      <w:bookmarkEnd w:id="0"/>
    </w:p>
    <w:p>
      <w:pPr>
        <w:widowControl/>
        <w:spacing w:line="360" w:lineRule="auto"/>
        <w:jc w:val="lef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一、招标条件</w:t>
      </w:r>
    </w:p>
    <w:p>
      <w:pPr>
        <w:spacing w:line="460" w:lineRule="exact"/>
        <w:ind w:firstLine="480" w:firstLineChars="200"/>
        <w:jc w:val="left"/>
        <w:rPr>
          <w:rFonts w:hint="eastAsia" w:ascii="宋体" w:hAnsi="宋体" w:cs="MingLiU"/>
          <w:b/>
          <w:color w:val="000000"/>
          <w:w w:val="99"/>
          <w:kern w:val="0"/>
          <w:sz w:val="24"/>
          <w:szCs w:val="24"/>
          <w:highlight w:val="none"/>
        </w:rPr>
      </w:pPr>
      <w:r>
        <w:rPr>
          <w:rFonts w:hint="eastAsia" w:ascii="宋体" w:hAnsi="宋体" w:cs="宋体"/>
          <w:color w:val="000000"/>
          <w:kern w:val="0"/>
          <w:sz w:val="24"/>
          <w:szCs w:val="24"/>
          <w:highlight w:val="none"/>
        </w:rPr>
        <w:t>本招标</w:t>
      </w:r>
      <w:r>
        <w:rPr>
          <w:rFonts w:hint="eastAsia" w:ascii="宋体" w:hAnsi="宋体" w:cs="宋体"/>
          <w:color w:val="000000"/>
          <w:kern w:val="0"/>
          <w:sz w:val="24"/>
          <w:szCs w:val="24"/>
          <w:highlight w:val="none"/>
          <w:u w:val="none"/>
        </w:rPr>
        <w:t>项目</w:t>
      </w:r>
      <w:r>
        <w:rPr>
          <w:rFonts w:hint="eastAsia" w:ascii="宋体" w:hAnsi="宋体" w:cs="宋体"/>
          <w:color w:val="000000"/>
          <w:kern w:val="0"/>
          <w:sz w:val="24"/>
          <w:szCs w:val="24"/>
          <w:highlight w:val="none"/>
          <w:u w:val="none"/>
          <w:lang w:eastAsia="zh-CN"/>
        </w:rPr>
        <w:t>粉煤制备系统安全技术升级改造</w:t>
      </w:r>
      <w:r>
        <w:rPr>
          <w:rFonts w:hint="eastAsia" w:ascii="宋体" w:hAnsi="宋体" w:cs="宋体"/>
          <w:color w:val="000000"/>
          <w:kern w:val="0"/>
          <w:sz w:val="24"/>
          <w:szCs w:val="24"/>
          <w:highlight w:val="none"/>
          <w:u w:val="none"/>
          <w:lang w:val="en-US" w:eastAsia="zh-CN"/>
        </w:rPr>
        <w:t>项目已</w:t>
      </w:r>
      <w:r>
        <w:rPr>
          <w:rFonts w:hint="eastAsia" w:ascii="宋体" w:hAnsi="宋体" w:cs="宋体"/>
          <w:color w:val="000000"/>
          <w:sz w:val="24"/>
          <w:szCs w:val="24"/>
          <w:highlight w:val="none"/>
          <w:u w:val="none"/>
        </w:rPr>
        <w:t>批准建设</w:t>
      </w:r>
      <w:r>
        <w:rPr>
          <w:rFonts w:hint="eastAsia" w:ascii="宋体" w:hAnsi="宋体" w:cs="宋体"/>
          <w:color w:val="000000"/>
          <w:sz w:val="24"/>
          <w:szCs w:val="24"/>
          <w:highlight w:val="none"/>
          <w:u w:val="none"/>
          <w:shd w:val="clear" w:color="auto" w:fill="FFFFFF"/>
        </w:rPr>
        <w:t>，项目代码：</w:t>
      </w:r>
      <w:r>
        <w:rPr>
          <w:rFonts w:hint="eastAsia" w:ascii="宋体" w:hAnsi="宋体" w:cs="宋体"/>
          <w:color w:val="000000"/>
          <w:sz w:val="24"/>
          <w:szCs w:val="24"/>
          <w:highlight w:val="none"/>
          <w:u w:val="none"/>
          <w:shd w:val="clear" w:color="auto" w:fill="FFFFFF"/>
          <w:lang w:val="en-US" w:eastAsia="zh-CN"/>
        </w:rPr>
        <w:t>2506-440204-04-02-118151</w:t>
      </w:r>
      <w:r>
        <w:rPr>
          <w:rFonts w:hint="eastAsia" w:ascii="宋体" w:hAnsi="宋体" w:cs="宋体"/>
          <w:color w:val="000000"/>
          <w:sz w:val="24"/>
          <w:szCs w:val="24"/>
          <w:highlight w:val="none"/>
          <w:u w:val="none"/>
          <w:shd w:val="clear" w:color="auto" w:fill="FFFFFF"/>
          <w:lang w:eastAsia="zh-CN"/>
        </w:rPr>
        <w:t>，</w:t>
      </w:r>
      <w:r>
        <w:rPr>
          <w:rFonts w:hint="eastAsia" w:ascii="宋体" w:hAnsi="宋体" w:cs="宋体"/>
          <w:color w:val="000000"/>
          <w:kern w:val="0"/>
          <w:sz w:val="24"/>
          <w:szCs w:val="24"/>
          <w:highlight w:val="none"/>
        </w:rPr>
        <w:t>建设资金来源为</w:t>
      </w:r>
      <w:r>
        <w:rPr>
          <w:rFonts w:hint="eastAsia" w:ascii="宋体" w:hAnsi="宋体" w:cs="宋体"/>
          <w:color w:val="000000"/>
          <w:kern w:val="0"/>
          <w:sz w:val="24"/>
          <w:szCs w:val="24"/>
          <w:highlight w:val="none"/>
          <w:u w:val="single"/>
          <w:lang w:val="en-US" w:eastAsia="zh-CN"/>
        </w:rPr>
        <w:t>企业自筹</w:t>
      </w:r>
      <w:r>
        <w:rPr>
          <w:rFonts w:hint="eastAsia" w:ascii="宋体" w:hAnsi="宋体" w:cs="宋体"/>
          <w:color w:val="000000"/>
          <w:kern w:val="0"/>
          <w:sz w:val="24"/>
          <w:szCs w:val="24"/>
          <w:highlight w:val="none"/>
        </w:rPr>
        <w:t>。招标人为</w:t>
      </w:r>
      <w:r>
        <w:rPr>
          <w:rFonts w:hint="eastAsia" w:ascii="宋体" w:hAnsi="宋体" w:cs="宋体"/>
          <w:color w:val="000000"/>
          <w:kern w:val="0"/>
          <w:sz w:val="24"/>
          <w:szCs w:val="24"/>
          <w:highlight w:val="none"/>
          <w:u w:val="single"/>
          <w:lang w:eastAsia="zh-CN"/>
        </w:rPr>
        <w:t>广东中金岭南工程技术有限公司</w:t>
      </w:r>
      <w:r>
        <w:rPr>
          <w:rFonts w:hint="eastAsia" w:ascii="宋体" w:hAnsi="宋体" w:cs="宋体"/>
          <w:color w:val="000000"/>
          <w:kern w:val="0"/>
          <w:sz w:val="24"/>
          <w:szCs w:val="24"/>
          <w:highlight w:val="none"/>
        </w:rPr>
        <w:t>。招标代理机构为</w:t>
      </w:r>
      <w:r>
        <w:rPr>
          <w:rFonts w:hint="eastAsia" w:ascii="宋体" w:hAnsi="宋体" w:cs="宋体"/>
          <w:color w:val="000000"/>
          <w:kern w:val="0"/>
          <w:sz w:val="24"/>
          <w:szCs w:val="24"/>
          <w:highlight w:val="none"/>
          <w:u w:val="single"/>
          <w:lang w:eastAsia="zh-CN"/>
        </w:rPr>
        <w:t>广东省国际工程咨询有限公司</w:t>
      </w:r>
      <w:r>
        <w:rPr>
          <w:rFonts w:hint="eastAsia" w:ascii="宋体" w:hAnsi="宋体" w:cs="宋体"/>
          <w:color w:val="000000"/>
          <w:kern w:val="0"/>
          <w:sz w:val="24"/>
          <w:szCs w:val="24"/>
          <w:highlight w:val="none"/>
        </w:rPr>
        <w:t>，项目已具备招标条件，现对该项目的</w:t>
      </w:r>
      <w:r>
        <w:rPr>
          <w:rFonts w:hint="eastAsia" w:ascii="宋体" w:hAnsi="宋体" w:cs="宋体"/>
          <w:color w:val="000000"/>
          <w:kern w:val="0"/>
          <w:sz w:val="24"/>
          <w:szCs w:val="24"/>
          <w:highlight w:val="none"/>
          <w:u w:val="single"/>
        </w:rPr>
        <w:t>工艺设备</w:t>
      </w:r>
      <w:r>
        <w:rPr>
          <w:rFonts w:hint="eastAsia" w:ascii="宋体" w:hAnsi="宋体" w:cs="宋体"/>
          <w:color w:val="000000"/>
          <w:kern w:val="0"/>
          <w:sz w:val="24"/>
          <w:szCs w:val="24"/>
          <w:highlight w:val="none"/>
          <w:u w:val="single"/>
          <w:lang w:val="en-US" w:eastAsia="zh-CN"/>
        </w:rPr>
        <w:t>采购</w:t>
      </w:r>
      <w:r>
        <w:rPr>
          <w:rFonts w:hint="eastAsia" w:ascii="宋体" w:hAnsi="宋体" w:cs="宋体"/>
          <w:color w:val="000000"/>
          <w:kern w:val="0"/>
          <w:sz w:val="24"/>
          <w:szCs w:val="24"/>
          <w:highlight w:val="none"/>
        </w:rPr>
        <w:t>进行公开招标。</w:t>
      </w:r>
      <w:bookmarkStart w:id="2" w:name="_Toc21265979"/>
    </w:p>
    <w:p>
      <w:pPr>
        <w:widowControl/>
        <w:spacing w:line="360" w:lineRule="auto"/>
        <w:jc w:val="lef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二、项目概况与招标范围</w:t>
      </w:r>
      <w:bookmarkEnd w:id="2"/>
    </w:p>
    <w:p>
      <w:pPr>
        <w:widowControl/>
        <w:spacing w:line="460" w:lineRule="exact"/>
        <w:ind w:firstLine="480" w:firstLineChars="200"/>
        <w:jc w:val="left"/>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rPr>
        <w:t>2.1项目概况：</w:t>
      </w:r>
      <w:r>
        <w:rPr>
          <w:rFonts w:hint="eastAsia" w:ascii="宋体" w:hAnsi="宋体" w:cs="宋体"/>
          <w:color w:val="000000"/>
          <w:sz w:val="24"/>
          <w:szCs w:val="24"/>
          <w:highlight w:val="none"/>
          <w:lang w:val="en-US" w:eastAsia="zh-CN"/>
        </w:rPr>
        <w:t>本项目为粉煤制备系统安全技术升级改造项目。为烟化炉、ISF炉、中试平台提供吹炼提供合格粉煤，采用立式磨煤机制备粉煤，产能10t/h。原煤煤种为烟煤，堆积密度～0.8t/m</w:t>
      </w:r>
      <w:r>
        <w:rPr>
          <w:rFonts w:hint="eastAsia" w:ascii="宋体" w:hAnsi="宋体" w:cs="宋体"/>
          <w:color w:val="000000"/>
          <w:sz w:val="24"/>
          <w:szCs w:val="24"/>
          <w:highlight w:val="none"/>
          <w:vertAlign w:val="superscript"/>
          <w:lang w:val="en-US" w:eastAsia="zh-CN"/>
        </w:rPr>
        <w:t>3</w:t>
      </w:r>
      <w:r>
        <w:rPr>
          <w:rFonts w:hint="eastAsia" w:ascii="宋体" w:hAnsi="宋体" w:cs="宋体"/>
          <w:color w:val="000000"/>
          <w:sz w:val="24"/>
          <w:szCs w:val="24"/>
          <w:highlight w:val="none"/>
          <w:lang w:val="en-US" w:eastAsia="zh-CN"/>
        </w:rPr>
        <w:t>，粒径＜30mm；碳≥55%；水≤12%；硫≤1%。制备粉煤，堆积密度0.5～0.8t/m</w:t>
      </w:r>
      <w:r>
        <w:rPr>
          <w:rFonts w:hint="eastAsia" w:ascii="宋体" w:hAnsi="宋体" w:cs="宋体"/>
          <w:color w:val="000000"/>
          <w:sz w:val="24"/>
          <w:szCs w:val="24"/>
          <w:highlight w:val="none"/>
          <w:vertAlign w:val="superscript"/>
          <w:lang w:val="en-US" w:eastAsia="zh-CN"/>
        </w:rPr>
        <w:t>3</w:t>
      </w:r>
      <w:r>
        <w:rPr>
          <w:rFonts w:hint="eastAsia" w:ascii="宋体" w:hAnsi="宋体" w:cs="宋体"/>
          <w:color w:val="000000"/>
          <w:sz w:val="24"/>
          <w:szCs w:val="24"/>
          <w:highlight w:val="none"/>
          <w:lang w:val="en-US" w:eastAsia="zh-CN"/>
        </w:rPr>
        <w:t>，水分含量≤1%；粒度85%≤0.074mm，100%＜1mm。</w:t>
      </w:r>
    </w:p>
    <w:p>
      <w:pPr>
        <w:widowControl/>
        <w:spacing w:line="460" w:lineRule="exact"/>
        <w:ind w:firstLine="480" w:firstLineChars="200"/>
        <w:jc w:val="left"/>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粉煤制备车间工作制度：330d/a，16h/d。</w:t>
      </w:r>
    </w:p>
    <w:p>
      <w:pPr>
        <w:widowControl/>
        <w:spacing w:line="460" w:lineRule="exact"/>
        <w:ind w:firstLine="480" w:firstLineChars="200"/>
        <w:jc w:val="left"/>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接收粉煤车间工作制度：330d/a，24h/d。</w:t>
      </w:r>
    </w:p>
    <w:p>
      <w:pPr>
        <w:widowControl/>
        <w:spacing w:line="46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2.2项目建设地点：</w:t>
      </w:r>
      <w:r>
        <w:rPr>
          <w:rFonts w:hint="eastAsia" w:ascii="宋体" w:hAnsi="宋体" w:cs="宋体"/>
          <w:color w:val="000000"/>
          <w:sz w:val="24"/>
          <w:szCs w:val="24"/>
          <w:highlight w:val="none"/>
          <w:lang w:eastAsia="zh-CN"/>
        </w:rPr>
        <w:t>广东省韶关市浈江区南郊九公里韶关冶炼厂指定地点。</w:t>
      </w:r>
    </w:p>
    <w:p>
      <w:pPr>
        <w:pStyle w:val="70"/>
        <w:spacing w:beforeAutospacing="0" w:afterAutospacing="0" w:line="460" w:lineRule="exact"/>
        <w:ind w:firstLine="480" w:firstLineChars="200"/>
        <w:rPr>
          <w:rFonts w:hint="eastAsia"/>
          <w:color w:val="000000"/>
          <w:sz w:val="24"/>
          <w:szCs w:val="24"/>
          <w:highlight w:val="none"/>
        </w:rPr>
      </w:pPr>
      <w:r>
        <w:rPr>
          <w:rFonts w:hint="eastAsia"/>
          <w:color w:val="000000"/>
          <w:sz w:val="24"/>
          <w:szCs w:val="24"/>
          <w:highlight w:val="none"/>
        </w:rPr>
        <w:t>2.3招标范围：本次供货设备范围为：</w:t>
      </w:r>
      <w:r>
        <w:rPr>
          <w:rFonts w:hint="eastAsia"/>
          <w:color w:val="000000"/>
          <w:sz w:val="24"/>
          <w:szCs w:val="24"/>
          <w:highlight w:val="none"/>
          <w:lang w:eastAsia="zh-CN"/>
        </w:rPr>
        <w:t>（</w:t>
      </w:r>
      <w:r>
        <w:rPr>
          <w:rFonts w:hint="eastAsia"/>
          <w:color w:val="000000"/>
          <w:sz w:val="24"/>
          <w:szCs w:val="24"/>
          <w:highlight w:val="none"/>
          <w:lang w:val="en-US" w:eastAsia="zh-CN"/>
        </w:rPr>
        <w:t>1</w:t>
      </w:r>
      <w:r>
        <w:rPr>
          <w:rFonts w:hint="eastAsia"/>
          <w:color w:val="000000"/>
          <w:sz w:val="24"/>
          <w:szCs w:val="24"/>
          <w:highlight w:val="none"/>
          <w:lang w:eastAsia="zh-CN"/>
        </w:rPr>
        <w:t>）</w:t>
      </w:r>
      <w:r>
        <w:rPr>
          <w:rFonts w:hint="eastAsia"/>
          <w:color w:val="000000"/>
          <w:sz w:val="24"/>
          <w:szCs w:val="24"/>
          <w:highlight w:val="none"/>
        </w:rPr>
        <w:t>原煤仓开始到粉煤输送系统仓式泵、单罐定量喷吹泵为止所有设备、管道系统及电气仪表；</w:t>
      </w:r>
    </w:p>
    <w:p>
      <w:pPr>
        <w:pStyle w:val="70"/>
        <w:spacing w:beforeAutospacing="0" w:afterAutospacing="0" w:line="460" w:lineRule="exact"/>
        <w:ind w:firstLine="480" w:firstLineChars="200"/>
        <w:rPr>
          <w:rFonts w:hint="eastAsia"/>
          <w:color w:val="000000"/>
          <w:sz w:val="24"/>
          <w:szCs w:val="24"/>
          <w:highlight w:val="none"/>
        </w:rPr>
      </w:pPr>
      <w:r>
        <w:rPr>
          <w:rFonts w:hint="eastAsia"/>
          <w:color w:val="000000"/>
          <w:sz w:val="24"/>
          <w:szCs w:val="24"/>
          <w:highlight w:val="none"/>
          <w:lang w:eastAsia="zh-CN"/>
        </w:rPr>
        <w:t>（</w:t>
      </w:r>
      <w:r>
        <w:rPr>
          <w:rFonts w:hint="eastAsia"/>
          <w:color w:val="000000"/>
          <w:sz w:val="24"/>
          <w:szCs w:val="24"/>
          <w:highlight w:val="none"/>
          <w:lang w:val="en-US" w:eastAsia="zh-CN"/>
        </w:rPr>
        <w:t>2</w:t>
      </w:r>
      <w:r>
        <w:rPr>
          <w:rFonts w:hint="eastAsia"/>
          <w:color w:val="000000"/>
          <w:sz w:val="24"/>
          <w:szCs w:val="24"/>
          <w:highlight w:val="none"/>
          <w:lang w:eastAsia="zh-CN"/>
        </w:rPr>
        <w:t>）</w:t>
      </w:r>
      <w:r>
        <w:rPr>
          <w:rFonts w:hint="eastAsia"/>
          <w:color w:val="000000"/>
          <w:sz w:val="24"/>
          <w:szCs w:val="24"/>
          <w:highlight w:val="none"/>
        </w:rPr>
        <w:t>单罐定量喷吹泵至ISF炉粉煤分配器输送管道为止所有设备、管道系统及电气仪表；</w:t>
      </w:r>
    </w:p>
    <w:p>
      <w:pPr>
        <w:pStyle w:val="70"/>
        <w:spacing w:beforeAutospacing="0" w:afterAutospacing="0" w:line="460" w:lineRule="exact"/>
        <w:ind w:firstLine="480" w:firstLineChars="200"/>
        <w:rPr>
          <w:rFonts w:hint="eastAsia"/>
          <w:color w:val="000000"/>
          <w:sz w:val="24"/>
          <w:szCs w:val="24"/>
          <w:highlight w:val="none"/>
        </w:rPr>
      </w:pPr>
      <w:r>
        <w:rPr>
          <w:rFonts w:hint="eastAsia"/>
          <w:color w:val="000000"/>
          <w:sz w:val="24"/>
          <w:szCs w:val="24"/>
          <w:highlight w:val="none"/>
          <w:lang w:eastAsia="zh-CN"/>
        </w:rPr>
        <w:t>（</w:t>
      </w:r>
      <w:r>
        <w:rPr>
          <w:rFonts w:hint="eastAsia"/>
          <w:color w:val="000000"/>
          <w:sz w:val="24"/>
          <w:szCs w:val="24"/>
          <w:highlight w:val="none"/>
          <w:lang w:val="en-US" w:eastAsia="zh-CN"/>
        </w:rPr>
        <w:t>3</w:t>
      </w:r>
      <w:r>
        <w:rPr>
          <w:rFonts w:hint="eastAsia"/>
          <w:color w:val="000000"/>
          <w:sz w:val="24"/>
          <w:szCs w:val="24"/>
          <w:highlight w:val="none"/>
          <w:lang w:eastAsia="zh-CN"/>
        </w:rPr>
        <w:t>）</w:t>
      </w:r>
      <w:r>
        <w:rPr>
          <w:rFonts w:hint="eastAsia"/>
          <w:color w:val="000000"/>
          <w:sz w:val="24"/>
          <w:szCs w:val="24"/>
          <w:highlight w:val="none"/>
        </w:rPr>
        <w:t>以上设备（含磨煤、输送、喷煤等）控制系统设计和软件开发（开放通讯接口）。</w:t>
      </w:r>
    </w:p>
    <w:p>
      <w:pPr>
        <w:pStyle w:val="70"/>
        <w:spacing w:beforeAutospacing="0" w:afterAutospacing="0" w:line="460" w:lineRule="exact"/>
        <w:ind w:firstLine="480" w:firstLineChars="200"/>
        <w:rPr>
          <w:rFonts w:hint="eastAsia"/>
          <w:color w:val="000000"/>
          <w:sz w:val="24"/>
          <w:szCs w:val="24"/>
          <w:highlight w:val="none"/>
        </w:rPr>
      </w:pPr>
      <w:r>
        <w:rPr>
          <w:rFonts w:hint="eastAsia"/>
          <w:color w:val="000000"/>
          <w:sz w:val="24"/>
          <w:szCs w:val="24"/>
          <w:highlight w:val="none"/>
          <w:lang w:eastAsia="zh-CN"/>
        </w:rPr>
        <w:t>（</w:t>
      </w:r>
      <w:r>
        <w:rPr>
          <w:rFonts w:hint="eastAsia"/>
          <w:color w:val="000000"/>
          <w:sz w:val="24"/>
          <w:szCs w:val="24"/>
          <w:highlight w:val="none"/>
          <w:lang w:val="en-US" w:eastAsia="zh-CN"/>
        </w:rPr>
        <w:t>4</w:t>
      </w:r>
      <w:r>
        <w:rPr>
          <w:rFonts w:hint="eastAsia"/>
          <w:color w:val="000000"/>
          <w:sz w:val="24"/>
          <w:szCs w:val="24"/>
          <w:highlight w:val="none"/>
          <w:lang w:eastAsia="zh-CN"/>
        </w:rPr>
        <w:t>）</w:t>
      </w:r>
      <w:r>
        <w:rPr>
          <w:rFonts w:hint="eastAsia"/>
          <w:color w:val="000000"/>
          <w:sz w:val="24"/>
          <w:szCs w:val="24"/>
          <w:highlight w:val="none"/>
        </w:rPr>
        <w:t>收尘器的爬梯护栏及检修平台、立磨机的检修平台、煤粉仓的检修平台、管路支架及对接法兰等，检修平台爬梯选用折梯，检修平台符合安全规范要求。</w:t>
      </w:r>
    </w:p>
    <w:p>
      <w:pPr>
        <w:pStyle w:val="70"/>
        <w:spacing w:beforeAutospacing="0" w:afterAutospacing="0" w:line="460" w:lineRule="exact"/>
        <w:ind w:firstLine="480" w:firstLineChars="200"/>
        <w:rPr>
          <w:rFonts w:hint="eastAsia"/>
          <w:color w:val="000000"/>
          <w:sz w:val="24"/>
          <w:szCs w:val="24"/>
          <w:highlight w:val="none"/>
        </w:rPr>
      </w:pPr>
      <w:r>
        <w:rPr>
          <w:rFonts w:hint="eastAsia"/>
          <w:color w:val="000000"/>
          <w:sz w:val="24"/>
          <w:szCs w:val="24"/>
          <w:highlight w:val="none"/>
          <w:lang w:eastAsia="zh-CN"/>
        </w:rPr>
        <w:t>（</w:t>
      </w:r>
      <w:r>
        <w:rPr>
          <w:rFonts w:hint="eastAsia"/>
          <w:color w:val="000000"/>
          <w:sz w:val="24"/>
          <w:szCs w:val="24"/>
          <w:highlight w:val="none"/>
          <w:lang w:val="en-US" w:eastAsia="zh-CN"/>
        </w:rPr>
        <w:t>5</w:t>
      </w:r>
      <w:r>
        <w:rPr>
          <w:rFonts w:hint="eastAsia"/>
          <w:color w:val="000000"/>
          <w:sz w:val="24"/>
          <w:szCs w:val="24"/>
          <w:highlight w:val="none"/>
          <w:lang w:eastAsia="zh-CN"/>
        </w:rPr>
        <w:t>）</w:t>
      </w:r>
      <w:r>
        <w:rPr>
          <w:rFonts w:hint="eastAsia"/>
          <w:color w:val="000000"/>
          <w:sz w:val="24"/>
          <w:szCs w:val="24"/>
          <w:highlight w:val="none"/>
        </w:rPr>
        <w:t>特种设备、压力容器及管道、配套仪表、安全阀、流量计等报装报检。取得相关检定证书。</w:t>
      </w:r>
    </w:p>
    <w:p>
      <w:pPr>
        <w:pStyle w:val="70"/>
        <w:spacing w:beforeAutospacing="0" w:afterAutospacing="0" w:line="460" w:lineRule="exact"/>
        <w:ind w:firstLine="480" w:firstLineChars="200"/>
        <w:rPr>
          <w:rFonts w:hint="eastAsia"/>
          <w:color w:val="000000"/>
          <w:sz w:val="24"/>
          <w:szCs w:val="24"/>
          <w:highlight w:val="none"/>
        </w:rPr>
      </w:pPr>
      <w:r>
        <w:rPr>
          <w:rFonts w:hint="eastAsia"/>
          <w:color w:val="000000"/>
          <w:sz w:val="24"/>
          <w:szCs w:val="24"/>
          <w:highlight w:val="none"/>
          <w:lang w:eastAsia="zh-CN"/>
        </w:rPr>
        <w:t>（</w:t>
      </w:r>
      <w:r>
        <w:rPr>
          <w:rFonts w:hint="eastAsia"/>
          <w:color w:val="000000"/>
          <w:sz w:val="24"/>
          <w:szCs w:val="24"/>
          <w:highlight w:val="none"/>
          <w:lang w:val="en-US" w:eastAsia="zh-CN"/>
        </w:rPr>
        <w:t>6</w:t>
      </w:r>
      <w:r>
        <w:rPr>
          <w:rFonts w:hint="eastAsia"/>
          <w:color w:val="000000"/>
          <w:sz w:val="24"/>
          <w:szCs w:val="24"/>
          <w:highlight w:val="none"/>
          <w:lang w:eastAsia="zh-CN"/>
        </w:rPr>
        <w:t>）</w:t>
      </w:r>
      <w:r>
        <w:rPr>
          <w:rFonts w:hint="eastAsia"/>
          <w:color w:val="000000"/>
          <w:sz w:val="24"/>
          <w:szCs w:val="24"/>
          <w:highlight w:val="none"/>
        </w:rPr>
        <w:t>根据现场实际情况对原煤仓进行优化改造（含配套设施）。</w:t>
      </w:r>
    </w:p>
    <w:p>
      <w:pPr>
        <w:pStyle w:val="70"/>
        <w:spacing w:beforeAutospacing="0" w:afterAutospacing="0" w:line="460" w:lineRule="exact"/>
        <w:ind w:firstLine="480" w:firstLineChars="200"/>
        <w:rPr>
          <w:rFonts w:hint="eastAsia"/>
          <w:color w:val="000000"/>
          <w:sz w:val="24"/>
          <w:szCs w:val="24"/>
          <w:highlight w:val="none"/>
        </w:rPr>
      </w:pPr>
      <w:r>
        <w:rPr>
          <w:rFonts w:hint="eastAsia"/>
          <w:color w:val="000000"/>
          <w:sz w:val="24"/>
          <w:szCs w:val="24"/>
          <w:highlight w:val="none"/>
          <w:lang w:eastAsia="zh-CN"/>
        </w:rPr>
        <w:t>（</w:t>
      </w:r>
      <w:r>
        <w:rPr>
          <w:rFonts w:hint="eastAsia"/>
          <w:color w:val="000000"/>
          <w:sz w:val="24"/>
          <w:szCs w:val="24"/>
          <w:highlight w:val="none"/>
          <w:lang w:val="en-US" w:eastAsia="zh-CN"/>
        </w:rPr>
        <w:t>7</w:t>
      </w:r>
      <w:r>
        <w:rPr>
          <w:rFonts w:hint="eastAsia"/>
          <w:color w:val="000000"/>
          <w:sz w:val="24"/>
          <w:szCs w:val="24"/>
          <w:highlight w:val="none"/>
          <w:lang w:eastAsia="zh-CN"/>
        </w:rPr>
        <w:t>）</w:t>
      </w:r>
      <w:r>
        <w:rPr>
          <w:rFonts w:hint="eastAsia"/>
          <w:color w:val="000000"/>
          <w:sz w:val="24"/>
          <w:szCs w:val="24"/>
          <w:highlight w:val="none"/>
        </w:rPr>
        <w:t>不含土建施工（具体见初设图）、电缆沟施工及盖板、管廊等。不包含旧设备的拆除。</w:t>
      </w:r>
    </w:p>
    <w:p>
      <w:pPr>
        <w:pStyle w:val="70"/>
        <w:spacing w:beforeAutospacing="0" w:afterAutospacing="0" w:line="460" w:lineRule="exact"/>
        <w:ind w:firstLine="480" w:firstLineChars="200"/>
        <w:rPr>
          <w:rFonts w:hint="eastAsia"/>
          <w:color w:val="000000"/>
          <w:sz w:val="24"/>
          <w:szCs w:val="24"/>
          <w:highlight w:val="none"/>
        </w:rPr>
      </w:pPr>
      <w:r>
        <w:rPr>
          <w:rFonts w:hint="eastAsia"/>
          <w:color w:val="000000"/>
          <w:sz w:val="24"/>
          <w:szCs w:val="24"/>
          <w:highlight w:val="none"/>
        </w:rPr>
        <w:t>本制备系统要求充分利用粉煤制备系统尾气，以降低系统含氧量及节能降耗。要求供货商提供生产过程的整套设备（含：设备、工装、附件、控制系统、供电、保护、电器仪表、所有设备和管道的防腐及保温等的设计、供货、安装、调试、培训售后、质保）</w:t>
      </w:r>
    </w:p>
    <w:p>
      <w:pPr>
        <w:pStyle w:val="70"/>
        <w:spacing w:beforeAutospacing="0" w:afterAutospacing="0" w:line="460" w:lineRule="exact"/>
        <w:ind w:firstLine="480" w:firstLineChars="200"/>
        <w:rPr>
          <w:rFonts w:hint="default" w:eastAsia="宋体"/>
          <w:color w:val="000000"/>
          <w:sz w:val="24"/>
          <w:szCs w:val="24"/>
          <w:highlight w:val="none"/>
          <w:lang w:val="en-US" w:eastAsia="zh-CN"/>
        </w:rPr>
      </w:pPr>
      <w:r>
        <w:rPr>
          <w:rFonts w:hint="eastAsia"/>
          <w:color w:val="000000"/>
          <w:sz w:val="24"/>
          <w:szCs w:val="24"/>
          <w:highlight w:val="none"/>
        </w:rPr>
        <w:t>2.4</w:t>
      </w:r>
      <w:r>
        <w:rPr>
          <w:rFonts w:hint="eastAsia"/>
          <w:color w:val="000000"/>
          <w:sz w:val="24"/>
          <w:szCs w:val="24"/>
          <w:highlight w:val="none"/>
          <w:lang w:val="en-US" w:eastAsia="zh-CN"/>
        </w:rPr>
        <w:t>交货期</w:t>
      </w:r>
      <w:r>
        <w:rPr>
          <w:rFonts w:hint="eastAsia"/>
          <w:color w:val="000000"/>
          <w:sz w:val="24"/>
          <w:szCs w:val="24"/>
          <w:highlight w:val="none"/>
        </w:rPr>
        <w:t>：</w:t>
      </w:r>
      <w:r>
        <w:rPr>
          <w:rFonts w:hint="eastAsia"/>
          <w:color w:val="000000"/>
          <w:sz w:val="24"/>
          <w:szCs w:val="24"/>
          <w:highlight w:val="none"/>
          <w:lang w:val="en-US" w:eastAsia="zh-CN"/>
        </w:rPr>
        <w:t>签订合同后90个日历天内交付全部标的货物</w:t>
      </w:r>
      <w:r>
        <w:rPr>
          <w:rFonts w:hint="eastAsia"/>
          <w:color w:val="000000"/>
          <w:sz w:val="24"/>
          <w:szCs w:val="24"/>
          <w:highlight w:val="none"/>
        </w:rPr>
        <w:t>。</w:t>
      </w:r>
    </w:p>
    <w:p>
      <w:pPr>
        <w:pStyle w:val="70"/>
        <w:spacing w:beforeAutospacing="0" w:afterAutospacing="0" w:line="460" w:lineRule="exact"/>
        <w:ind w:firstLine="480" w:firstLineChars="200"/>
        <w:rPr>
          <w:rFonts w:hint="default" w:eastAsia="宋体"/>
          <w:color w:val="000000"/>
          <w:sz w:val="24"/>
          <w:szCs w:val="24"/>
          <w:highlight w:val="none"/>
          <w:lang w:val="en-US" w:eastAsia="zh-CN"/>
        </w:rPr>
      </w:pPr>
      <w:r>
        <w:rPr>
          <w:rFonts w:hint="eastAsia"/>
          <w:color w:val="000000"/>
          <w:sz w:val="24"/>
          <w:szCs w:val="24"/>
          <w:highlight w:val="none"/>
        </w:rPr>
        <w:t>2.5</w:t>
      </w:r>
      <w:r>
        <w:rPr>
          <w:rFonts w:hint="eastAsia"/>
          <w:color w:val="000000"/>
          <w:sz w:val="24"/>
          <w:szCs w:val="24"/>
          <w:highlight w:val="none"/>
          <w:lang w:val="en-US" w:eastAsia="zh-CN"/>
        </w:rPr>
        <w:t>采购金额（最高投标限价）</w:t>
      </w:r>
      <w:r>
        <w:rPr>
          <w:rFonts w:hint="eastAsia"/>
          <w:color w:val="000000"/>
          <w:sz w:val="24"/>
          <w:szCs w:val="24"/>
          <w:highlight w:val="none"/>
        </w:rPr>
        <w:t>：</w:t>
      </w:r>
      <w:r>
        <w:rPr>
          <w:rFonts w:hint="eastAsia"/>
          <w:color w:val="000000"/>
          <w:sz w:val="24"/>
          <w:szCs w:val="24"/>
          <w:highlight w:val="none"/>
          <w:lang w:val="en-US" w:eastAsia="zh-CN"/>
        </w:rPr>
        <w:t>人民币8787800.00</w:t>
      </w:r>
      <w:r>
        <w:rPr>
          <w:rFonts w:hint="eastAsia"/>
          <w:color w:val="000000"/>
          <w:sz w:val="24"/>
          <w:szCs w:val="24"/>
          <w:highlight w:val="none"/>
          <w:lang w:eastAsia="zh-CN"/>
        </w:rPr>
        <w:t>元</w:t>
      </w:r>
      <w:r>
        <w:rPr>
          <w:rFonts w:hint="eastAsia" w:ascii="宋体" w:hAnsi="宋体" w:cs="宋体"/>
          <w:color w:val="000000"/>
          <w:sz w:val="24"/>
          <w:highlight w:val="none"/>
          <w:lang w:eastAsia="zh-CN"/>
        </w:rPr>
        <w:t>。</w:t>
      </w:r>
    </w:p>
    <w:p>
      <w:pPr>
        <w:widowControl/>
        <w:spacing w:line="360" w:lineRule="auto"/>
        <w:jc w:val="left"/>
        <w:rPr>
          <w:rFonts w:hint="eastAsia" w:ascii="宋体" w:hAnsi="宋体" w:cs="宋体"/>
          <w:b/>
          <w:bCs/>
          <w:color w:val="000000"/>
          <w:sz w:val="24"/>
          <w:szCs w:val="24"/>
          <w:highlight w:val="none"/>
        </w:rPr>
      </w:pPr>
      <w:bookmarkStart w:id="3" w:name="_Toc387136950"/>
      <w:bookmarkStart w:id="4" w:name="_Toc21265980"/>
      <w:r>
        <w:rPr>
          <w:rFonts w:hint="eastAsia" w:ascii="宋体" w:hAnsi="宋体" w:cs="宋体"/>
          <w:b/>
          <w:bCs/>
          <w:color w:val="000000"/>
          <w:sz w:val="24"/>
          <w:szCs w:val="24"/>
          <w:highlight w:val="none"/>
        </w:rPr>
        <w:t>三、投标人资格要求</w:t>
      </w:r>
      <w:bookmarkEnd w:id="3"/>
      <w:bookmarkEnd w:id="4"/>
    </w:p>
    <w:p>
      <w:pPr>
        <w:widowControl/>
        <w:spacing w:line="460" w:lineRule="exact"/>
        <w:ind w:firstLine="480" w:firstLineChars="200"/>
        <w:jc w:val="left"/>
        <w:rPr>
          <w:rFonts w:hint="eastAsia" w:ascii="宋体" w:hAnsi="宋体" w:cs="宋体"/>
          <w:color w:val="000000"/>
          <w:sz w:val="24"/>
          <w:szCs w:val="24"/>
          <w:highlight w:val="none"/>
        </w:rPr>
      </w:pPr>
      <w:bookmarkStart w:id="5" w:name="_Toc21265981"/>
      <w:r>
        <w:rPr>
          <w:rFonts w:hint="eastAsia" w:ascii="宋体" w:hAnsi="宋体" w:cs="宋体"/>
          <w:color w:val="000000"/>
          <w:sz w:val="24"/>
          <w:szCs w:val="24"/>
          <w:highlight w:val="none"/>
        </w:rPr>
        <w:t>3.1投标人资格要求：</w:t>
      </w:r>
      <w:bookmarkEnd w:id="5"/>
    </w:p>
    <w:p>
      <w:pPr>
        <w:pStyle w:val="70"/>
        <w:spacing w:beforeAutospacing="0" w:afterAutospacing="0" w:line="460" w:lineRule="exact"/>
        <w:ind w:firstLine="547" w:firstLineChars="228"/>
        <w:rPr>
          <w:rFonts w:hint="eastAsia"/>
          <w:color w:val="000000"/>
          <w:sz w:val="24"/>
          <w:szCs w:val="24"/>
          <w:highlight w:val="none"/>
        </w:rPr>
      </w:pPr>
      <w:bookmarkStart w:id="6" w:name="_Toc387136951"/>
      <w:r>
        <w:rPr>
          <w:rFonts w:hint="eastAsia"/>
          <w:color w:val="000000"/>
          <w:sz w:val="24"/>
          <w:szCs w:val="24"/>
          <w:highlight w:val="none"/>
          <w:lang w:eastAsia="zh-CN"/>
        </w:rPr>
        <w:t>（</w:t>
      </w:r>
      <w:r>
        <w:rPr>
          <w:rFonts w:hint="eastAsia"/>
          <w:color w:val="000000"/>
          <w:sz w:val="24"/>
          <w:szCs w:val="24"/>
          <w:highlight w:val="none"/>
          <w:lang w:val="en-US" w:eastAsia="zh-CN"/>
        </w:rPr>
        <w:t>1</w:t>
      </w:r>
      <w:r>
        <w:rPr>
          <w:rFonts w:hint="eastAsia"/>
          <w:color w:val="000000"/>
          <w:sz w:val="24"/>
          <w:szCs w:val="24"/>
          <w:highlight w:val="none"/>
          <w:lang w:eastAsia="zh-CN"/>
        </w:rPr>
        <w:t>）</w:t>
      </w:r>
      <w:r>
        <w:rPr>
          <w:rFonts w:hint="eastAsia"/>
          <w:color w:val="000000"/>
          <w:sz w:val="24"/>
          <w:szCs w:val="24"/>
          <w:highlight w:val="none"/>
        </w:rPr>
        <w:t>投标人须具备独立法人资格，按国家法律经营。招标人不接受不具备独立法人资格的分支机构所投的投标文件。</w:t>
      </w:r>
    </w:p>
    <w:p>
      <w:pPr>
        <w:pStyle w:val="70"/>
        <w:spacing w:beforeAutospacing="0" w:afterAutospacing="0" w:line="460" w:lineRule="exact"/>
        <w:ind w:firstLine="547" w:firstLineChars="228"/>
        <w:rPr>
          <w:rFonts w:hint="eastAsia" w:ascii="宋体" w:hAnsi="宋体" w:eastAsia="宋体" w:cs="宋体"/>
          <w:color w:val="000000"/>
          <w:sz w:val="24"/>
          <w:szCs w:val="24"/>
          <w:highlight w:val="none"/>
          <w:lang w:eastAsia="zh-CN"/>
        </w:rPr>
      </w:pPr>
      <w:r>
        <w:rPr>
          <w:rFonts w:hint="eastAsia"/>
          <w:color w:val="000000"/>
          <w:sz w:val="24"/>
          <w:szCs w:val="24"/>
          <w:highlight w:val="none"/>
          <w:lang w:eastAsia="zh-CN"/>
        </w:rPr>
        <w:t>（</w:t>
      </w:r>
      <w:r>
        <w:rPr>
          <w:rFonts w:hint="eastAsia"/>
          <w:color w:val="000000"/>
          <w:sz w:val="24"/>
          <w:szCs w:val="24"/>
          <w:highlight w:val="none"/>
          <w:lang w:val="en-US" w:eastAsia="zh-CN"/>
        </w:rPr>
        <w:t>2</w:t>
      </w:r>
      <w:r>
        <w:rPr>
          <w:rFonts w:hint="eastAsia"/>
          <w:color w:val="000000"/>
          <w:sz w:val="24"/>
          <w:szCs w:val="24"/>
          <w:highlight w:val="none"/>
          <w:lang w:eastAsia="zh-CN"/>
        </w:rPr>
        <w:t>）</w:t>
      </w:r>
      <w:r>
        <w:rPr>
          <w:rFonts w:hint="eastAsia"/>
          <w:color w:val="000000"/>
          <w:sz w:val="24"/>
          <w:szCs w:val="24"/>
          <w:highlight w:val="none"/>
        </w:rPr>
        <w:t>投标人须是</w:t>
      </w:r>
      <w:r>
        <w:rPr>
          <w:rFonts w:hint="eastAsia"/>
          <w:color w:val="000000"/>
          <w:sz w:val="24"/>
          <w:szCs w:val="24"/>
          <w:highlight w:val="none"/>
          <w:lang w:eastAsia="zh-CN"/>
        </w:rPr>
        <w:t>主体设备（</w:t>
      </w:r>
      <w:r>
        <w:rPr>
          <w:rFonts w:hint="eastAsia"/>
          <w:color w:val="000000"/>
          <w:highlight w:val="none"/>
        </w:rPr>
        <w:t>立式磨煤机</w:t>
      </w:r>
      <w:r>
        <w:rPr>
          <w:rFonts w:hint="eastAsia"/>
          <w:color w:val="000000"/>
          <w:sz w:val="24"/>
          <w:szCs w:val="24"/>
          <w:highlight w:val="none"/>
          <w:lang w:eastAsia="zh-CN"/>
        </w:rPr>
        <w:t>）</w:t>
      </w:r>
      <w:r>
        <w:rPr>
          <w:rFonts w:hint="eastAsia"/>
          <w:color w:val="000000"/>
          <w:sz w:val="24"/>
          <w:szCs w:val="24"/>
          <w:highlight w:val="none"/>
        </w:rPr>
        <w:t>的生产制造商。生产制造商可根据自身情况提供一项或多项足以证明制造商资质的证明材料的复印件（如：营业执照、业绩合同、厂房、设备、专利等其他材料）</w:t>
      </w:r>
      <w:r>
        <w:rPr>
          <w:rFonts w:hint="eastAsia"/>
          <w:color w:val="000000"/>
          <w:sz w:val="24"/>
          <w:szCs w:val="24"/>
          <w:highlight w:val="none"/>
          <w:lang w:eastAsia="zh-CN"/>
        </w:rPr>
        <w:t>。</w:t>
      </w:r>
    </w:p>
    <w:p>
      <w:pPr>
        <w:pStyle w:val="7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3.2业绩要求：投标人2022年至今具有粉煤制备</w:t>
      </w:r>
      <w:r>
        <w:rPr>
          <w:rFonts w:hint="eastAsia"/>
          <w:color w:val="000000"/>
          <w:sz w:val="24"/>
          <w:szCs w:val="24"/>
          <w:highlight w:val="none"/>
          <w:lang w:eastAsia="zh-CN"/>
        </w:rPr>
        <w:t>（</w:t>
      </w:r>
      <w:r>
        <w:rPr>
          <w:rFonts w:hint="eastAsia"/>
          <w:color w:val="000000"/>
          <w:sz w:val="24"/>
          <w:szCs w:val="24"/>
          <w:highlight w:val="none"/>
        </w:rPr>
        <w:t>或粉煤喷吹</w:t>
      </w:r>
      <w:r>
        <w:rPr>
          <w:rFonts w:hint="eastAsia"/>
          <w:color w:val="000000"/>
          <w:sz w:val="24"/>
          <w:szCs w:val="24"/>
          <w:highlight w:val="none"/>
          <w:lang w:eastAsia="zh-CN"/>
        </w:rPr>
        <w:t>）</w:t>
      </w:r>
      <w:r>
        <w:rPr>
          <w:rFonts w:hint="eastAsia"/>
          <w:color w:val="000000"/>
          <w:sz w:val="24"/>
          <w:szCs w:val="24"/>
          <w:highlight w:val="none"/>
        </w:rPr>
        <w:t>成套设备供货业绩，提供合同关键页复印件。</w:t>
      </w:r>
    </w:p>
    <w:p>
      <w:pPr>
        <w:pStyle w:val="7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3.</w:t>
      </w:r>
      <w:r>
        <w:rPr>
          <w:rFonts w:hint="eastAsia"/>
          <w:color w:val="000000"/>
          <w:sz w:val="24"/>
          <w:szCs w:val="24"/>
          <w:highlight w:val="none"/>
          <w:lang w:val="en-US" w:eastAsia="zh-CN"/>
        </w:rPr>
        <w:t>3</w:t>
      </w:r>
      <w:r>
        <w:rPr>
          <w:rFonts w:hint="eastAsia"/>
          <w:color w:val="000000"/>
          <w:sz w:val="24"/>
          <w:szCs w:val="24"/>
          <w:highlight w:val="none"/>
        </w:rPr>
        <w:t>本次招标不接受联合体投标。</w:t>
      </w:r>
    </w:p>
    <w:p>
      <w:pPr>
        <w:pStyle w:val="7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3.</w:t>
      </w:r>
      <w:r>
        <w:rPr>
          <w:rFonts w:hint="eastAsia"/>
          <w:color w:val="000000"/>
          <w:sz w:val="24"/>
          <w:szCs w:val="24"/>
          <w:highlight w:val="none"/>
          <w:lang w:val="en-US" w:eastAsia="zh-CN"/>
        </w:rPr>
        <w:t>4</w:t>
      </w:r>
      <w:r>
        <w:rPr>
          <w:rFonts w:hint="eastAsia"/>
          <w:color w:val="000000"/>
          <w:sz w:val="24"/>
          <w:szCs w:val="24"/>
          <w:highlight w:val="none"/>
        </w:rPr>
        <w:t>本次招标实行资格后审，资格审查的具体要求见招标文件，资格后审不合格的投标人的投标文件将按废标处理。</w:t>
      </w:r>
    </w:p>
    <w:bookmarkEnd w:id="6"/>
    <w:p>
      <w:pPr>
        <w:widowControl/>
        <w:spacing w:line="360" w:lineRule="auto"/>
        <w:jc w:val="lef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四、招标文件的获取</w:t>
      </w:r>
    </w:p>
    <w:p>
      <w:pPr>
        <w:pStyle w:val="70"/>
        <w:wordWrap w:val="0"/>
        <w:spacing w:beforeAutospacing="0" w:afterAutospacing="0" w:line="460" w:lineRule="exact"/>
        <w:ind w:firstLine="547" w:firstLineChars="228"/>
        <w:rPr>
          <w:rFonts w:hint="eastAsia"/>
          <w:color w:val="000000"/>
          <w:sz w:val="24"/>
          <w:szCs w:val="24"/>
          <w:highlight w:val="none"/>
        </w:rPr>
      </w:pPr>
      <w:bookmarkStart w:id="7" w:name="_Toc387136952"/>
      <w:r>
        <w:rPr>
          <w:rFonts w:hint="eastAsia"/>
          <w:color w:val="000000"/>
          <w:sz w:val="24"/>
          <w:szCs w:val="24"/>
          <w:highlight w:val="none"/>
        </w:rPr>
        <w:t>4.1 本次招标实行电子投标。本项目招标文件随招标公告一并在全国公共资源交易平台（广东省·韶关市）（https://ygp.gdzwfw.gov.cn/ggzy-portal/#/440200/index）网站发布。招标文件一经发布，视为发售投标人。投标人请于招标文件获取期间（见“重要事项时间地点一览表”）登录全国公共资源交易平台（广东省·韶关市）（https://ygp.gdzwfw.gov.cn/ggzy-portal/#/440200/index）进行下载招标文件及相关附件，并于电子投标截止时间（见“重要事项时间地点一览表”）前完成电子投标。</w:t>
      </w:r>
    </w:p>
    <w:p>
      <w:pPr>
        <w:pStyle w:val="70"/>
        <w:wordWrap w:val="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投标人可登录全国公共资源交易平台（广东省·韶关市）（https://ygp.gdzwfw.gov.cn/ggzy-portal/#/440200/index），在【服务指南】栏目中下载《韶关市公共资源一体化平台——建设工程交易投标人操作指南（电子评标）》，了解网上获取招标文件操作流程。技术咨询电话：0751-8379671</w:t>
      </w:r>
      <w:r>
        <w:rPr>
          <w:rFonts w:hint="eastAsia"/>
          <w:color w:val="000000"/>
          <w:sz w:val="24"/>
          <w:szCs w:val="24"/>
          <w:highlight w:val="none"/>
          <w:lang w:val="en-US" w:eastAsia="zh-CN"/>
        </w:rPr>
        <w:t xml:space="preserve"> </w:t>
      </w:r>
      <w:r>
        <w:rPr>
          <w:rFonts w:hint="eastAsia"/>
          <w:color w:val="000000"/>
          <w:sz w:val="24"/>
          <w:szCs w:val="24"/>
          <w:highlight w:val="none"/>
        </w:rPr>
        <w:t>伍先生，业务咨询电话：0751-8633211、8633071。</w:t>
      </w:r>
    </w:p>
    <w:p>
      <w:pPr>
        <w:pStyle w:val="7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4.2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pPr>
        <w:pStyle w:val="7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pPr>
        <w:pStyle w:val="7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4.3 投标保证</w:t>
      </w:r>
    </w:p>
    <w:p>
      <w:pPr>
        <w:pStyle w:val="7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4.3.1 投标保证金额为人民币：</w:t>
      </w:r>
      <w:r>
        <w:rPr>
          <w:rFonts w:hint="eastAsia"/>
          <w:color w:val="000000"/>
          <w:sz w:val="24"/>
          <w:szCs w:val="24"/>
          <w:highlight w:val="none"/>
          <w:u w:val="single"/>
          <w:lang w:val="en-US" w:eastAsia="zh-CN"/>
        </w:rPr>
        <w:t>100000.00</w:t>
      </w:r>
      <w:r>
        <w:rPr>
          <w:rFonts w:hint="eastAsia"/>
          <w:color w:val="000000"/>
          <w:sz w:val="24"/>
          <w:szCs w:val="24"/>
          <w:highlight w:val="none"/>
        </w:rPr>
        <w:t>元。</w:t>
      </w:r>
    </w:p>
    <w:p>
      <w:pPr>
        <w:pStyle w:val="70"/>
        <w:spacing w:beforeAutospacing="0" w:afterAutospacing="0" w:line="460" w:lineRule="exact"/>
        <w:ind w:firstLine="547" w:firstLineChars="228"/>
        <w:rPr>
          <w:rFonts w:hint="eastAsia"/>
          <w:color w:val="000000"/>
          <w:sz w:val="24"/>
          <w:szCs w:val="24"/>
          <w:highlight w:val="none"/>
        </w:rPr>
      </w:pPr>
      <w:r>
        <w:rPr>
          <w:rFonts w:hint="eastAsia"/>
          <w:color w:val="000000"/>
          <w:sz w:val="24"/>
          <w:szCs w:val="24"/>
          <w:highlight w:val="none"/>
        </w:rPr>
        <w:t>4.3.2 投标保证的形式包括投标保证金、投标保证担保、投标保证保险三种，由投标人自主选择。</w:t>
      </w:r>
    </w:p>
    <w:p>
      <w:pPr>
        <w:pStyle w:val="70"/>
        <w:spacing w:beforeAutospacing="0" w:afterAutospacing="0" w:line="460" w:lineRule="exact"/>
        <w:ind w:firstLine="547" w:firstLineChars="228"/>
        <w:rPr>
          <w:rFonts w:hint="eastAsia"/>
          <w:color w:val="000000"/>
          <w:sz w:val="24"/>
          <w:szCs w:val="24"/>
          <w:highlight w:val="none"/>
          <w:shd w:val="clear" w:color="auto" w:fill="FFFFFF"/>
        </w:rPr>
      </w:pPr>
      <w:r>
        <w:rPr>
          <w:rFonts w:hint="eastAsia"/>
          <w:color w:val="000000"/>
          <w:sz w:val="24"/>
          <w:szCs w:val="24"/>
          <w:highlight w:val="none"/>
        </w:rPr>
        <w:t>（1）采用投标保证金的，投标人在建设工程交易系统获取招标文件完毕后</w:t>
      </w:r>
      <w:r>
        <w:rPr>
          <w:rFonts w:hint="eastAsia"/>
          <w:color w:val="000000"/>
          <w:sz w:val="24"/>
          <w:szCs w:val="24"/>
          <w:highlight w:val="none"/>
          <w:shd w:val="clear" w:color="auto" w:fill="FFFFFF"/>
        </w:rPr>
        <w:t>，即可在系统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pPr>
        <w:tabs>
          <w:tab w:val="left" w:pos="7020"/>
        </w:tabs>
        <w:wordWrap w:val="0"/>
        <w:adjustRightInd w:val="0"/>
        <w:snapToGrid w:val="0"/>
        <w:spacing w:line="460" w:lineRule="exact"/>
        <w:ind w:firstLine="480" w:firstLineChars="200"/>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2）采用投标保证担保的，投标人应提交有效的银行保函，银行保函的有效期不得短于投标有效期。投标人必须在投标保证担保截止时间（见“重要事项时间地点一览表”）前，使用工程建设交易系统完成网上办理电子保函。</w:t>
      </w:r>
    </w:p>
    <w:p>
      <w:pPr>
        <w:pStyle w:val="79"/>
        <w:wordWrap w:val="0"/>
        <w:adjustRightInd w:val="0"/>
        <w:snapToGrid w:val="0"/>
        <w:spacing w:line="460" w:lineRule="exact"/>
        <w:ind w:firstLine="480"/>
        <w:jc w:val="left"/>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3）采用投标保证保险的，投标人须在投标保证保险投保截止时间（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一体化平台——建设工程交易投标人操作指南（电子评标）》，了解网上</w:t>
      </w:r>
      <w:r>
        <w:rPr>
          <w:rFonts w:hint="eastAsia" w:ascii="宋体" w:hAnsi="宋体" w:cs="宋体"/>
          <w:color w:val="000000"/>
          <w:kern w:val="0"/>
          <w:sz w:val="24"/>
          <w:szCs w:val="24"/>
          <w:highlight w:val="none"/>
          <w:shd w:val="clear" w:color="auto" w:fill="FFFFFF"/>
          <w:lang w:val="en-US" w:eastAsia="zh-CN"/>
        </w:rPr>
        <w:t>投保</w:t>
      </w:r>
      <w:r>
        <w:rPr>
          <w:rFonts w:hint="eastAsia" w:ascii="宋体" w:hAnsi="宋体" w:cs="宋体"/>
          <w:color w:val="000000"/>
          <w:kern w:val="0"/>
          <w:sz w:val="24"/>
          <w:szCs w:val="24"/>
          <w:highlight w:val="none"/>
          <w:shd w:val="clear" w:color="auto" w:fill="FFFFFF"/>
        </w:rPr>
        <w:t>具体操作流程。逾期投保的，其投标无效。</w:t>
      </w:r>
    </w:p>
    <w:p>
      <w:pPr>
        <w:pStyle w:val="79"/>
        <w:wordWrap w:val="0"/>
        <w:adjustRightInd w:val="0"/>
        <w:snapToGrid w:val="0"/>
        <w:spacing w:line="460" w:lineRule="exact"/>
        <w:ind w:firstLine="480"/>
        <w:jc w:val="left"/>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温馨提醒：投标人采用投标保证担保或投标保证保险的，为避免在评标过程中因有效期发生争议，建议投标人将银行保函或电子保单有效期设置为较招标文件规定的投标有效期延长不少于20个日历天。</w:t>
      </w:r>
    </w:p>
    <w:p>
      <w:pPr>
        <w:pStyle w:val="79"/>
        <w:wordWrap w:val="0"/>
        <w:adjustRightInd w:val="0"/>
        <w:snapToGrid w:val="0"/>
        <w:spacing w:line="460" w:lineRule="exact"/>
        <w:ind w:firstLine="480"/>
        <w:jc w:val="left"/>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4.4 若投标人因自身原因未能正确完成网上电子投标、缴纳投标保证的，其投标无效。</w:t>
      </w:r>
    </w:p>
    <w:bookmarkEnd w:id="7"/>
    <w:p>
      <w:pPr>
        <w:widowControl/>
        <w:spacing w:line="360" w:lineRule="auto"/>
        <w:jc w:val="left"/>
        <w:rPr>
          <w:rFonts w:hint="eastAsia" w:ascii="宋体" w:hAnsi="宋体" w:cs="宋体"/>
          <w:b/>
          <w:bCs/>
          <w:color w:val="000000"/>
          <w:sz w:val="24"/>
          <w:szCs w:val="24"/>
          <w:highlight w:val="none"/>
        </w:rPr>
      </w:pPr>
      <w:bookmarkStart w:id="8" w:name="_Toc21265983"/>
      <w:r>
        <w:rPr>
          <w:rFonts w:hint="eastAsia" w:ascii="宋体" w:hAnsi="宋体" w:cs="宋体"/>
          <w:b/>
          <w:bCs/>
          <w:color w:val="000000"/>
          <w:sz w:val="24"/>
          <w:szCs w:val="24"/>
          <w:highlight w:val="none"/>
        </w:rPr>
        <w:t>五、投标文件的提交</w:t>
      </w:r>
      <w:bookmarkEnd w:id="8"/>
    </w:p>
    <w:p>
      <w:pPr>
        <w:pStyle w:val="79"/>
        <w:spacing w:line="460" w:lineRule="exact"/>
        <w:ind w:firstLine="480" w:firstLineChars="200"/>
        <w:rPr>
          <w:rFonts w:hint="eastAsia" w:ascii="宋体" w:hAnsi="宋体" w:cs="宋体"/>
          <w:color w:val="000000"/>
          <w:kern w:val="0"/>
          <w:sz w:val="24"/>
          <w:szCs w:val="24"/>
          <w:highlight w:val="none"/>
          <w:shd w:val="clear" w:color="auto" w:fill="FFFFFF"/>
        </w:rPr>
      </w:pPr>
      <w:bookmarkStart w:id="9" w:name="_Toc387136954"/>
      <w:r>
        <w:rPr>
          <w:rFonts w:hint="eastAsia" w:ascii="宋体" w:hAnsi="宋体" w:cs="宋体"/>
          <w:color w:val="000000"/>
          <w:kern w:val="0"/>
          <w:sz w:val="24"/>
          <w:szCs w:val="24"/>
          <w:highlight w:val="none"/>
          <w:shd w:val="clear" w:color="auto" w:fill="FFFFFF"/>
        </w:rPr>
        <w:t>5.1在电子投标截止时间前，投标人通过全国公共资源交易平台 （广东省·韶关市）提交已加密投标文件。逾期提交的电子投标文件，全国公共资源交易平台 （广东省·韶关市）将予以拒收。</w:t>
      </w:r>
    </w:p>
    <w:p>
      <w:pPr>
        <w:pStyle w:val="79"/>
        <w:spacing w:line="460" w:lineRule="exact"/>
        <w:ind w:firstLine="480" w:firstLineChars="200"/>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5.2投标文件提交截止时间（同电子投标截止时间）：见“重要事项时间地点一览表”。</w:t>
      </w:r>
    </w:p>
    <w:p>
      <w:pPr>
        <w:pStyle w:val="79"/>
        <w:spacing w:line="460" w:lineRule="exact"/>
        <w:ind w:firstLine="480" w:firstLineChars="200"/>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5.3代理机构对因不可抗力事件造成的投标文件的损坏、丢失的，不承担责任。</w:t>
      </w:r>
    </w:p>
    <w:p>
      <w:pPr>
        <w:pStyle w:val="79"/>
        <w:spacing w:line="460" w:lineRule="exact"/>
        <w:ind w:firstLine="480" w:firstLineChars="200"/>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5.4出现下述情形之一，属于未成功提交投标文件，按无效投标处理：</w:t>
      </w:r>
    </w:p>
    <w:p>
      <w:pPr>
        <w:pStyle w:val="79"/>
        <w:spacing w:line="460" w:lineRule="exact"/>
        <w:ind w:firstLine="480" w:firstLineChars="200"/>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（1）至电子投标截止时间时，投标文件未完整上传或未提交投标。</w:t>
      </w:r>
    </w:p>
    <w:p>
      <w:pPr>
        <w:pStyle w:val="79"/>
        <w:spacing w:line="460" w:lineRule="exact"/>
        <w:ind w:firstLine="480" w:firstLineChars="200"/>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（2）投标文件未按投标格式中注明需签字盖章的要求加盖电子印章，或电子印章不完整。</w:t>
      </w:r>
    </w:p>
    <w:p>
      <w:pPr>
        <w:pStyle w:val="79"/>
        <w:spacing w:line="460" w:lineRule="exact"/>
        <w:ind w:firstLine="480" w:firstLineChars="200"/>
        <w:rPr>
          <w:rFonts w:hint="eastAsia" w:ascii="宋体" w:hAnsi="宋体" w:cs="宋体"/>
          <w:color w:val="000000"/>
          <w:kern w:val="0"/>
          <w:sz w:val="24"/>
          <w:szCs w:val="24"/>
          <w:highlight w:val="none"/>
          <w:shd w:val="clear" w:color="auto" w:fill="FFFFFF"/>
        </w:rPr>
      </w:pPr>
      <w:r>
        <w:rPr>
          <w:rFonts w:hint="eastAsia" w:ascii="宋体" w:hAnsi="宋体" w:cs="宋体"/>
          <w:color w:val="000000"/>
          <w:kern w:val="0"/>
          <w:sz w:val="24"/>
          <w:szCs w:val="24"/>
          <w:highlight w:val="none"/>
          <w:shd w:val="clear" w:color="auto" w:fill="FFFFFF"/>
        </w:rPr>
        <w:t>（3）投标文件损坏或格式不正确。</w:t>
      </w:r>
    </w:p>
    <w:p>
      <w:pPr>
        <w:pStyle w:val="70"/>
        <w:spacing w:beforeAutospacing="0" w:afterAutospacing="0" w:line="460" w:lineRule="exact"/>
        <w:ind w:firstLine="360"/>
        <w:rPr>
          <w:rFonts w:hint="eastAsia"/>
          <w:color w:val="000000"/>
          <w:sz w:val="24"/>
          <w:szCs w:val="24"/>
          <w:highlight w:val="none"/>
          <w:shd w:val="clear" w:color="auto" w:fill="FFFFFF"/>
        </w:rPr>
      </w:pPr>
      <w:r>
        <w:rPr>
          <w:rFonts w:hint="eastAsia"/>
          <w:color w:val="000000"/>
          <w:sz w:val="24"/>
          <w:szCs w:val="24"/>
          <w:highlight w:val="none"/>
          <w:shd w:val="clear" w:color="auto" w:fill="FFFFFF"/>
        </w:rPr>
        <w:t>5.5 投标人无须进行现场签到，如有招标文件要求提交的用于评审的证书、证件、证明原件等相关资料，投标人可在规定的地点、时间内递交至开标现场（附一式两份清单），无原件的不作要求。</w:t>
      </w:r>
    </w:p>
    <w:p>
      <w:pPr>
        <w:pStyle w:val="70"/>
        <w:spacing w:beforeAutospacing="0" w:afterAutospacing="0" w:line="460" w:lineRule="exact"/>
        <w:ind w:firstLine="360"/>
        <w:rPr>
          <w:rFonts w:hint="eastAsia"/>
          <w:color w:val="000000"/>
          <w:sz w:val="24"/>
          <w:szCs w:val="24"/>
          <w:highlight w:val="none"/>
          <w:shd w:val="clear" w:color="auto" w:fill="FFFFFF"/>
        </w:rPr>
      </w:pPr>
      <w:r>
        <w:rPr>
          <w:rFonts w:hint="eastAsia"/>
          <w:color w:val="000000"/>
          <w:sz w:val="24"/>
          <w:szCs w:val="24"/>
          <w:highlight w:val="none"/>
          <w:shd w:val="clear" w:color="auto" w:fill="FFFFFF"/>
        </w:rPr>
        <w:t>备注：资料提交截止时间、提交地点与电子投标截止时间、开标地点一致；到场人员与投标人在电子投标时确定的人员可以不是同一人。</w:t>
      </w:r>
    </w:p>
    <w:p>
      <w:pPr>
        <w:keepNext w:val="0"/>
        <w:keepLines w:val="0"/>
        <w:pageBreakBefore w:val="0"/>
        <w:widowControl/>
        <w:kinsoku/>
        <w:wordWrap/>
        <w:overflowPunct/>
        <w:topLinePunct w:val="0"/>
        <w:autoSpaceDE/>
        <w:autoSpaceDN/>
        <w:bidi w:val="0"/>
        <w:adjustRightInd w:val="0"/>
        <w:snapToGrid/>
        <w:spacing w:line="360" w:lineRule="auto"/>
        <w:jc w:val="left"/>
        <w:textAlignment w:val="auto"/>
        <w:rPr>
          <w:rFonts w:hint="eastAsia" w:ascii="宋体" w:hAnsi="宋体" w:cs="宋体"/>
          <w:b/>
          <w:color w:val="000000"/>
          <w:spacing w:val="1"/>
          <w:w w:val="99"/>
          <w:kern w:val="0"/>
          <w:sz w:val="24"/>
          <w:szCs w:val="24"/>
          <w:highlight w:val="none"/>
        </w:rPr>
      </w:pPr>
      <w:r>
        <w:rPr>
          <w:rFonts w:hint="eastAsia" w:ascii="宋体" w:hAnsi="宋体" w:cs="宋体"/>
          <w:b/>
          <w:color w:val="000000"/>
          <w:spacing w:val="1"/>
          <w:w w:val="99"/>
          <w:kern w:val="0"/>
          <w:sz w:val="24"/>
          <w:szCs w:val="24"/>
          <w:highlight w:val="none"/>
        </w:rPr>
        <w:t>六、踏勘现场和投标预备会</w:t>
      </w:r>
    </w:p>
    <w:p>
      <w:pPr>
        <w:pStyle w:val="70"/>
        <w:spacing w:beforeAutospacing="0" w:afterAutospacing="0" w:line="360" w:lineRule="auto"/>
        <w:ind w:firstLine="480" w:firstLineChars="200"/>
        <w:rPr>
          <w:rFonts w:hint="eastAsia"/>
          <w:color w:val="000000"/>
          <w:sz w:val="24"/>
          <w:szCs w:val="24"/>
          <w:highlight w:val="none"/>
        </w:rPr>
      </w:pPr>
      <w:r>
        <w:rPr>
          <w:rFonts w:hint="eastAsia"/>
          <w:color w:val="000000"/>
          <w:sz w:val="24"/>
          <w:szCs w:val="24"/>
          <w:highlight w:val="none"/>
        </w:rPr>
        <w:t>招标人不组织投标人踏勘现场及召开投标预备会。具体事项见招标文件。</w:t>
      </w:r>
    </w:p>
    <w:p>
      <w:pPr>
        <w:keepNext w:val="0"/>
        <w:keepLines w:val="0"/>
        <w:pageBreakBefore w:val="0"/>
        <w:widowControl/>
        <w:kinsoku/>
        <w:wordWrap/>
        <w:overflowPunct/>
        <w:topLinePunct w:val="0"/>
        <w:autoSpaceDE/>
        <w:autoSpaceDN/>
        <w:bidi w:val="0"/>
        <w:adjustRightInd w:val="0"/>
        <w:snapToGrid/>
        <w:spacing w:line="360" w:lineRule="auto"/>
        <w:jc w:val="left"/>
        <w:textAlignment w:val="auto"/>
        <w:rPr>
          <w:rFonts w:hint="eastAsia" w:ascii="宋体" w:hAnsi="宋体" w:cs="宋体"/>
          <w:b/>
          <w:color w:val="000000"/>
          <w:spacing w:val="1"/>
          <w:w w:val="99"/>
          <w:kern w:val="0"/>
          <w:sz w:val="24"/>
          <w:szCs w:val="24"/>
          <w:highlight w:val="none"/>
        </w:rPr>
      </w:pPr>
      <w:bookmarkStart w:id="10" w:name="_Toc21265984"/>
      <w:r>
        <w:rPr>
          <w:rFonts w:hint="eastAsia" w:ascii="宋体" w:hAnsi="宋体" w:cs="宋体"/>
          <w:b/>
          <w:color w:val="000000"/>
          <w:spacing w:val="1"/>
          <w:w w:val="99"/>
          <w:kern w:val="0"/>
          <w:sz w:val="24"/>
          <w:szCs w:val="24"/>
          <w:highlight w:val="none"/>
        </w:rPr>
        <w:t>七、发布公告的媒介</w:t>
      </w:r>
      <w:bookmarkEnd w:id="9"/>
      <w:bookmarkEnd w:id="10"/>
    </w:p>
    <w:p>
      <w:pPr>
        <w:pStyle w:val="70"/>
        <w:spacing w:beforeAutospacing="0" w:afterAutospacing="0" w:line="460" w:lineRule="exact"/>
        <w:ind w:firstLine="360" w:firstLineChars="0"/>
        <w:rPr>
          <w:rFonts w:hint="eastAsia" w:ascii="宋体" w:hAnsi="宋体" w:eastAsia="宋体" w:cs="宋体"/>
          <w:color w:val="000000"/>
          <w:sz w:val="24"/>
          <w:szCs w:val="24"/>
          <w:highlight w:val="none"/>
          <w:shd w:val="clear" w:color="auto" w:fill="FFFFFF"/>
        </w:rPr>
      </w:pPr>
      <w:bookmarkStart w:id="11" w:name="_Toc269999792"/>
      <w:bookmarkStart w:id="12" w:name="_Toc303416472"/>
      <w:bookmarkStart w:id="13" w:name="_Toc269053859"/>
      <w:bookmarkStart w:id="14" w:name="_Toc387136955"/>
      <w:r>
        <w:rPr>
          <w:rFonts w:hint="eastAsia" w:ascii="宋体" w:hAnsi="宋体" w:eastAsia="宋体" w:cs="宋体"/>
          <w:color w:val="000000"/>
          <w:sz w:val="24"/>
          <w:szCs w:val="24"/>
          <w:highlight w:val="none"/>
          <w:shd w:val="clear" w:color="auto" w:fill="FFFFFF"/>
        </w:rPr>
        <w:t>（1）广东省招标投标监管网（http://zbtb.gd.gov.cn）</w:t>
      </w:r>
    </w:p>
    <w:p>
      <w:pPr>
        <w:pStyle w:val="70"/>
        <w:wordWrap/>
        <w:spacing w:beforeAutospacing="0" w:afterAutospacing="0" w:line="460" w:lineRule="exact"/>
        <w:ind w:firstLine="360" w:firstLineChars="0"/>
        <w:rPr>
          <w:rFonts w:hint="eastAsia" w:ascii="宋体" w:hAnsi="宋体" w:eastAsia="宋体" w:cs="宋体"/>
          <w:color w:val="000000"/>
          <w:sz w:val="24"/>
          <w:szCs w:val="24"/>
          <w:highlight w:val="none"/>
          <w:shd w:val="clear" w:color="auto" w:fill="FFFFFF"/>
        </w:rPr>
      </w:pPr>
      <w:r>
        <w:rPr>
          <w:rFonts w:hint="eastAsia" w:ascii="宋体" w:hAnsi="宋体" w:eastAsia="宋体" w:cs="宋体"/>
          <w:color w:val="000000"/>
          <w:sz w:val="24"/>
          <w:szCs w:val="24"/>
          <w:highlight w:val="none"/>
          <w:shd w:val="clear" w:color="auto" w:fill="FFFFFF"/>
        </w:rPr>
        <w:t>（2）全国公共资源交易平台（广东省·韶关市）（https://ygp.gdzwfw.gov.cn/ggzy-portal/#/440200/index）。</w:t>
      </w:r>
    </w:p>
    <w:bookmarkEnd w:id="11"/>
    <w:bookmarkEnd w:id="12"/>
    <w:bookmarkEnd w:id="13"/>
    <w:p>
      <w:pPr>
        <w:widowControl/>
        <w:adjustRightInd w:val="0"/>
        <w:spacing w:before="194" w:beforeLines="50" w:line="360" w:lineRule="auto"/>
        <w:jc w:val="left"/>
        <w:rPr>
          <w:rFonts w:hint="eastAsia" w:ascii="宋体" w:hAnsi="宋体" w:cs="宋体"/>
          <w:b/>
          <w:color w:val="000000"/>
          <w:spacing w:val="1"/>
          <w:w w:val="99"/>
          <w:kern w:val="0"/>
          <w:sz w:val="24"/>
          <w:szCs w:val="24"/>
          <w:highlight w:val="none"/>
        </w:rPr>
      </w:pPr>
      <w:bookmarkStart w:id="15" w:name="_Toc21265985"/>
      <w:r>
        <w:rPr>
          <w:rFonts w:hint="eastAsia" w:ascii="宋体" w:hAnsi="宋体" w:cs="宋体"/>
          <w:b/>
          <w:color w:val="000000"/>
          <w:spacing w:val="1"/>
          <w:w w:val="99"/>
          <w:kern w:val="0"/>
          <w:sz w:val="24"/>
          <w:szCs w:val="24"/>
          <w:highlight w:val="none"/>
        </w:rPr>
        <w:t>八、联系方式</w:t>
      </w:r>
      <w:bookmarkEnd w:id="14"/>
      <w:bookmarkEnd w:id="15"/>
    </w:p>
    <w:bookmarkEnd w:id="1"/>
    <w:tbl>
      <w:tblPr>
        <w:tblStyle w:val="27"/>
        <w:tblW w:w="9918" w:type="dxa"/>
        <w:tblInd w:w="0" w:type="dxa"/>
        <w:tblLayout w:type="fixed"/>
        <w:tblCellMar>
          <w:top w:w="0" w:type="dxa"/>
          <w:left w:w="108" w:type="dxa"/>
          <w:bottom w:w="0" w:type="dxa"/>
          <w:right w:w="108" w:type="dxa"/>
        </w:tblCellMar>
      </w:tblPr>
      <w:tblGrid>
        <w:gridCol w:w="1332"/>
        <w:gridCol w:w="3615"/>
        <w:gridCol w:w="1420"/>
        <w:gridCol w:w="3551"/>
      </w:tblGrid>
      <w:tr>
        <w:tblPrEx>
          <w:tblCellMar>
            <w:top w:w="0" w:type="dxa"/>
            <w:left w:w="108" w:type="dxa"/>
            <w:bottom w:w="0" w:type="dxa"/>
            <w:right w:w="108" w:type="dxa"/>
          </w:tblCellMar>
        </w:tblPrEx>
        <w:trPr>
          <w:trHeight w:val="23" w:hRule="atLeast"/>
        </w:trPr>
        <w:tc>
          <w:tcPr>
            <w:tcW w:w="1332"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bookmarkStart w:id="16" w:name="_Toc17228_WPSOffice_Level2"/>
            <w:bookmarkStart w:id="17" w:name="_Toc15581_WPSOffice_Level2"/>
            <w:r>
              <w:rPr>
                <w:rFonts w:hint="eastAsia" w:ascii="宋体" w:hAnsi="宋体" w:eastAsia="宋体" w:cs="宋体"/>
                <w:color w:val="000000"/>
                <w:kern w:val="0"/>
                <w:sz w:val="24"/>
                <w:szCs w:val="24"/>
                <w:highlight w:val="none"/>
              </w:rPr>
              <w:t>招标人：</w:t>
            </w:r>
          </w:p>
        </w:tc>
        <w:tc>
          <w:tcPr>
            <w:tcW w:w="3615" w:type="dxa"/>
            <w:noWrap w:val="0"/>
            <w:vAlign w:val="center"/>
          </w:tcPr>
          <w:p>
            <w:pPr>
              <w:pStyle w:val="3"/>
              <w:keepNext w:val="0"/>
              <w:keepLines w:val="0"/>
              <w:pageBreakBefore w:val="0"/>
              <w:kinsoku/>
              <w:wordWrap/>
              <w:topLinePunct w:val="0"/>
              <w:bidi w:val="0"/>
              <w:adjustRightInd w:val="0"/>
              <w:snapToGrid w:val="0"/>
              <w:spacing w:after="0" w:line="460" w:lineRule="exact"/>
              <w:ind w:left="0" w:leftChars="0" w:firstLine="0" w:firstLineChars="0"/>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eastAsia="zh-CN"/>
              </w:rPr>
              <w:t>广东中金岭南工程技术有限公司</w:t>
            </w:r>
          </w:p>
        </w:tc>
        <w:tc>
          <w:tcPr>
            <w:tcW w:w="1420"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eastAsia="宋体" w:cs="宋体"/>
                <w:color w:val="000000"/>
                <w:kern w:val="0"/>
                <w:sz w:val="24"/>
                <w:szCs w:val="24"/>
                <w:highlight w:val="none"/>
              </w:rPr>
              <w:t>招标代理：</w:t>
            </w:r>
          </w:p>
        </w:tc>
        <w:tc>
          <w:tcPr>
            <w:tcW w:w="3551"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eastAsia="宋体" w:cs="宋体"/>
                <w:color w:val="000000"/>
                <w:kern w:val="0"/>
                <w:sz w:val="24"/>
                <w:szCs w:val="24"/>
                <w:highlight w:val="none"/>
                <w:lang w:eastAsia="zh-CN"/>
              </w:rPr>
            </w:pPr>
            <w:r>
              <w:rPr>
                <w:rFonts w:hint="eastAsia" w:ascii="宋体" w:hAnsi="宋体" w:eastAsia="宋体" w:cs="宋体"/>
                <w:color w:val="000000"/>
                <w:kern w:val="0"/>
                <w:sz w:val="24"/>
                <w:szCs w:val="24"/>
                <w:highlight w:val="none"/>
                <w:lang w:val="en-US" w:eastAsia="zh-CN"/>
              </w:rPr>
              <w:t>广东省国际工程咨询有限公司</w:t>
            </w:r>
          </w:p>
        </w:tc>
      </w:tr>
      <w:tr>
        <w:tblPrEx>
          <w:tblCellMar>
            <w:top w:w="0" w:type="dxa"/>
            <w:left w:w="108" w:type="dxa"/>
            <w:bottom w:w="0" w:type="dxa"/>
            <w:right w:w="108" w:type="dxa"/>
          </w:tblCellMar>
        </w:tblPrEx>
        <w:trPr>
          <w:trHeight w:val="23" w:hRule="atLeast"/>
        </w:trPr>
        <w:tc>
          <w:tcPr>
            <w:tcW w:w="1332"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eastAsia="宋体" w:cs="宋体"/>
                <w:color w:val="000000"/>
                <w:kern w:val="0"/>
                <w:sz w:val="24"/>
                <w:szCs w:val="24"/>
                <w:highlight w:val="none"/>
              </w:rPr>
              <w:t>地址：</w:t>
            </w:r>
          </w:p>
        </w:tc>
        <w:tc>
          <w:tcPr>
            <w:tcW w:w="3615"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韶关市浈江区南郊三公里广韶公路东侧凡口综合大楼四楼</w:t>
            </w:r>
          </w:p>
        </w:tc>
        <w:tc>
          <w:tcPr>
            <w:tcW w:w="1420"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eastAsia="宋体" w:cs="宋体"/>
                <w:color w:val="000000"/>
                <w:kern w:val="0"/>
                <w:sz w:val="24"/>
                <w:szCs w:val="24"/>
                <w:highlight w:val="none"/>
              </w:rPr>
              <w:t>办公地址：</w:t>
            </w:r>
          </w:p>
        </w:tc>
        <w:tc>
          <w:tcPr>
            <w:tcW w:w="3551"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广州市越秀区环市中路316号金鹰大厦10楼</w:t>
            </w:r>
          </w:p>
        </w:tc>
      </w:tr>
      <w:tr>
        <w:tblPrEx>
          <w:tblCellMar>
            <w:top w:w="0" w:type="dxa"/>
            <w:left w:w="108" w:type="dxa"/>
            <w:bottom w:w="0" w:type="dxa"/>
            <w:right w:w="108" w:type="dxa"/>
          </w:tblCellMar>
        </w:tblPrEx>
        <w:trPr>
          <w:trHeight w:val="23" w:hRule="atLeast"/>
        </w:trPr>
        <w:tc>
          <w:tcPr>
            <w:tcW w:w="1332"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eastAsia="宋体" w:cs="宋体"/>
                <w:color w:val="000000"/>
                <w:kern w:val="0"/>
                <w:sz w:val="24"/>
                <w:szCs w:val="24"/>
                <w:highlight w:val="none"/>
              </w:rPr>
              <w:t>联系人：</w:t>
            </w:r>
          </w:p>
        </w:tc>
        <w:tc>
          <w:tcPr>
            <w:tcW w:w="3615"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default" w:ascii="宋体" w:hAnsi="宋体" w:eastAsia="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张工</w:t>
            </w:r>
          </w:p>
        </w:tc>
        <w:tc>
          <w:tcPr>
            <w:tcW w:w="1420"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eastAsia="宋体" w:cs="宋体"/>
                <w:color w:val="000000"/>
                <w:kern w:val="0"/>
                <w:sz w:val="24"/>
                <w:szCs w:val="24"/>
                <w:highlight w:val="none"/>
              </w:rPr>
              <w:t>联系人：</w:t>
            </w:r>
          </w:p>
        </w:tc>
        <w:tc>
          <w:tcPr>
            <w:tcW w:w="3551"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eastAsia="宋体" w:cs="宋体"/>
                <w:color w:val="000000"/>
                <w:kern w:val="0"/>
                <w:sz w:val="24"/>
                <w:szCs w:val="24"/>
                <w:highlight w:val="yellow"/>
                <w:lang w:val="en-US" w:eastAsia="zh-CN"/>
              </w:rPr>
            </w:pPr>
            <w:r>
              <w:rPr>
                <w:rFonts w:hint="eastAsia" w:ascii="宋体" w:hAnsi="宋体" w:cs="宋体"/>
                <w:color w:val="000000"/>
                <w:kern w:val="0"/>
                <w:sz w:val="24"/>
                <w:szCs w:val="24"/>
                <w:highlight w:val="none"/>
                <w:lang w:val="en-US" w:eastAsia="zh-CN"/>
              </w:rPr>
              <w:t>程喆</w:t>
            </w:r>
          </w:p>
        </w:tc>
      </w:tr>
      <w:tr>
        <w:tblPrEx>
          <w:tblCellMar>
            <w:top w:w="0" w:type="dxa"/>
            <w:left w:w="108" w:type="dxa"/>
            <w:bottom w:w="0" w:type="dxa"/>
            <w:right w:w="108" w:type="dxa"/>
          </w:tblCellMar>
        </w:tblPrEx>
        <w:trPr>
          <w:trHeight w:val="23" w:hRule="atLeast"/>
        </w:trPr>
        <w:tc>
          <w:tcPr>
            <w:tcW w:w="1332"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eastAsia="宋体" w:cs="宋体"/>
                <w:color w:val="000000"/>
                <w:kern w:val="0"/>
                <w:sz w:val="24"/>
                <w:szCs w:val="24"/>
                <w:highlight w:val="none"/>
              </w:rPr>
              <w:t>电话：</w:t>
            </w:r>
          </w:p>
        </w:tc>
        <w:tc>
          <w:tcPr>
            <w:tcW w:w="3615"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13826353886</w:t>
            </w:r>
          </w:p>
        </w:tc>
        <w:tc>
          <w:tcPr>
            <w:tcW w:w="1420"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cs="宋体"/>
                <w:color w:val="000000"/>
                <w:kern w:val="0"/>
                <w:sz w:val="24"/>
                <w:szCs w:val="24"/>
                <w:highlight w:val="none"/>
              </w:rPr>
            </w:pPr>
            <w:r>
              <w:rPr>
                <w:rFonts w:hint="eastAsia" w:ascii="宋体" w:hAnsi="宋体" w:eastAsia="宋体" w:cs="宋体"/>
                <w:color w:val="000000"/>
                <w:kern w:val="0"/>
                <w:sz w:val="24"/>
                <w:szCs w:val="24"/>
                <w:highlight w:val="none"/>
              </w:rPr>
              <w:t>电话：</w:t>
            </w:r>
          </w:p>
        </w:tc>
        <w:tc>
          <w:tcPr>
            <w:tcW w:w="3551" w:type="dxa"/>
            <w:noWrap w:val="0"/>
            <w:vAlign w:val="center"/>
          </w:tcPr>
          <w:p>
            <w:pPr>
              <w:keepNext w:val="0"/>
              <w:keepLines w:val="0"/>
              <w:pageBreakBefore w:val="0"/>
              <w:widowControl/>
              <w:kinsoku/>
              <w:wordWrap/>
              <w:topLinePunct w:val="0"/>
              <w:bidi w:val="0"/>
              <w:adjustRightInd w:val="0"/>
              <w:snapToGrid w:val="0"/>
              <w:spacing w:line="460" w:lineRule="exac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020-83549690</w:t>
            </w:r>
          </w:p>
        </w:tc>
      </w:tr>
    </w:tbl>
    <w:p>
      <w:pPr>
        <w:widowControl/>
        <w:adjustRightInd w:val="0"/>
        <w:spacing w:line="360" w:lineRule="auto"/>
        <w:jc w:val="left"/>
        <w:rPr>
          <w:rFonts w:hint="eastAsia" w:ascii="宋体" w:hAnsi="宋体" w:cs="宋体"/>
          <w:b/>
          <w:color w:val="000000"/>
          <w:spacing w:val="1"/>
          <w:w w:val="99"/>
          <w:kern w:val="0"/>
          <w:sz w:val="21"/>
          <w:szCs w:val="21"/>
          <w:highlight w:val="none"/>
        </w:rPr>
      </w:pPr>
    </w:p>
    <w:p>
      <w:pPr>
        <w:widowControl/>
        <w:adjustRightInd w:val="0"/>
        <w:spacing w:line="360" w:lineRule="auto"/>
        <w:jc w:val="left"/>
        <w:rPr>
          <w:rFonts w:hint="eastAsia" w:ascii="宋体" w:hAnsi="宋体" w:cs="宋体"/>
          <w:b/>
          <w:color w:val="000000"/>
          <w:spacing w:val="1"/>
          <w:w w:val="99"/>
          <w:kern w:val="0"/>
          <w:sz w:val="21"/>
          <w:szCs w:val="21"/>
          <w:highlight w:val="none"/>
        </w:rPr>
        <w:sectPr>
          <w:footerReference r:id="rId6" w:type="default"/>
          <w:pgSz w:w="11905" w:h="16838"/>
          <w:pgMar w:top="1417" w:right="1417" w:bottom="1417" w:left="1417" w:header="850" w:footer="567" w:gutter="0"/>
          <w:pgNumType w:start="1"/>
          <w:cols w:space="720" w:num="1"/>
          <w:docGrid w:type="lines" w:linePitch="389" w:charSpace="0"/>
        </w:sectPr>
      </w:pPr>
    </w:p>
    <w:p>
      <w:pPr>
        <w:widowControl/>
        <w:adjustRightInd w:val="0"/>
        <w:spacing w:line="360" w:lineRule="auto"/>
        <w:jc w:val="left"/>
        <w:rPr>
          <w:rFonts w:hint="eastAsia" w:ascii="宋体" w:hAnsi="宋体" w:cs="宋体"/>
          <w:b/>
          <w:color w:val="000000"/>
          <w:spacing w:val="1"/>
          <w:w w:val="99"/>
          <w:kern w:val="0"/>
          <w:sz w:val="24"/>
          <w:szCs w:val="24"/>
          <w:highlight w:val="none"/>
        </w:rPr>
      </w:pPr>
      <w:r>
        <w:rPr>
          <w:rFonts w:hint="eastAsia" w:ascii="宋体" w:hAnsi="宋体" w:cs="宋体"/>
          <w:b/>
          <w:color w:val="000000"/>
          <w:spacing w:val="1"/>
          <w:w w:val="99"/>
          <w:kern w:val="0"/>
          <w:sz w:val="24"/>
          <w:szCs w:val="24"/>
          <w:highlight w:val="none"/>
        </w:rPr>
        <w:t>九．重要事项时间地点一览表</w:t>
      </w:r>
    </w:p>
    <w:bookmarkEnd w:id="16"/>
    <w:bookmarkEnd w:id="17"/>
    <w:tbl>
      <w:tblPr>
        <w:tblStyle w:val="27"/>
        <w:tblW w:w="9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1"/>
        <w:gridCol w:w="1472"/>
        <w:gridCol w:w="7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noWrap w:val="0"/>
            <w:vAlign w:val="center"/>
          </w:tcPr>
          <w:p>
            <w:pPr>
              <w:pStyle w:val="79"/>
              <w:tabs>
                <w:tab w:val="left" w:pos="1890"/>
              </w:tabs>
              <w:wordWrap w:val="0"/>
              <w:adjustRightInd w:val="0"/>
              <w:snapToGrid w:val="0"/>
              <w:spacing w:after="260" w:line="440" w:lineRule="exact"/>
              <w:jc w:val="left"/>
              <w:rPr>
                <w:rFonts w:hint="eastAsia" w:ascii="宋体" w:hAnsi="宋体" w:cs="宋体"/>
                <w:color w:val="auto"/>
                <w:sz w:val="24"/>
                <w:highlight w:val="none"/>
              </w:rPr>
            </w:pPr>
            <w:bookmarkStart w:id="18" w:name="_Toc56802695"/>
            <w:bookmarkStart w:id="19" w:name="_Toc257703330"/>
            <w:bookmarkStart w:id="20" w:name="_Toc57936609"/>
            <w:bookmarkStart w:id="21" w:name="_Toc78435684"/>
            <w:bookmarkStart w:id="22" w:name="_Toc56802824"/>
            <w:bookmarkStart w:id="23" w:name="_Toc57939168"/>
            <w:bookmarkStart w:id="24" w:name="_Toc78435498"/>
            <w:bookmarkStart w:id="25" w:name="_Toc70571573"/>
            <w:bookmarkStart w:id="26" w:name="_Toc111559170"/>
            <w:bookmarkStart w:id="27" w:name="_Toc57936278"/>
            <w:r>
              <w:rPr>
                <w:rFonts w:hint="eastAsia" w:ascii="宋体" w:hAnsi="宋体" w:cs="宋体"/>
                <w:b/>
                <w:bCs/>
                <w:snapToGrid w:val="0"/>
                <w:color w:val="auto"/>
                <w:kern w:val="0"/>
                <w:sz w:val="24"/>
                <w:highlight w:val="none"/>
              </w:rPr>
              <w:t xml:space="preserve"> </w:t>
            </w:r>
            <w:r>
              <w:rPr>
                <w:rFonts w:hint="eastAsia" w:ascii="宋体" w:hAnsi="宋体" w:cs="宋体"/>
                <w:color w:val="auto"/>
                <w:sz w:val="24"/>
                <w:highlight w:val="none"/>
              </w:rPr>
              <w:t>1</w:t>
            </w:r>
          </w:p>
        </w:tc>
        <w:tc>
          <w:tcPr>
            <w:tcW w:w="1472" w:type="dxa"/>
            <w:noWrap w:val="0"/>
            <w:vAlign w:val="center"/>
          </w:tcPr>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招标公告</w:t>
            </w:r>
          </w:p>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发布时间</w:t>
            </w:r>
          </w:p>
        </w:tc>
        <w:tc>
          <w:tcPr>
            <w:tcW w:w="7686" w:type="dxa"/>
            <w:noWrap w:val="0"/>
            <w:vAlign w:val="center"/>
          </w:tcPr>
          <w:p>
            <w:pPr>
              <w:pStyle w:val="22"/>
              <w:tabs>
                <w:tab w:val="left" w:pos="1890"/>
              </w:tabs>
              <w:spacing w:before="0" w:beforeAutospacing="0" w:after="150" w:afterAutospacing="0" w:line="360" w:lineRule="atLeast"/>
              <w:ind w:left="240" w:hanging="240" w:hangingChars="100"/>
              <w:rPr>
                <w:rFonts w:hint="eastAsia" w:ascii="宋体"/>
                <w:color w:val="auto"/>
                <w:sz w:val="24"/>
                <w:highlight w:val="none"/>
              </w:rPr>
            </w:pPr>
            <w:r>
              <w:rPr>
                <w:rFonts w:hint="eastAsia" w:ascii="宋体"/>
                <w:color w:val="auto"/>
                <w:sz w:val="24"/>
                <w:highlight w:val="none"/>
              </w:rPr>
              <w:t> </w:t>
            </w:r>
            <w:r>
              <w:rPr>
                <w:rFonts w:hint="eastAsia" w:ascii="宋体"/>
                <w:color w:val="auto"/>
                <w:sz w:val="24"/>
                <w:highlight w:val="none"/>
                <w:u w:val="single"/>
              </w:rPr>
              <w:t>20</w:t>
            </w:r>
            <w:r>
              <w:rPr>
                <w:rFonts w:hint="eastAsia"/>
                <w:color w:val="auto"/>
                <w:sz w:val="24"/>
                <w:highlight w:val="none"/>
                <w:u w:val="single"/>
                <w:lang w:val="en-US" w:eastAsia="zh-CN"/>
              </w:rPr>
              <w:t>25</w:t>
            </w:r>
            <w:r>
              <w:rPr>
                <w:rFonts w:hint="eastAsia" w:ascii="宋体"/>
                <w:color w:val="auto"/>
                <w:sz w:val="24"/>
                <w:highlight w:val="none"/>
              </w:rPr>
              <w:t>年</w:t>
            </w:r>
            <w:r>
              <w:rPr>
                <w:rFonts w:hint="eastAsia"/>
                <w:color w:val="auto"/>
                <w:sz w:val="24"/>
                <w:highlight w:val="none"/>
                <w:u w:val="single"/>
                <w:lang w:val="en-US" w:eastAsia="zh-CN"/>
              </w:rPr>
              <w:t>12</w:t>
            </w:r>
            <w:r>
              <w:rPr>
                <w:rFonts w:hint="eastAsia" w:ascii="宋体"/>
                <w:color w:val="auto"/>
                <w:sz w:val="24"/>
                <w:highlight w:val="none"/>
              </w:rPr>
              <w:t>月</w:t>
            </w:r>
            <w:r>
              <w:rPr>
                <w:rFonts w:hint="eastAsia"/>
                <w:color w:val="auto"/>
                <w:sz w:val="24"/>
                <w:highlight w:val="none"/>
                <w:u w:val="single"/>
                <w:lang w:val="en-US" w:eastAsia="zh-CN"/>
              </w:rPr>
              <w:t>31</w:t>
            </w:r>
            <w:r>
              <w:rPr>
                <w:rFonts w:hint="eastAsia" w:ascii="宋体"/>
                <w:color w:val="auto"/>
                <w:sz w:val="24"/>
                <w:highlight w:val="none"/>
              </w:rPr>
              <w:t>日</w:t>
            </w:r>
            <w:r>
              <w:rPr>
                <w:rFonts w:hint="eastAsia"/>
                <w:color w:val="auto"/>
                <w:sz w:val="24"/>
                <w:highlight w:val="none"/>
                <w:u w:val="single"/>
                <w:lang w:val="en-US" w:eastAsia="zh-CN"/>
              </w:rPr>
              <w:t>17</w:t>
            </w:r>
            <w:r>
              <w:rPr>
                <w:rFonts w:hint="eastAsia" w:ascii="宋体"/>
                <w:color w:val="auto"/>
                <w:sz w:val="24"/>
                <w:highlight w:val="none"/>
              </w:rPr>
              <w:t>时</w:t>
            </w:r>
            <w:r>
              <w:rPr>
                <w:rFonts w:hint="eastAsia" w:ascii="宋体"/>
                <w:color w:val="auto"/>
                <w:sz w:val="24"/>
                <w:highlight w:val="none"/>
                <w:u w:val="single"/>
                <w:lang w:val="en-US" w:eastAsia="zh-CN"/>
              </w:rPr>
              <w:t>00</w:t>
            </w:r>
            <w:r>
              <w:rPr>
                <w:rFonts w:hint="eastAsia" w:ascii="宋体"/>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noWrap w:val="0"/>
            <w:vAlign w:val="center"/>
          </w:tcPr>
          <w:p>
            <w:pPr>
              <w:pStyle w:val="22"/>
              <w:tabs>
                <w:tab w:val="left" w:pos="1890"/>
              </w:tabs>
              <w:spacing w:before="0" w:beforeAutospacing="0" w:after="150" w:afterAutospacing="0" w:line="360" w:lineRule="atLeast"/>
              <w:jc w:val="center"/>
              <w:rPr>
                <w:rFonts w:hint="eastAsia" w:ascii="宋体"/>
                <w:color w:val="auto"/>
                <w:sz w:val="24"/>
                <w:highlight w:val="none"/>
              </w:rPr>
            </w:pPr>
            <w:r>
              <w:rPr>
                <w:rFonts w:hint="eastAsia" w:ascii="宋体"/>
                <w:color w:val="auto"/>
                <w:sz w:val="24"/>
                <w:highlight w:val="none"/>
              </w:rPr>
              <w:t>2</w:t>
            </w:r>
          </w:p>
        </w:tc>
        <w:tc>
          <w:tcPr>
            <w:tcW w:w="1472" w:type="dxa"/>
            <w:noWrap w:val="0"/>
            <w:vAlign w:val="center"/>
          </w:tcPr>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获取招标文件截止时间</w:t>
            </w:r>
          </w:p>
        </w:tc>
        <w:tc>
          <w:tcPr>
            <w:tcW w:w="7686" w:type="dxa"/>
            <w:noWrap w:val="0"/>
            <w:vAlign w:val="center"/>
          </w:tcPr>
          <w:p>
            <w:pPr>
              <w:pStyle w:val="22"/>
              <w:tabs>
                <w:tab w:val="left" w:pos="1890"/>
              </w:tabs>
              <w:spacing w:before="0" w:beforeAutospacing="0" w:after="150" w:afterAutospacing="0" w:line="360" w:lineRule="atLeast"/>
              <w:rPr>
                <w:rFonts w:hint="eastAsia" w:ascii="宋体"/>
                <w:color w:val="auto"/>
                <w:sz w:val="24"/>
                <w:highlight w:val="none"/>
              </w:rPr>
            </w:pPr>
            <w:r>
              <w:rPr>
                <w:rFonts w:hint="eastAsia" w:ascii="宋体"/>
                <w:color w:val="auto"/>
                <w:sz w:val="24"/>
                <w:highlight w:val="none"/>
              </w:rPr>
              <w:t> </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22</w:t>
            </w:r>
            <w:r>
              <w:rPr>
                <w:rFonts w:hint="eastAsia" w:ascii="宋体"/>
                <w:color w:val="auto"/>
                <w:sz w:val="24"/>
                <w:highlight w:val="none"/>
              </w:rPr>
              <w:t>日</w:t>
            </w:r>
            <w:r>
              <w:rPr>
                <w:rFonts w:hint="eastAsia" w:ascii="宋体"/>
                <w:color w:val="auto"/>
                <w:sz w:val="24"/>
                <w:highlight w:val="none"/>
                <w:u w:val="single"/>
              </w:rPr>
              <w:t>09</w:t>
            </w:r>
            <w:r>
              <w:rPr>
                <w:rFonts w:hint="eastAsia" w:ascii="宋体"/>
                <w:color w:val="auto"/>
                <w:sz w:val="24"/>
                <w:highlight w:val="none"/>
              </w:rPr>
              <w:t>时</w:t>
            </w:r>
            <w:r>
              <w:rPr>
                <w:rFonts w:hint="eastAsia" w:ascii="宋体"/>
                <w:color w:val="auto"/>
                <w:sz w:val="24"/>
                <w:highlight w:val="none"/>
                <w:u w:val="single"/>
              </w:rPr>
              <w:t>30</w:t>
            </w:r>
            <w:r>
              <w:rPr>
                <w:rFonts w:hint="eastAsia" w:ascii="宋体"/>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noWrap w:val="0"/>
            <w:vAlign w:val="center"/>
          </w:tcPr>
          <w:p>
            <w:pPr>
              <w:pStyle w:val="22"/>
              <w:tabs>
                <w:tab w:val="left" w:pos="1890"/>
              </w:tabs>
              <w:spacing w:before="0" w:beforeAutospacing="0" w:after="150" w:afterAutospacing="0" w:line="360" w:lineRule="atLeast"/>
              <w:jc w:val="center"/>
              <w:rPr>
                <w:rFonts w:hint="eastAsia" w:ascii="宋体"/>
                <w:color w:val="auto"/>
                <w:sz w:val="24"/>
                <w:highlight w:val="none"/>
              </w:rPr>
            </w:pPr>
            <w:r>
              <w:rPr>
                <w:rFonts w:hint="eastAsia" w:ascii="宋体"/>
                <w:color w:val="auto"/>
                <w:sz w:val="24"/>
                <w:highlight w:val="none"/>
              </w:rPr>
              <w:t>3</w:t>
            </w:r>
          </w:p>
        </w:tc>
        <w:tc>
          <w:tcPr>
            <w:tcW w:w="1472" w:type="dxa"/>
            <w:noWrap w:val="0"/>
            <w:vAlign w:val="center"/>
          </w:tcPr>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网上提问</w:t>
            </w:r>
          </w:p>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截止时间</w:t>
            </w:r>
          </w:p>
        </w:tc>
        <w:tc>
          <w:tcPr>
            <w:tcW w:w="7686" w:type="dxa"/>
            <w:noWrap w:val="0"/>
            <w:vAlign w:val="center"/>
          </w:tcPr>
          <w:p>
            <w:pPr>
              <w:pStyle w:val="22"/>
              <w:tabs>
                <w:tab w:val="left" w:pos="1890"/>
              </w:tabs>
              <w:spacing w:before="0" w:beforeAutospacing="0" w:after="150" w:afterAutospacing="0" w:line="360" w:lineRule="atLeast"/>
              <w:rPr>
                <w:rFonts w:hint="eastAsia" w:ascii="宋体"/>
                <w:color w:val="auto"/>
                <w:sz w:val="24"/>
                <w:highlight w:val="none"/>
              </w:rPr>
            </w:pPr>
            <w:r>
              <w:rPr>
                <w:rFonts w:hint="eastAsia" w:ascii="宋体"/>
                <w:color w:val="auto"/>
                <w:sz w:val="24"/>
                <w:highlight w:val="none"/>
              </w:rPr>
              <w:t> </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11</w:t>
            </w:r>
            <w:r>
              <w:rPr>
                <w:rFonts w:hint="eastAsia" w:ascii="宋体"/>
                <w:color w:val="auto"/>
                <w:sz w:val="24"/>
                <w:highlight w:val="none"/>
              </w:rPr>
              <w:t>日</w:t>
            </w:r>
            <w:r>
              <w:rPr>
                <w:rFonts w:hint="eastAsia" w:ascii="宋体"/>
                <w:color w:val="auto"/>
                <w:kern w:val="2"/>
                <w:sz w:val="24"/>
                <w:highlight w:val="none"/>
                <w:u w:val="single"/>
              </w:rPr>
              <w:t>16</w:t>
            </w:r>
            <w:r>
              <w:rPr>
                <w:rFonts w:hint="eastAsia" w:ascii="宋体"/>
                <w:color w:val="auto"/>
                <w:kern w:val="2"/>
                <w:sz w:val="24"/>
                <w:highlight w:val="none"/>
              </w:rPr>
              <w:t>时</w:t>
            </w:r>
            <w:r>
              <w:rPr>
                <w:rFonts w:hint="eastAsia" w:ascii="宋体"/>
                <w:color w:val="auto"/>
                <w:kern w:val="2"/>
                <w:sz w:val="24"/>
                <w:highlight w:val="none"/>
                <w:u w:val="single"/>
              </w:rPr>
              <w:t>00</w:t>
            </w:r>
            <w:r>
              <w:rPr>
                <w:rFonts w:hint="eastAsia" w:ascii="宋体"/>
                <w:color w:val="auto"/>
                <w:kern w:val="2"/>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noWrap w:val="0"/>
            <w:vAlign w:val="center"/>
          </w:tcPr>
          <w:p>
            <w:pPr>
              <w:pStyle w:val="22"/>
              <w:tabs>
                <w:tab w:val="left" w:pos="1890"/>
              </w:tabs>
              <w:spacing w:before="0" w:beforeAutospacing="0" w:after="150" w:afterAutospacing="0" w:line="360" w:lineRule="atLeast"/>
              <w:jc w:val="center"/>
              <w:rPr>
                <w:rFonts w:hint="eastAsia" w:ascii="宋体"/>
                <w:color w:val="auto"/>
                <w:sz w:val="24"/>
                <w:highlight w:val="none"/>
              </w:rPr>
            </w:pPr>
            <w:r>
              <w:rPr>
                <w:rFonts w:hint="eastAsia" w:ascii="宋体"/>
                <w:color w:val="auto"/>
                <w:sz w:val="24"/>
                <w:highlight w:val="none"/>
              </w:rPr>
              <w:t>4</w:t>
            </w:r>
          </w:p>
        </w:tc>
        <w:tc>
          <w:tcPr>
            <w:tcW w:w="1472" w:type="dxa"/>
            <w:noWrap w:val="0"/>
            <w:vAlign w:val="center"/>
          </w:tcPr>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网上答疑</w:t>
            </w:r>
          </w:p>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时间</w:t>
            </w:r>
          </w:p>
        </w:tc>
        <w:tc>
          <w:tcPr>
            <w:tcW w:w="7686" w:type="dxa"/>
            <w:noWrap w:val="0"/>
            <w:vAlign w:val="center"/>
          </w:tcPr>
          <w:p>
            <w:pPr>
              <w:pStyle w:val="22"/>
              <w:tabs>
                <w:tab w:val="left" w:pos="1890"/>
              </w:tabs>
              <w:spacing w:before="0" w:beforeAutospacing="0" w:after="150" w:afterAutospacing="0" w:line="360" w:lineRule="atLeast"/>
              <w:ind w:left="240" w:hanging="240" w:hangingChars="100"/>
              <w:rPr>
                <w:rFonts w:hint="eastAsia" w:ascii="宋体"/>
                <w:color w:val="auto"/>
                <w:sz w:val="24"/>
                <w:highlight w:val="none"/>
              </w:rPr>
            </w:pPr>
            <w:r>
              <w:rPr>
                <w:rFonts w:hint="eastAsia" w:ascii="宋体"/>
                <w:color w:val="auto"/>
                <w:sz w:val="24"/>
                <w:highlight w:val="none"/>
              </w:rPr>
              <w:t> </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11</w:t>
            </w:r>
            <w:r>
              <w:rPr>
                <w:rFonts w:hint="eastAsia" w:ascii="宋体"/>
                <w:color w:val="auto"/>
                <w:sz w:val="24"/>
                <w:highlight w:val="none"/>
              </w:rPr>
              <w:t>日</w:t>
            </w:r>
            <w:r>
              <w:rPr>
                <w:rFonts w:hint="eastAsia"/>
                <w:color w:val="auto"/>
                <w:kern w:val="2"/>
                <w:sz w:val="24"/>
                <w:highlight w:val="none"/>
                <w:u w:val="single"/>
                <w:lang w:val="en-US" w:eastAsia="zh-CN"/>
              </w:rPr>
              <w:t>16</w:t>
            </w:r>
            <w:r>
              <w:rPr>
                <w:rFonts w:hint="eastAsia" w:ascii="宋体"/>
                <w:color w:val="auto"/>
                <w:kern w:val="2"/>
                <w:sz w:val="24"/>
                <w:highlight w:val="none"/>
              </w:rPr>
              <w:t>时</w:t>
            </w:r>
            <w:r>
              <w:rPr>
                <w:rFonts w:hint="eastAsia"/>
                <w:color w:val="auto"/>
                <w:kern w:val="2"/>
                <w:sz w:val="24"/>
                <w:highlight w:val="none"/>
                <w:u w:val="single"/>
                <w:lang w:val="en-US" w:eastAsia="zh-CN"/>
              </w:rPr>
              <w:t>30</w:t>
            </w:r>
            <w:r>
              <w:rPr>
                <w:rFonts w:hint="eastAsia" w:ascii="宋体"/>
                <w:color w:val="auto"/>
                <w:kern w:val="2"/>
                <w:sz w:val="24"/>
                <w:highlight w:val="none"/>
              </w:rPr>
              <w:t>分至</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14</w:t>
            </w:r>
            <w:r>
              <w:rPr>
                <w:rFonts w:hint="eastAsia" w:ascii="宋体"/>
                <w:color w:val="auto"/>
                <w:sz w:val="24"/>
                <w:highlight w:val="none"/>
              </w:rPr>
              <w:t>日</w:t>
            </w:r>
            <w:r>
              <w:rPr>
                <w:rFonts w:hint="eastAsia"/>
                <w:color w:val="auto"/>
                <w:kern w:val="2"/>
                <w:sz w:val="24"/>
                <w:highlight w:val="none"/>
                <w:u w:val="single"/>
                <w:lang w:val="en-US" w:eastAsia="zh-CN"/>
              </w:rPr>
              <w:t>16</w:t>
            </w:r>
            <w:r>
              <w:rPr>
                <w:rFonts w:hint="eastAsia" w:ascii="宋体"/>
                <w:color w:val="auto"/>
                <w:kern w:val="2"/>
                <w:sz w:val="24"/>
                <w:highlight w:val="none"/>
              </w:rPr>
              <w:t>时</w:t>
            </w:r>
            <w:r>
              <w:rPr>
                <w:rFonts w:hint="eastAsia"/>
                <w:color w:val="auto"/>
                <w:kern w:val="2"/>
                <w:sz w:val="24"/>
                <w:highlight w:val="none"/>
                <w:u w:val="single"/>
                <w:lang w:val="en-US" w:eastAsia="zh-CN"/>
              </w:rPr>
              <w:t>00</w:t>
            </w:r>
            <w:r>
              <w:rPr>
                <w:rFonts w:hint="eastAsia" w:ascii="宋体"/>
                <w:color w:val="auto"/>
                <w:kern w:val="2"/>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1" w:type="dxa"/>
            <w:noWrap w:val="0"/>
            <w:vAlign w:val="center"/>
          </w:tcPr>
          <w:p>
            <w:pPr>
              <w:pStyle w:val="22"/>
              <w:tabs>
                <w:tab w:val="left" w:pos="1890"/>
              </w:tabs>
              <w:spacing w:before="0" w:beforeAutospacing="0" w:after="150" w:afterAutospacing="0" w:line="360" w:lineRule="atLeast"/>
              <w:jc w:val="center"/>
              <w:rPr>
                <w:rFonts w:hint="eastAsia" w:ascii="宋体"/>
                <w:color w:val="auto"/>
                <w:sz w:val="24"/>
                <w:highlight w:val="none"/>
              </w:rPr>
            </w:pPr>
            <w:r>
              <w:rPr>
                <w:rFonts w:hint="eastAsia" w:ascii="宋体"/>
                <w:color w:val="auto"/>
                <w:sz w:val="24"/>
                <w:highlight w:val="none"/>
              </w:rPr>
              <w:t>5</w:t>
            </w:r>
          </w:p>
        </w:tc>
        <w:tc>
          <w:tcPr>
            <w:tcW w:w="1472" w:type="dxa"/>
            <w:noWrap w:val="0"/>
            <w:vAlign w:val="center"/>
          </w:tcPr>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投标保证缴</w:t>
            </w:r>
          </w:p>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纳截止时间</w:t>
            </w:r>
          </w:p>
        </w:tc>
        <w:tc>
          <w:tcPr>
            <w:tcW w:w="7686" w:type="dxa"/>
            <w:noWrap w:val="0"/>
            <w:vAlign w:val="center"/>
          </w:tcPr>
          <w:p>
            <w:pPr>
              <w:pStyle w:val="22"/>
              <w:tabs>
                <w:tab w:val="left" w:pos="1890"/>
              </w:tabs>
              <w:spacing w:before="0" w:beforeAutospacing="0" w:after="150" w:afterAutospacing="0" w:line="360" w:lineRule="atLeast"/>
              <w:ind w:firstLine="210"/>
              <w:rPr>
                <w:rFonts w:hint="eastAsia" w:ascii="宋体"/>
                <w:color w:val="auto"/>
                <w:sz w:val="24"/>
                <w:highlight w:val="none"/>
              </w:rPr>
            </w:pPr>
            <w:r>
              <w:rPr>
                <w:rFonts w:hint="eastAsia" w:ascii="宋体"/>
                <w:color w:val="auto"/>
                <w:sz w:val="24"/>
                <w:highlight w:val="none"/>
              </w:rPr>
              <w:t xml:space="preserve">投标保证金到账截止时间：  </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21</w:t>
            </w:r>
            <w:r>
              <w:rPr>
                <w:rFonts w:hint="eastAsia" w:ascii="宋体"/>
                <w:color w:val="auto"/>
                <w:sz w:val="24"/>
                <w:highlight w:val="none"/>
              </w:rPr>
              <w:t>日</w:t>
            </w:r>
            <w:r>
              <w:rPr>
                <w:rFonts w:hint="eastAsia" w:ascii="宋体"/>
                <w:color w:val="auto"/>
                <w:sz w:val="24"/>
                <w:highlight w:val="none"/>
                <w:u w:val="single"/>
              </w:rPr>
              <w:t>09</w:t>
            </w:r>
            <w:r>
              <w:rPr>
                <w:rFonts w:hint="eastAsia" w:ascii="宋体"/>
                <w:color w:val="auto"/>
                <w:sz w:val="24"/>
                <w:highlight w:val="none"/>
              </w:rPr>
              <w:t>时</w:t>
            </w:r>
            <w:r>
              <w:rPr>
                <w:rFonts w:hint="eastAsia" w:ascii="宋体"/>
                <w:color w:val="auto"/>
                <w:sz w:val="24"/>
                <w:highlight w:val="none"/>
                <w:u w:val="single"/>
              </w:rPr>
              <w:t>30</w:t>
            </w:r>
            <w:r>
              <w:rPr>
                <w:rFonts w:hint="eastAsia" w:ascii="宋体"/>
                <w:color w:val="auto"/>
                <w:sz w:val="24"/>
                <w:highlight w:val="none"/>
              </w:rPr>
              <w:t>分；</w:t>
            </w:r>
          </w:p>
          <w:p>
            <w:pPr>
              <w:pStyle w:val="22"/>
              <w:tabs>
                <w:tab w:val="left" w:pos="1890"/>
              </w:tabs>
              <w:spacing w:before="0" w:beforeAutospacing="0" w:after="150" w:afterAutospacing="0" w:line="360" w:lineRule="atLeast"/>
              <w:ind w:firstLine="210"/>
              <w:rPr>
                <w:rFonts w:hint="eastAsia" w:ascii="宋体"/>
                <w:color w:val="auto"/>
                <w:sz w:val="24"/>
                <w:highlight w:val="none"/>
              </w:rPr>
            </w:pPr>
            <w:r>
              <w:rPr>
                <w:rFonts w:hint="eastAsia" w:ascii="宋体"/>
                <w:color w:val="auto"/>
                <w:sz w:val="24"/>
                <w:highlight w:val="none"/>
              </w:rPr>
              <w:t>投标保证担保办理截止时间：</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21</w:t>
            </w:r>
            <w:r>
              <w:rPr>
                <w:rFonts w:hint="eastAsia" w:ascii="宋体"/>
                <w:color w:val="auto"/>
                <w:sz w:val="24"/>
                <w:highlight w:val="none"/>
              </w:rPr>
              <w:t>日</w:t>
            </w:r>
            <w:r>
              <w:rPr>
                <w:rFonts w:hint="eastAsia" w:ascii="宋体"/>
                <w:color w:val="auto"/>
                <w:sz w:val="24"/>
                <w:highlight w:val="none"/>
                <w:u w:val="single"/>
              </w:rPr>
              <w:t>09</w:t>
            </w:r>
            <w:r>
              <w:rPr>
                <w:rFonts w:hint="eastAsia" w:ascii="宋体"/>
                <w:color w:val="auto"/>
                <w:sz w:val="24"/>
                <w:highlight w:val="none"/>
              </w:rPr>
              <w:t>时</w:t>
            </w:r>
            <w:r>
              <w:rPr>
                <w:rFonts w:hint="eastAsia" w:ascii="宋体"/>
                <w:color w:val="auto"/>
                <w:sz w:val="24"/>
                <w:highlight w:val="none"/>
                <w:u w:val="single"/>
              </w:rPr>
              <w:t>30</w:t>
            </w:r>
            <w:r>
              <w:rPr>
                <w:rFonts w:hint="eastAsia" w:ascii="宋体"/>
                <w:color w:val="auto"/>
                <w:sz w:val="24"/>
                <w:highlight w:val="none"/>
              </w:rPr>
              <w:t>分；</w:t>
            </w:r>
          </w:p>
          <w:p>
            <w:pPr>
              <w:pStyle w:val="22"/>
              <w:tabs>
                <w:tab w:val="left" w:pos="1890"/>
              </w:tabs>
              <w:spacing w:before="0" w:beforeAutospacing="0" w:after="150" w:afterAutospacing="0" w:line="360" w:lineRule="atLeast"/>
              <w:ind w:firstLine="210"/>
              <w:rPr>
                <w:rFonts w:hint="eastAsia" w:ascii="宋体"/>
                <w:color w:val="auto"/>
                <w:sz w:val="24"/>
                <w:highlight w:val="none"/>
              </w:rPr>
            </w:pPr>
            <w:r>
              <w:rPr>
                <w:rFonts w:hint="eastAsia" w:ascii="宋体"/>
                <w:snapToGrid w:val="0"/>
                <w:color w:val="auto"/>
                <w:sz w:val="24"/>
                <w:highlight w:val="none"/>
              </w:rPr>
              <w:t>投标保证保险投保截止时间：</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21</w:t>
            </w:r>
            <w:r>
              <w:rPr>
                <w:rFonts w:hint="eastAsia" w:ascii="宋体"/>
                <w:color w:val="auto"/>
                <w:sz w:val="24"/>
                <w:highlight w:val="none"/>
              </w:rPr>
              <w:t>日</w:t>
            </w:r>
            <w:r>
              <w:rPr>
                <w:rFonts w:hint="eastAsia" w:ascii="宋体"/>
                <w:color w:val="auto"/>
                <w:sz w:val="24"/>
                <w:highlight w:val="none"/>
                <w:u w:val="single"/>
              </w:rPr>
              <w:t>09</w:t>
            </w:r>
            <w:r>
              <w:rPr>
                <w:rFonts w:hint="eastAsia" w:ascii="宋体"/>
                <w:color w:val="auto"/>
                <w:sz w:val="24"/>
                <w:highlight w:val="none"/>
              </w:rPr>
              <w:t>时</w:t>
            </w:r>
            <w:r>
              <w:rPr>
                <w:rFonts w:hint="eastAsia" w:ascii="宋体"/>
                <w:color w:val="auto"/>
                <w:sz w:val="24"/>
                <w:highlight w:val="none"/>
                <w:u w:val="single"/>
              </w:rPr>
              <w:t>30</w:t>
            </w:r>
            <w:r>
              <w:rPr>
                <w:rFonts w:hint="eastAsia" w:ascii="宋体"/>
                <w:color w:val="auto"/>
                <w:sz w:val="24"/>
                <w:highlight w:val="none"/>
              </w:rPr>
              <w:t>分</w:t>
            </w:r>
            <w:r>
              <w:rPr>
                <w:rFonts w:hint="eastAsia" w:ascii="宋体"/>
                <w:snapToGrid w:val="0"/>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1" w:type="dxa"/>
            <w:noWrap w:val="0"/>
            <w:vAlign w:val="center"/>
          </w:tcPr>
          <w:p>
            <w:pPr>
              <w:pStyle w:val="22"/>
              <w:tabs>
                <w:tab w:val="left" w:pos="1890"/>
              </w:tabs>
              <w:spacing w:before="0" w:beforeAutospacing="0" w:after="150" w:afterAutospacing="0" w:line="360" w:lineRule="atLeast"/>
              <w:jc w:val="center"/>
              <w:rPr>
                <w:rFonts w:hint="eastAsia" w:ascii="宋体"/>
                <w:color w:val="auto"/>
                <w:sz w:val="24"/>
                <w:highlight w:val="none"/>
              </w:rPr>
            </w:pPr>
            <w:r>
              <w:rPr>
                <w:rFonts w:hint="eastAsia" w:ascii="宋体"/>
                <w:color w:val="auto"/>
                <w:sz w:val="24"/>
                <w:highlight w:val="none"/>
              </w:rPr>
              <w:t>6</w:t>
            </w:r>
          </w:p>
        </w:tc>
        <w:tc>
          <w:tcPr>
            <w:tcW w:w="1472" w:type="dxa"/>
            <w:noWrap w:val="0"/>
            <w:vAlign w:val="center"/>
          </w:tcPr>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电子投标</w:t>
            </w:r>
          </w:p>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截止时间</w:t>
            </w:r>
          </w:p>
        </w:tc>
        <w:tc>
          <w:tcPr>
            <w:tcW w:w="7686" w:type="dxa"/>
            <w:noWrap w:val="0"/>
            <w:vAlign w:val="center"/>
          </w:tcPr>
          <w:p>
            <w:pPr>
              <w:pStyle w:val="22"/>
              <w:tabs>
                <w:tab w:val="left" w:pos="1890"/>
              </w:tabs>
              <w:spacing w:before="0" w:beforeAutospacing="0" w:after="150" w:afterAutospacing="0" w:line="360" w:lineRule="atLeast"/>
              <w:rPr>
                <w:rFonts w:hint="eastAsia" w:ascii="宋体"/>
                <w:color w:val="auto"/>
                <w:sz w:val="24"/>
                <w:highlight w:val="none"/>
              </w:rPr>
            </w:pPr>
            <w:r>
              <w:rPr>
                <w:rFonts w:hint="eastAsia" w:ascii="宋体"/>
                <w:color w:val="auto"/>
                <w:sz w:val="24"/>
                <w:highlight w:val="none"/>
              </w:rPr>
              <w:t> </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22</w:t>
            </w:r>
            <w:r>
              <w:rPr>
                <w:rFonts w:hint="eastAsia" w:ascii="宋体"/>
                <w:color w:val="auto"/>
                <w:sz w:val="24"/>
                <w:highlight w:val="none"/>
              </w:rPr>
              <w:t>日</w:t>
            </w:r>
            <w:r>
              <w:rPr>
                <w:rFonts w:hint="eastAsia" w:ascii="宋体"/>
                <w:color w:val="auto"/>
                <w:sz w:val="24"/>
                <w:highlight w:val="none"/>
                <w:u w:val="single"/>
              </w:rPr>
              <w:t>09</w:t>
            </w:r>
            <w:r>
              <w:rPr>
                <w:rFonts w:hint="eastAsia" w:ascii="宋体"/>
                <w:color w:val="auto"/>
                <w:sz w:val="24"/>
                <w:highlight w:val="none"/>
              </w:rPr>
              <w:t>时</w:t>
            </w:r>
            <w:r>
              <w:rPr>
                <w:rFonts w:hint="eastAsia" w:ascii="宋体"/>
                <w:color w:val="auto"/>
                <w:sz w:val="24"/>
                <w:highlight w:val="none"/>
                <w:u w:val="single"/>
              </w:rPr>
              <w:t>30</w:t>
            </w:r>
            <w:r>
              <w:rPr>
                <w:rFonts w:hint="eastAsia" w:ascii="宋体"/>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1" w:type="dxa"/>
            <w:noWrap w:val="0"/>
            <w:vAlign w:val="center"/>
          </w:tcPr>
          <w:p>
            <w:pPr>
              <w:pStyle w:val="79"/>
              <w:tabs>
                <w:tab w:val="left" w:pos="1890"/>
              </w:tabs>
              <w:wordWrap w:val="0"/>
              <w:adjustRightInd w:val="0"/>
              <w:snapToGrid w:val="0"/>
              <w:spacing w:line="3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7</w:t>
            </w:r>
          </w:p>
        </w:tc>
        <w:tc>
          <w:tcPr>
            <w:tcW w:w="1472" w:type="dxa"/>
            <w:noWrap w:val="0"/>
            <w:vAlign w:val="center"/>
          </w:tcPr>
          <w:p>
            <w:pPr>
              <w:pStyle w:val="79"/>
              <w:tabs>
                <w:tab w:val="left" w:pos="1890"/>
              </w:tabs>
              <w:wordWrap w:val="0"/>
              <w:adjustRightInd w:val="0"/>
              <w:snapToGrid w:val="0"/>
              <w:spacing w:line="3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投标相关资料（如有）</w:t>
            </w:r>
          </w:p>
          <w:p>
            <w:pPr>
              <w:pStyle w:val="79"/>
              <w:tabs>
                <w:tab w:val="left" w:pos="1890"/>
              </w:tabs>
              <w:wordWrap w:val="0"/>
              <w:adjustRightInd w:val="0"/>
              <w:snapToGrid w:val="0"/>
              <w:spacing w:line="3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递交时间</w:t>
            </w:r>
          </w:p>
        </w:tc>
        <w:tc>
          <w:tcPr>
            <w:tcW w:w="7686" w:type="dxa"/>
            <w:noWrap w:val="0"/>
            <w:vAlign w:val="center"/>
          </w:tcPr>
          <w:p>
            <w:pPr>
              <w:pStyle w:val="79"/>
              <w:tabs>
                <w:tab w:val="left" w:pos="1890"/>
              </w:tabs>
              <w:wordWrap w:val="0"/>
              <w:adjustRightInd w:val="0"/>
              <w:snapToGrid w:val="0"/>
              <w:spacing w:line="400" w:lineRule="exact"/>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sz w:val="24"/>
                <w:highlight w:val="none"/>
                <w:u w:val="single"/>
                <w:lang w:eastAsia="zh-CN"/>
              </w:rPr>
              <w:t>2</w:t>
            </w:r>
            <w:r>
              <w:rPr>
                <w:rFonts w:hint="eastAsia" w:ascii="宋体" w:hAnsi="宋体" w:eastAsia="宋体" w:cs="宋体"/>
                <w:color w:val="auto"/>
                <w:sz w:val="24"/>
                <w:highlight w:val="none"/>
                <w:u w:val="single"/>
                <w:lang w:eastAsia="zh-CN"/>
              </w:rPr>
              <w:t>0</w:t>
            </w:r>
            <w:r>
              <w:rPr>
                <w:rFonts w:hint="eastAsia" w:ascii="宋体" w:hAnsi="宋体" w:eastAsia="宋体" w:cs="宋体"/>
                <w:color w:val="auto"/>
                <w:sz w:val="24"/>
                <w:highlight w:val="none"/>
                <w:u w:val="single"/>
                <w:lang w:val="en-US" w:eastAsia="zh-CN"/>
              </w:rPr>
              <w:t>26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22</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rPr>
              <w:t>09</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00</w:t>
            </w:r>
            <w:r>
              <w:rPr>
                <w:rFonts w:hint="eastAsia" w:ascii="宋体" w:hAnsi="宋体" w:eastAsia="宋体" w:cs="宋体"/>
                <w:color w:val="auto"/>
                <w:sz w:val="24"/>
                <w:highlight w:val="none"/>
              </w:rPr>
              <w:t>分至</w:t>
            </w:r>
            <w:r>
              <w:rPr>
                <w:rFonts w:hint="eastAsia" w:ascii="宋体" w:hAnsi="宋体" w:eastAsia="宋体" w:cs="宋体"/>
                <w:color w:val="auto"/>
                <w:sz w:val="24"/>
                <w:highlight w:val="none"/>
                <w:u w:val="single"/>
                <w:lang w:eastAsia="zh-CN"/>
              </w:rPr>
              <w:t>20</w:t>
            </w:r>
            <w:r>
              <w:rPr>
                <w:rFonts w:hint="eastAsia" w:ascii="宋体" w:hAnsi="宋体" w:eastAsia="宋体" w:cs="宋体"/>
                <w:color w:val="auto"/>
                <w:sz w:val="24"/>
                <w:highlight w:val="none"/>
                <w:u w:val="single"/>
                <w:lang w:val="en-US" w:eastAsia="zh-CN"/>
              </w:rPr>
              <w:t>26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22</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rPr>
              <w:t>09</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30</w:t>
            </w:r>
            <w:r>
              <w:rPr>
                <w:rFonts w:hint="eastAsia" w:ascii="宋体" w:hAnsi="宋体" w:cs="宋体"/>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1" w:type="dxa"/>
            <w:noWrap w:val="0"/>
            <w:vAlign w:val="center"/>
          </w:tcPr>
          <w:p>
            <w:pPr>
              <w:pStyle w:val="79"/>
              <w:tabs>
                <w:tab w:val="left" w:pos="1890"/>
              </w:tabs>
              <w:wordWrap w:val="0"/>
              <w:adjustRightInd w:val="0"/>
              <w:snapToGrid w:val="0"/>
              <w:spacing w:line="3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8</w:t>
            </w:r>
          </w:p>
        </w:tc>
        <w:tc>
          <w:tcPr>
            <w:tcW w:w="1472" w:type="dxa"/>
            <w:noWrap w:val="0"/>
            <w:vAlign w:val="center"/>
          </w:tcPr>
          <w:p>
            <w:pPr>
              <w:pStyle w:val="79"/>
              <w:wordWrap w:val="0"/>
              <w:adjustRightInd w:val="0"/>
              <w:snapToGrid w:val="0"/>
              <w:spacing w:line="360" w:lineRule="exact"/>
              <w:jc w:val="center"/>
              <w:rPr>
                <w:rFonts w:hint="eastAsia" w:ascii="宋体" w:hAnsi="宋体" w:cs="宋体"/>
                <w:color w:val="auto"/>
                <w:kern w:val="0"/>
                <w:sz w:val="24"/>
                <w:highlight w:val="none"/>
              </w:rPr>
            </w:pPr>
            <w:r>
              <w:rPr>
                <w:rFonts w:hint="eastAsia" w:ascii="宋体" w:hAnsi="宋体" w:cs="宋体"/>
                <w:snapToGrid w:val="0"/>
                <w:color w:val="auto"/>
                <w:kern w:val="0"/>
                <w:sz w:val="24"/>
                <w:highlight w:val="none"/>
              </w:rPr>
              <w:t>相关评审资料原件（如有）递交地点</w:t>
            </w:r>
          </w:p>
        </w:tc>
        <w:tc>
          <w:tcPr>
            <w:tcW w:w="7686" w:type="dxa"/>
            <w:noWrap w:val="0"/>
            <w:vAlign w:val="center"/>
          </w:tcPr>
          <w:p>
            <w:pPr>
              <w:wordWrap w:val="0"/>
              <w:jc w:val="left"/>
              <w:rPr>
                <w:rFonts w:hint="eastAsia" w:hAnsi="宋体" w:cs="宋体"/>
                <w:snapToGrid w:val="0"/>
                <w:color w:val="auto"/>
                <w:kern w:val="0"/>
                <w:sz w:val="24"/>
                <w:szCs w:val="24"/>
                <w:highlight w:val="none"/>
                <w:lang w:bidi="ar"/>
              </w:rPr>
            </w:pPr>
            <w:r>
              <w:rPr>
                <w:rFonts w:hint="eastAsia" w:hAnsi="宋体" w:cs="宋体"/>
                <w:snapToGrid w:val="0"/>
                <w:color w:val="auto"/>
                <w:kern w:val="0"/>
                <w:sz w:val="24"/>
                <w:szCs w:val="24"/>
                <w:highlight w:val="none"/>
                <w:lang w:bidi="ar"/>
              </w:rPr>
              <w:t>递交场所：韶关市公共资源交易中心</w:t>
            </w:r>
          </w:p>
          <w:p>
            <w:pPr>
              <w:wordWrap w:val="0"/>
              <w:jc w:val="left"/>
              <w:rPr>
                <w:rFonts w:hint="eastAsia" w:ascii="宋体" w:hAnsi="宋体" w:cs="宋体"/>
                <w:color w:val="auto"/>
                <w:kern w:val="0"/>
                <w:sz w:val="24"/>
                <w:szCs w:val="24"/>
                <w:highlight w:val="none"/>
              </w:rPr>
            </w:pPr>
            <w:r>
              <w:rPr>
                <w:rFonts w:hint="eastAsia" w:hAnsi="宋体" w:cs="宋体"/>
                <w:snapToGrid w:val="0"/>
                <w:color w:val="auto"/>
                <w:kern w:val="0"/>
                <w:sz w:val="24"/>
                <w:szCs w:val="24"/>
                <w:highlight w:val="none"/>
                <w:lang w:bidi="ar"/>
              </w:rPr>
              <w:t>地址：广东省韶关市武江区西联镇，具体递交场所以当日现场通知为准。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411" w:type="dxa"/>
            <w:noWrap w:val="0"/>
            <w:vAlign w:val="center"/>
          </w:tcPr>
          <w:p>
            <w:pPr>
              <w:pStyle w:val="22"/>
              <w:tabs>
                <w:tab w:val="left" w:pos="1890"/>
              </w:tabs>
              <w:spacing w:before="0" w:beforeAutospacing="0" w:after="150" w:afterAutospacing="0" w:line="360" w:lineRule="atLeast"/>
              <w:jc w:val="center"/>
              <w:rPr>
                <w:rFonts w:hint="eastAsia" w:ascii="宋体"/>
                <w:color w:val="auto"/>
                <w:sz w:val="24"/>
                <w:highlight w:val="none"/>
              </w:rPr>
            </w:pPr>
            <w:r>
              <w:rPr>
                <w:rFonts w:hint="eastAsia" w:ascii="宋体"/>
                <w:color w:val="auto"/>
                <w:sz w:val="24"/>
                <w:highlight w:val="none"/>
              </w:rPr>
              <w:t>9</w:t>
            </w:r>
          </w:p>
        </w:tc>
        <w:tc>
          <w:tcPr>
            <w:tcW w:w="1472" w:type="dxa"/>
            <w:noWrap w:val="0"/>
            <w:vAlign w:val="center"/>
          </w:tcPr>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sz w:val="24"/>
                <w:highlight w:val="none"/>
              </w:rPr>
              <w:t>开标时间</w:t>
            </w:r>
          </w:p>
        </w:tc>
        <w:tc>
          <w:tcPr>
            <w:tcW w:w="7686" w:type="dxa"/>
            <w:noWrap w:val="0"/>
            <w:vAlign w:val="center"/>
          </w:tcPr>
          <w:p>
            <w:pPr>
              <w:pStyle w:val="22"/>
              <w:tabs>
                <w:tab w:val="left" w:pos="1890"/>
              </w:tabs>
              <w:spacing w:before="0" w:beforeAutospacing="0" w:after="150" w:afterAutospacing="0" w:line="360" w:lineRule="atLeast"/>
              <w:rPr>
                <w:rFonts w:hint="eastAsia" w:ascii="宋体"/>
                <w:color w:val="auto"/>
                <w:sz w:val="24"/>
                <w:highlight w:val="none"/>
              </w:rPr>
            </w:pPr>
            <w:r>
              <w:rPr>
                <w:rFonts w:hint="eastAsia" w:ascii="宋体"/>
                <w:color w:val="auto"/>
                <w:sz w:val="24"/>
                <w:highlight w:val="none"/>
              </w:rPr>
              <w:t> </w:t>
            </w:r>
            <w:r>
              <w:rPr>
                <w:rFonts w:hint="eastAsia" w:ascii="宋体"/>
                <w:color w:val="auto"/>
                <w:sz w:val="24"/>
                <w:highlight w:val="none"/>
                <w:u w:val="single"/>
                <w:lang w:eastAsia="zh-CN"/>
              </w:rPr>
              <w:t>20</w:t>
            </w:r>
            <w:r>
              <w:rPr>
                <w:rFonts w:hint="eastAsia"/>
                <w:color w:val="auto"/>
                <w:sz w:val="24"/>
                <w:highlight w:val="none"/>
                <w:u w:val="single"/>
                <w:lang w:val="en-US" w:eastAsia="zh-CN"/>
              </w:rPr>
              <w:t>26</w:t>
            </w:r>
            <w:r>
              <w:rPr>
                <w:rFonts w:hint="eastAsia" w:ascii="宋体"/>
                <w:color w:val="auto"/>
                <w:sz w:val="24"/>
                <w:highlight w:val="none"/>
              </w:rPr>
              <w:t>年</w:t>
            </w:r>
            <w:r>
              <w:rPr>
                <w:rFonts w:hint="eastAsia"/>
                <w:color w:val="auto"/>
                <w:sz w:val="24"/>
                <w:highlight w:val="none"/>
                <w:u w:val="single"/>
                <w:lang w:val="en-US" w:eastAsia="zh-CN"/>
              </w:rPr>
              <w:t>1</w:t>
            </w:r>
            <w:r>
              <w:rPr>
                <w:rFonts w:hint="eastAsia" w:ascii="宋体"/>
                <w:color w:val="auto"/>
                <w:sz w:val="24"/>
                <w:highlight w:val="none"/>
              </w:rPr>
              <w:t>月</w:t>
            </w:r>
            <w:r>
              <w:rPr>
                <w:rFonts w:hint="eastAsia"/>
                <w:color w:val="auto"/>
                <w:sz w:val="24"/>
                <w:highlight w:val="none"/>
                <w:u w:val="single"/>
                <w:lang w:val="en-US" w:eastAsia="zh-CN"/>
              </w:rPr>
              <w:t>22</w:t>
            </w:r>
            <w:r>
              <w:rPr>
                <w:rFonts w:hint="eastAsia" w:ascii="宋体"/>
                <w:color w:val="auto"/>
                <w:sz w:val="24"/>
                <w:highlight w:val="none"/>
              </w:rPr>
              <w:t>日</w:t>
            </w:r>
            <w:r>
              <w:rPr>
                <w:rFonts w:hint="eastAsia" w:ascii="宋体"/>
                <w:color w:val="auto"/>
                <w:sz w:val="24"/>
                <w:highlight w:val="none"/>
                <w:u w:val="single"/>
              </w:rPr>
              <w:t>09</w:t>
            </w:r>
            <w:r>
              <w:rPr>
                <w:rFonts w:hint="eastAsia" w:ascii="宋体"/>
                <w:color w:val="auto"/>
                <w:sz w:val="24"/>
                <w:highlight w:val="none"/>
              </w:rPr>
              <w:t>时</w:t>
            </w:r>
            <w:r>
              <w:rPr>
                <w:rFonts w:hint="eastAsia" w:ascii="宋体"/>
                <w:color w:val="auto"/>
                <w:sz w:val="24"/>
                <w:highlight w:val="none"/>
                <w:u w:val="single"/>
              </w:rPr>
              <w:t>30</w:t>
            </w:r>
            <w:r>
              <w:rPr>
                <w:rFonts w:hint="eastAsia" w:ascii="宋体"/>
                <w:color w:val="auto"/>
                <w:sz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1" w:type="dxa"/>
            <w:noWrap w:val="0"/>
            <w:vAlign w:val="center"/>
          </w:tcPr>
          <w:p>
            <w:pPr>
              <w:pStyle w:val="22"/>
              <w:tabs>
                <w:tab w:val="left" w:pos="1890"/>
              </w:tabs>
              <w:spacing w:before="0" w:beforeAutospacing="0" w:after="150" w:afterAutospacing="0" w:line="360" w:lineRule="atLeast"/>
              <w:jc w:val="center"/>
              <w:rPr>
                <w:rFonts w:hint="eastAsia" w:ascii="宋体"/>
                <w:color w:val="auto"/>
                <w:sz w:val="24"/>
                <w:highlight w:val="none"/>
              </w:rPr>
            </w:pPr>
            <w:r>
              <w:rPr>
                <w:rFonts w:hint="eastAsia" w:ascii="宋体"/>
                <w:color w:val="auto"/>
                <w:sz w:val="24"/>
                <w:highlight w:val="none"/>
              </w:rPr>
              <w:t>10</w:t>
            </w:r>
          </w:p>
        </w:tc>
        <w:tc>
          <w:tcPr>
            <w:tcW w:w="1472" w:type="dxa"/>
            <w:noWrap w:val="0"/>
            <w:vAlign w:val="center"/>
          </w:tcPr>
          <w:p>
            <w:pPr>
              <w:pStyle w:val="79"/>
              <w:wordWrap w:val="0"/>
              <w:adjustRightInd w:val="0"/>
              <w:snapToGrid w:val="0"/>
              <w:spacing w:line="360" w:lineRule="exact"/>
              <w:jc w:val="center"/>
              <w:rPr>
                <w:rFonts w:hint="eastAsia" w:ascii="宋体" w:hAnsi="宋体" w:cs="宋体"/>
                <w:color w:val="auto"/>
                <w:sz w:val="24"/>
                <w:highlight w:val="none"/>
              </w:rPr>
            </w:pPr>
            <w:r>
              <w:rPr>
                <w:rFonts w:hint="eastAsia" w:ascii="宋体" w:hAnsi="宋体" w:cs="宋体"/>
                <w:snapToGrid w:val="0"/>
                <w:color w:val="auto"/>
                <w:kern w:val="0"/>
                <w:sz w:val="24"/>
                <w:highlight w:val="none"/>
              </w:rPr>
              <w:t>开标地点</w:t>
            </w:r>
          </w:p>
        </w:tc>
        <w:tc>
          <w:tcPr>
            <w:tcW w:w="7686" w:type="dxa"/>
            <w:noWrap w:val="0"/>
            <w:vAlign w:val="center"/>
          </w:tcPr>
          <w:p>
            <w:pPr>
              <w:wordWrap w:val="0"/>
              <w:jc w:val="left"/>
              <w:rPr>
                <w:rFonts w:hint="eastAsia" w:hAnsi="宋体" w:cs="宋体"/>
                <w:snapToGrid w:val="0"/>
                <w:color w:val="auto"/>
                <w:kern w:val="0"/>
                <w:sz w:val="24"/>
                <w:szCs w:val="24"/>
                <w:highlight w:val="none"/>
                <w:lang w:bidi="ar"/>
              </w:rPr>
            </w:pPr>
            <w:r>
              <w:rPr>
                <w:rFonts w:hint="eastAsia" w:hAnsi="宋体" w:cs="宋体"/>
                <w:snapToGrid w:val="0"/>
                <w:color w:val="auto"/>
                <w:kern w:val="0"/>
                <w:sz w:val="24"/>
                <w:szCs w:val="24"/>
                <w:highlight w:val="none"/>
                <w:lang w:bidi="ar"/>
              </w:rPr>
              <w:t>开标场所：韶关市公共资源交易中心</w:t>
            </w:r>
          </w:p>
          <w:p>
            <w:pPr>
              <w:wordWrap w:val="0"/>
              <w:jc w:val="left"/>
              <w:rPr>
                <w:rFonts w:hint="eastAsia" w:ascii="宋体" w:hAnsi="宋体" w:cs="宋体"/>
                <w:color w:val="auto"/>
                <w:sz w:val="24"/>
                <w:szCs w:val="24"/>
                <w:highlight w:val="none"/>
              </w:rPr>
            </w:pPr>
            <w:r>
              <w:rPr>
                <w:rFonts w:hint="eastAsia" w:hAnsi="宋体" w:cs="宋体"/>
                <w:snapToGrid w:val="0"/>
                <w:color w:val="auto"/>
                <w:kern w:val="0"/>
                <w:sz w:val="24"/>
                <w:szCs w:val="24"/>
                <w:highlight w:val="none"/>
                <w:lang w:bidi="ar"/>
              </w:rPr>
              <w:t>地址：广东省韶关市武江区西联镇，具体递交场所以当日现场通知为准。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1" w:type="dxa"/>
            <w:noWrap w:val="0"/>
            <w:vAlign w:val="center"/>
          </w:tcPr>
          <w:p>
            <w:pPr>
              <w:pStyle w:val="22"/>
              <w:tabs>
                <w:tab w:val="left" w:pos="1890"/>
              </w:tabs>
              <w:spacing w:before="0" w:beforeAutospacing="0" w:after="0" w:afterAutospacing="0" w:line="360" w:lineRule="atLeast"/>
              <w:jc w:val="center"/>
              <w:rPr>
                <w:rFonts w:hint="eastAsia" w:ascii="宋体"/>
                <w:color w:val="auto"/>
                <w:sz w:val="24"/>
                <w:highlight w:val="none"/>
              </w:rPr>
            </w:pPr>
            <w:r>
              <w:rPr>
                <w:rFonts w:hint="eastAsia" w:ascii="宋体"/>
                <w:color w:val="auto"/>
                <w:kern w:val="2"/>
                <w:sz w:val="24"/>
                <w:highlight w:val="none"/>
              </w:rPr>
              <w:t>11</w:t>
            </w:r>
          </w:p>
        </w:tc>
        <w:tc>
          <w:tcPr>
            <w:tcW w:w="1472" w:type="dxa"/>
            <w:noWrap w:val="0"/>
            <w:vAlign w:val="center"/>
          </w:tcPr>
          <w:p>
            <w:pPr>
              <w:pStyle w:val="79"/>
              <w:tabs>
                <w:tab w:val="left" w:pos="1890"/>
              </w:tabs>
              <w:wordWrap w:val="0"/>
              <w:adjustRightInd w:val="0"/>
              <w:snapToGrid w:val="0"/>
              <w:spacing w:line="36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其他</w:t>
            </w:r>
          </w:p>
        </w:tc>
        <w:tc>
          <w:tcPr>
            <w:tcW w:w="7686" w:type="dxa"/>
            <w:noWrap w:val="0"/>
            <w:vAlign w:val="center"/>
          </w:tcPr>
          <w:p>
            <w:pPr>
              <w:pStyle w:val="79"/>
              <w:tabs>
                <w:tab w:val="left" w:pos="1890"/>
              </w:tabs>
              <w:wordWrap w:val="0"/>
              <w:adjustRightInd w:val="0"/>
              <w:snapToGrid w:val="0"/>
              <w:spacing w:line="400" w:lineRule="exact"/>
              <w:ind w:firstLine="240" w:firstLineChars="1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pPr>
        <w:pStyle w:val="11"/>
        <w:jc w:val="both"/>
        <w:rPr>
          <w:rFonts w:hint="eastAsia" w:ascii="Cambria" w:hAnsi="Cambria"/>
          <w:b/>
          <w:bCs/>
          <w:color w:val="000000"/>
          <w:sz w:val="32"/>
          <w:szCs w:val="32"/>
          <w:highlight w:val="none"/>
        </w:rPr>
      </w:pPr>
    </w:p>
    <w:p>
      <w:pPr>
        <w:pStyle w:val="23"/>
        <w:spacing w:before="0" w:after="0" w:line="360" w:lineRule="auto"/>
        <w:rPr>
          <w:rFonts w:hint="eastAsia"/>
          <w:color w:val="000000"/>
          <w:highlight w:val="none"/>
        </w:rPr>
      </w:pPr>
      <w:bookmarkStart w:id="28" w:name="_Toc18447"/>
      <w:r>
        <w:rPr>
          <w:rFonts w:hint="eastAsia"/>
          <w:color w:val="000000"/>
          <w:highlight w:val="none"/>
        </w:rPr>
        <w:br w:type="page"/>
      </w:r>
      <w:r>
        <w:rPr>
          <w:rFonts w:hint="eastAsia"/>
          <w:color w:val="000000"/>
          <w:highlight w:val="none"/>
        </w:rPr>
        <w:t>第二章</w:t>
      </w:r>
      <w:r>
        <w:rPr>
          <w:rFonts w:hint="eastAsia"/>
          <w:color w:val="000000"/>
          <w:highlight w:val="none"/>
          <w:lang w:val="en-US" w:eastAsia="zh-CN"/>
        </w:rPr>
        <w:t xml:space="preserve"> </w:t>
      </w:r>
      <w:r>
        <w:rPr>
          <w:rFonts w:hint="eastAsia"/>
          <w:color w:val="000000"/>
          <w:highlight w:val="none"/>
        </w:rPr>
        <w:t>投标人须知</w:t>
      </w:r>
      <w:bookmarkEnd w:id="18"/>
      <w:bookmarkEnd w:id="19"/>
      <w:bookmarkEnd w:id="20"/>
      <w:bookmarkEnd w:id="21"/>
      <w:bookmarkEnd w:id="22"/>
      <w:bookmarkEnd w:id="23"/>
      <w:bookmarkEnd w:id="24"/>
      <w:bookmarkEnd w:id="25"/>
      <w:bookmarkEnd w:id="26"/>
      <w:bookmarkEnd w:id="27"/>
      <w:bookmarkEnd w:id="28"/>
    </w:p>
    <w:p>
      <w:pPr>
        <w:spacing w:line="360" w:lineRule="auto"/>
        <w:rPr>
          <w:rFonts w:hint="eastAsia" w:ascii="宋体" w:hAnsi="宋体" w:cs="宋体"/>
          <w:b/>
          <w:bCs/>
          <w:color w:val="000000"/>
          <w:sz w:val="24"/>
          <w:szCs w:val="24"/>
          <w:highlight w:val="none"/>
        </w:rPr>
      </w:pPr>
      <w:bookmarkStart w:id="29" w:name="_Toc257703331"/>
      <w:bookmarkStart w:id="30" w:name="_Toc469471986"/>
      <w:bookmarkStart w:id="31" w:name="_Toc70571574"/>
      <w:bookmarkStart w:id="32" w:name="_Toc21265987"/>
      <w:bookmarkStart w:id="33" w:name="_Toc78435685"/>
      <w:bookmarkStart w:id="34" w:name="_Toc57939169"/>
      <w:bookmarkStart w:id="35" w:name="_Toc78435499"/>
      <w:bookmarkStart w:id="36" w:name="_Toc56802825"/>
      <w:bookmarkStart w:id="37" w:name="_Toc111559171"/>
      <w:r>
        <w:rPr>
          <w:rFonts w:hint="eastAsia" w:ascii="宋体" w:hAnsi="宋体" w:cs="宋体"/>
          <w:b/>
          <w:bCs/>
          <w:color w:val="000000"/>
          <w:sz w:val="24"/>
          <w:szCs w:val="24"/>
          <w:highlight w:val="none"/>
        </w:rPr>
        <w:t>1.1投标人须知前附表</w:t>
      </w:r>
      <w:bookmarkEnd w:id="29"/>
      <w:bookmarkEnd w:id="30"/>
      <w:bookmarkEnd w:id="31"/>
      <w:bookmarkEnd w:id="32"/>
      <w:bookmarkEnd w:id="33"/>
      <w:bookmarkEnd w:id="34"/>
      <w:bookmarkEnd w:id="35"/>
      <w:bookmarkEnd w:id="36"/>
      <w:bookmarkEnd w:id="37"/>
    </w:p>
    <w:tbl>
      <w:tblPr>
        <w:tblStyle w:val="27"/>
        <w:tblW w:w="10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1"/>
        <w:gridCol w:w="2382"/>
        <w:gridCol w:w="6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条款号</w:t>
            </w:r>
          </w:p>
        </w:tc>
        <w:tc>
          <w:tcPr>
            <w:tcW w:w="2382" w:type="dxa"/>
            <w:noWrap w:val="0"/>
            <w:vAlign w:val="center"/>
          </w:tcPr>
          <w:p>
            <w:pPr>
              <w:pStyle w:val="74"/>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条款名称</w:t>
            </w:r>
          </w:p>
        </w:tc>
        <w:tc>
          <w:tcPr>
            <w:tcW w:w="6778" w:type="dxa"/>
            <w:noWrap w:val="0"/>
            <w:vAlign w:val="center"/>
          </w:tcPr>
          <w:p>
            <w:pPr>
              <w:pStyle w:val="74"/>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招标人</w:t>
            </w:r>
          </w:p>
        </w:tc>
        <w:tc>
          <w:tcPr>
            <w:tcW w:w="6778" w:type="dxa"/>
            <w:noWrap w:val="0"/>
            <w:vAlign w:val="center"/>
          </w:tcPr>
          <w:p>
            <w:pPr>
              <w:widowControl/>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广东中金岭南工程技术有限公司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1.1.3</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招标代理机构</w:t>
            </w:r>
          </w:p>
        </w:tc>
        <w:tc>
          <w:tcPr>
            <w:tcW w:w="6778" w:type="dxa"/>
            <w:noWrap w:val="0"/>
            <w:vAlign w:val="center"/>
          </w:tcPr>
          <w:p>
            <w:pPr>
              <w:widowControl/>
              <w:ind w:firstLine="240" w:firstLineChars="100"/>
              <w:rPr>
                <w:color w:val="000000"/>
                <w:sz w:val="24"/>
                <w:szCs w:val="24"/>
                <w:highlight w:val="none"/>
              </w:rPr>
            </w:pPr>
            <w:r>
              <w:rPr>
                <w:rFonts w:hint="eastAsia" w:ascii="宋体" w:hAnsi="宋体" w:eastAsia="宋体" w:cs="宋体"/>
                <w:color w:val="000000"/>
                <w:sz w:val="24"/>
                <w:szCs w:val="24"/>
                <w:highlight w:val="none"/>
                <w:lang w:val="zh-CN"/>
              </w:rPr>
              <w:t>广东省国际工程咨询有限公司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1.1.4</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招标项目名称</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粉煤制备系统安全技术升级改造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1.1.5</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项目建设地点</w:t>
            </w:r>
          </w:p>
        </w:tc>
        <w:tc>
          <w:tcPr>
            <w:tcW w:w="6778" w:type="dxa"/>
            <w:noWrap w:val="0"/>
            <w:vAlign w:val="center"/>
          </w:tcPr>
          <w:p>
            <w:pPr>
              <w:pStyle w:val="74"/>
              <w:ind w:firstLine="240" w:firstLineChars="100"/>
              <w:jc w:val="both"/>
              <w:rPr>
                <w:rFonts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广东省韶关市浈江区南郊九公里韶关冶炼厂指定地点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1.1.6</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项目建设规模</w:t>
            </w:r>
          </w:p>
        </w:tc>
        <w:tc>
          <w:tcPr>
            <w:tcW w:w="6778" w:type="dxa"/>
            <w:noWrap w:val="0"/>
            <w:vAlign w:val="center"/>
          </w:tcPr>
          <w:p>
            <w:pPr>
              <w:widowControl/>
              <w:ind w:firstLine="240" w:firstLineChars="100"/>
              <w:jc w:val="left"/>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资金来源及比例</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pacing w:val="0"/>
                <w:sz w:val="24"/>
                <w:szCs w:val="24"/>
                <w:highlight w:val="none"/>
                <w:u w:val="none"/>
                <w:lang w:val="en-US" w:eastAsia="zh-CN"/>
              </w:rPr>
              <w:t>企业自筹，100%。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资金落实情况</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已落实</w:t>
            </w:r>
            <w:r>
              <w:rPr>
                <w:rFonts w:hint="eastAsia" w:ascii="宋体" w:hAnsi="宋体" w:eastAsia="宋体" w:cs="宋体"/>
                <w:color w:val="00000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1.3.1</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招标范围</w:t>
            </w:r>
          </w:p>
        </w:tc>
        <w:tc>
          <w:tcPr>
            <w:tcW w:w="6778" w:type="dxa"/>
            <w:noWrap w:val="0"/>
            <w:vAlign w:val="center"/>
          </w:tcPr>
          <w:p>
            <w:pPr>
              <w:pStyle w:val="70"/>
              <w:spacing w:beforeAutospacing="0" w:afterAutospacing="0" w:line="240" w:lineRule="auto"/>
              <w:ind w:firstLine="240" w:firstLineChars="1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1.3.2</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交货期</w:t>
            </w:r>
          </w:p>
        </w:tc>
        <w:tc>
          <w:tcPr>
            <w:tcW w:w="6778" w:type="dxa"/>
            <w:noWrap w:val="0"/>
            <w:vAlign w:val="center"/>
          </w:tcPr>
          <w:p>
            <w:pPr>
              <w:pStyle w:val="70"/>
              <w:spacing w:beforeAutospacing="0" w:afterAutospacing="0" w:line="240" w:lineRule="auto"/>
              <w:ind w:firstLine="240" w:firstLineChars="100"/>
              <w:rPr>
                <w:rFonts w:hint="eastAsia" w:ascii="宋体" w:hAnsi="宋体" w:eastAsia="宋体" w:cs="宋体"/>
                <w:color w:val="000000"/>
                <w:sz w:val="24"/>
                <w:szCs w:val="24"/>
                <w:highlight w:val="none"/>
                <w:lang w:eastAsia="zh-CN"/>
              </w:rPr>
            </w:pPr>
            <w:r>
              <w:rPr>
                <w:rFonts w:hint="eastAsia" w:ascii="宋体" w:hAnsi="宋体" w:cs="宋体"/>
                <w:color w:val="auto"/>
                <w:kern w:val="0"/>
                <w:sz w:val="24"/>
                <w:szCs w:val="24"/>
                <w:lang w:val="en-US" w:eastAsia="zh-CN"/>
              </w:rPr>
              <w:t>签订合同后</w:t>
            </w:r>
            <w:r>
              <w:rPr>
                <w:rFonts w:hint="eastAsia" w:cs="宋体"/>
                <w:color w:val="auto"/>
                <w:kern w:val="0"/>
                <w:sz w:val="24"/>
                <w:szCs w:val="24"/>
                <w:lang w:val="en-US" w:eastAsia="zh-CN"/>
              </w:rPr>
              <w:t>90</w:t>
            </w:r>
            <w:r>
              <w:rPr>
                <w:rFonts w:hint="eastAsia" w:ascii="宋体" w:hAnsi="宋体" w:cs="宋体"/>
                <w:color w:val="auto"/>
                <w:kern w:val="0"/>
                <w:sz w:val="24"/>
                <w:szCs w:val="24"/>
                <w:lang w:val="en-US" w:eastAsia="zh-CN"/>
              </w:rPr>
              <w:t>个日历天内交付全部标的货物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1.3.3</w:t>
            </w:r>
          </w:p>
        </w:tc>
        <w:tc>
          <w:tcPr>
            <w:tcW w:w="2382" w:type="dxa"/>
            <w:noWrap w:val="0"/>
            <w:vAlign w:val="center"/>
          </w:tcPr>
          <w:p>
            <w:pPr>
              <w:pStyle w:val="74"/>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质量保证期</w:t>
            </w:r>
          </w:p>
        </w:tc>
        <w:tc>
          <w:tcPr>
            <w:tcW w:w="6778" w:type="dxa"/>
            <w:noWrap w:val="0"/>
            <w:vAlign w:val="center"/>
          </w:tcPr>
          <w:p>
            <w:pPr>
              <w:pStyle w:val="74"/>
              <w:ind w:firstLine="240" w:firstLineChars="100"/>
              <w:jc w:val="both"/>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自合同货物性能考核合格之日起12个月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投标人资格要求</w:t>
            </w:r>
          </w:p>
        </w:tc>
        <w:tc>
          <w:tcPr>
            <w:tcW w:w="6778" w:type="dxa"/>
            <w:noWrap w:val="0"/>
            <w:vAlign w:val="center"/>
          </w:tcPr>
          <w:p>
            <w:pPr>
              <w:widowControl/>
              <w:spacing w:line="24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1、</w:t>
            </w:r>
            <w:r>
              <w:rPr>
                <w:rFonts w:hint="eastAsia" w:ascii="宋体" w:hAnsi="宋体" w:cs="宋体"/>
                <w:color w:val="000000"/>
                <w:sz w:val="24"/>
                <w:szCs w:val="24"/>
                <w:highlight w:val="none"/>
              </w:rPr>
              <w:t>投标人资格要求：</w:t>
            </w:r>
          </w:p>
          <w:p>
            <w:pPr>
              <w:pStyle w:val="70"/>
              <w:spacing w:beforeAutospacing="0" w:afterAutospacing="0" w:line="240" w:lineRule="auto"/>
              <w:ind w:firstLine="240" w:firstLineChars="100"/>
              <w:rPr>
                <w:rFonts w:hint="eastAsia"/>
                <w:color w:val="000000"/>
                <w:sz w:val="24"/>
                <w:szCs w:val="24"/>
                <w:highlight w:val="none"/>
              </w:rPr>
            </w:pPr>
            <w:r>
              <w:rPr>
                <w:rFonts w:hint="eastAsia"/>
                <w:color w:val="000000"/>
                <w:sz w:val="24"/>
                <w:szCs w:val="24"/>
                <w:highlight w:val="none"/>
                <w:lang w:eastAsia="zh-CN"/>
              </w:rPr>
              <w:t>（</w:t>
            </w:r>
            <w:r>
              <w:rPr>
                <w:rFonts w:hint="eastAsia"/>
                <w:color w:val="000000"/>
                <w:sz w:val="24"/>
                <w:szCs w:val="24"/>
                <w:highlight w:val="none"/>
                <w:lang w:val="en-US" w:eastAsia="zh-CN"/>
              </w:rPr>
              <w:t>1</w:t>
            </w:r>
            <w:r>
              <w:rPr>
                <w:rFonts w:hint="eastAsia"/>
                <w:color w:val="000000"/>
                <w:sz w:val="24"/>
                <w:szCs w:val="24"/>
                <w:highlight w:val="none"/>
                <w:lang w:eastAsia="zh-CN"/>
              </w:rPr>
              <w:t>）</w:t>
            </w:r>
            <w:r>
              <w:rPr>
                <w:rFonts w:hint="eastAsia"/>
                <w:color w:val="000000"/>
                <w:sz w:val="24"/>
                <w:szCs w:val="24"/>
                <w:highlight w:val="none"/>
              </w:rPr>
              <w:t>投标人须具备独立法人资格，按国家法律经营。招标人不接受不具备独立法人资格的分支机构所投的投标文件。</w:t>
            </w:r>
          </w:p>
          <w:p>
            <w:pPr>
              <w:pStyle w:val="70"/>
              <w:spacing w:beforeAutospacing="0" w:afterAutospacing="0" w:line="240" w:lineRule="auto"/>
              <w:ind w:firstLine="240" w:firstLineChars="100"/>
              <w:rPr>
                <w:rFonts w:hint="eastAsia" w:ascii="宋体" w:hAnsi="宋体" w:eastAsia="宋体" w:cs="宋体"/>
                <w:color w:val="000000"/>
                <w:sz w:val="24"/>
                <w:szCs w:val="24"/>
                <w:highlight w:val="none"/>
                <w:lang w:eastAsia="zh-CN"/>
              </w:rPr>
            </w:pPr>
            <w:r>
              <w:rPr>
                <w:rFonts w:hint="eastAsia"/>
                <w:color w:val="000000"/>
                <w:sz w:val="24"/>
                <w:szCs w:val="24"/>
                <w:highlight w:val="none"/>
                <w:lang w:eastAsia="zh-CN"/>
              </w:rPr>
              <w:t>（</w:t>
            </w:r>
            <w:r>
              <w:rPr>
                <w:rFonts w:hint="eastAsia"/>
                <w:color w:val="000000"/>
                <w:sz w:val="24"/>
                <w:szCs w:val="24"/>
                <w:highlight w:val="none"/>
                <w:lang w:val="en-US" w:eastAsia="zh-CN"/>
              </w:rPr>
              <w:t>2</w:t>
            </w:r>
            <w:r>
              <w:rPr>
                <w:rFonts w:hint="eastAsia"/>
                <w:color w:val="000000"/>
                <w:sz w:val="24"/>
                <w:szCs w:val="24"/>
                <w:highlight w:val="none"/>
                <w:lang w:eastAsia="zh-CN"/>
              </w:rPr>
              <w:t>）</w:t>
            </w:r>
            <w:r>
              <w:rPr>
                <w:rFonts w:hint="eastAsia"/>
                <w:color w:val="000000"/>
                <w:sz w:val="24"/>
                <w:szCs w:val="24"/>
                <w:highlight w:val="none"/>
              </w:rPr>
              <w:t>投标人须是</w:t>
            </w:r>
            <w:r>
              <w:rPr>
                <w:rFonts w:hint="eastAsia"/>
                <w:color w:val="000000"/>
                <w:sz w:val="24"/>
                <w:szCs w:val="24"/>
                <w:highlight w:val="none"/>
                <w:lang w:eastAsia="zh-CN"/>
              </w:rPr>
              <w:t>主体设备（</w:t>
            </w:r>
            <w:r>
              <w:rPr>
                <w:rFonts w:hint="eastAsia"/>
                <w:color w:val="000000"/>
                <w:highlight w:val="none"/>
              </w:rPr>
              <w:t>立式磨煤机</w:t>
            </w:r>
            <w:r>
              <w:rPr>
                <w:rFonts w:hint="eastAsia"/>
                <w:color w:val="000000"/>
                <w:sz w:val="24"/>
                <w:szCs w:val="24"/>
                <w:highlight w:val="none"/>
                <w:lang w:eastAsia="zh-CN"/>
              </w:rPr>
              <w:t>）</w:t>
            </w:r>
            <w:r>
              <w:rPr>
                <w:rFonts w:hint="eastAsia"/>
                <w:color w:val="000000"/>
                <w:sz w:val="24"/>
                <w:szCs w:val="24"/>
                <w:highlight w:val="none"/>
              </w:rPr>
              <w:t>的生产制造商。生产制造商，可根据自身情况提供一项或多项足以证明制造商资质的证明材料的复印件（如：营业执照、业绩合同、厂房、设备、专利等其他材料）</w:t>
            </w:r>
            <w:r>
              <w:rPr>
                <w:rFonts w:hint="eastAsia"/>
                <w:color w:val="000000"/>
                <w:sz w:val="24"/>
                <w:szCs w:val="24"/>
                <w:highlight w:val="none"/>
                <w:lang w:eastAsia="zh-CN"/>
              </w:rPr>
              <w:t>。</w:t>
            </w:r>
          </w:p>
          <w:p>
            <w:pPr>
              <w:pStyle w:val="70"/>
              <w:spacing w:beforeAutospacing="0" w:afterAutospacing="0" w:line="240" w:lineRule="auto"/>
              <w:rPr>
                <w:rFonts w:hint="eastAsia"/>
                <w:color w:val="000000"/>
                <w:sz w:val="24"/>
                <w:szCs w:val="24"/>
                <w:highlight w:val="none"/>
              </w:rPr>
            </w:pPr>
            <w:r>
              <w:rPr>
                <w:rFonts w:hint="eastAsia"/>
                <w:color w:val="000000"/>
                <w:sz w:val="24"/>
                <w:szCs w:val="24"/>
                <w:highlight w:val="none"/>
                <w:lang w:val="en-US" w:eastAsia="zh-CN"/>
              </w:rPr>
              <w:t>2、</w:t>
            </w:r>
            <w:r>
              <w:rPr>
                <w:rFonts w:hint="eastAsia"/>
                <w:color w:val="000000"/>
                <w:sz w:val="24"/>
                <w:szCs w:val="24"/>
                <w:highlight w:val="none"/>
              </w:rPr>
              <w:t>本次招标不接受联合体投标。</w:t>
            </w:r>
          </w:p>
          <w:p>
            <w:pPr>
              <w:pStyle w:val="70"/>
              <w:spacing w:beforeAutospacing="0" w:afterAutospacing="0" w:line="240" w:lineRule="auto"/>
              <w:rPr>
                <w:rFonts w:hint="eastAsia"/>
                <w:color w:val="000000"/>
                <w:sz w:val="24"/>
                <w:szCs w:val="24"/>
                <w:highlight w:val="none"/>
              </w:rPr>
            </w:pPr>
            <w:r>
              <w:rPr>
                <w:rFonts w:hint="eastAsia"/>
                <w:color w:val="000000"/>
                <w:sz w:val="24"/>
                <w:szCs w:val="24"/>
                <w:highlight w:val="none"/>
              </w:rPr>
              <w:t>3</w:t>
            </w:r>
            <w:r>
              <w:rPr>
                <w:rFonts w:hint="eastAsia"/>
                <w:color w:val="000000"/>
                <w:sz w:val="24"/>
                <w:szCs w:val="24"/>
                <w:highlight w:val="none"/>
                <w:lang w:eastAsia="zh-CN"/>
              </w:rPr>
              <w:t>、</w:t>
            </w:r>
            <w:r>
              <w:rPr>
                <w:rFonts w:hint="eastAsia"/>
                <w:color w:val="000000"/>
                <w:sz w:val="24"/>
                <w:szCs w:val="24"/>
                <w:highlight w:val="none"/>
              </w:rPr>
              <w:t>本次招标实行资格后审，资格审查的具体要求见招标文件，资格后审不合格的投标人的投标文件将按废标处理。</w:t>
            </w:r>
          </w:p>
          <w:p>
            <w:pPr>
              <w:pStyle w:val="70"/>
              <w:spacing w:beforeAutospacing="0" w:afterAutospacing="0" w:line="240" w:lineRule="auto"/>
              <w:rPr>
                <w:rFonts w:hint="eastAsia"/>
                <w:color w:val="000000"/>
                <w:sz w:val="24"/>
                <w:szCs w:val="24"/>
                <w:highlight w:val="none"/>
              </w:rPr>
            </w:pPr>
            <w:r>
              <w:rPr>
                <w:rFonts w:hint="eastAsia"/>
                <w:color w:val="000000"/>
                <w:sz w:val="24"/>
                <w:szCs w:val="24"/>
                <w:highlight w:val="none"/>
                <w:lang w:val="en-US" w:eastAsia="zh-CN"/>
              </w:rPr>
              <w:t>4</w:t>
            </w:r>
            <w:r>
              <w:rPr>
                <w:rFonts w:hint="eastAsia"/>
                <w:color w:val="000000"/>
                <w:sz w:val="24"/>
                <w:szCs w:val="24"/>
                <w:highlight w:val="none"/>
              </w:rPr>
              <w:t>、财务要求：/；</w:t>
            </w:r>
          </w:p>
          <w:p>
            <w:pPr>
              <w:pStyle w:val="70"/>
              <w:spacing w:beforeAutospacing="0" w:afterAutospacing="0" w:line="240" w:lineRule="auto"/>
              <w:rPr>
                <w:rFonts w:hint="eastAsia"/>
                <w:color w:val="000000"/>
                <w:sz w:val="24"/>
                <w:szCs w:val="24"/>
                <w:highlight w:val="none"/>
              </w:rPr>
            </w:pPr>
            <w:r>
              <w:rPr>
                <w:rFonts w:hint="eastAsia"/>
                <w:color w:val="000000"/>
                <w:sz w:val="24"/>
                <w:szCs w:val="24"/>
                <w:highlight w:val="none"/>
                <w:lang w:val="en-US" w:eastAsia="zh-CN"/>
              </w:rPr>
              <w:t>5</w:t>
            </w:r>
            <w:r>
              <w:rPr>
                <w:rFonts w:hint="eastAsia"/>
                <w:color w:val="000000"/>
                <w:sz w:val="24"/>
                <w:szCs w:val="24"/>
                <w:highlight w:val="none"/>
              </w:rPr>
              <w:t>、业绩要求：</w:t>
            </w:r>
            <w:r>
              <w:rPr>
                <w:rFonts w:hint="eastAsia"/>
                <w:color w:val="000000"/>
                <w:sz w:val="24"/>
                <w:szCs w:val="24"/>
                <w:highlight w:val="none"/>
                <w:lang w:val="en-US" w:eastAsia="zh-CN"/>
              </w:rPr>
              <w:t>投标人2022年至今</w:t>
            </w:r>
            <w:r>
              <w:rPr>
                <w:rFonts w:hint="eastAsia"/>
                <w:color w:val="000000"/>
                <w:sz w:val="24"/>
                <w:szCs w:val="24"/>
                <w:highlight w:val="none"/>
                <w:lang w:eastAsia="zh-CN"/>
              </w:rPr>
              <w:t>具有粉煤制备（</w:t>
            </w:r>
            <w:r>
              <w:rPr>
                <w:rFonts w:hint="eastAsia"/>
                <w:color w:val="000000"/>
                <w:sz w:val="24"/>
                <w:szCs w:val="24"/>
                <w:highlight w:val="none"/>
                <w:lang w:val="en-US" w:eastAsia="zh-CN"/>
              </w:rPr>
              <w:t>或</w:t>
            </w:r>
            <w:r>
              <w:rPr>
                <w:rFonts w:hint="eastAsia"/>
                <w:color w:val="000000"/>
                <w:sz w:val="24"/>
                <w:szCs w:val="24"/>
                <w:highlight w:val="none"/>
                <w:lang w:eastAsia="zh-CN"/>
              </w:rPr>
              <w:t>粉煤喷吹）成套设备供货业绩，提供合同关键页复印件。</w:t>
            </w:r>
          </w:p>
          <w:p>
            <w:pPr>
              <w:pStyle w:val="70"/>
              <w:spacing w:beforeAutospacing="0" w:afterAutospacing="0" w:line="240" w:lineRule="auto"/>
              <w:rPr>
                <w:rFonts w:hint="eastAsia"/>
                <w:color w:val="000000"/>
                <w:sz w:val="24"/>
                <w:szCs w:val="24"/>
                <w:highlight w:val="none"/>
              </w:rPr>
            </w:pPr>
            <w:r>
              <w:rPr>
                <w:rFonts w:hint="eastAsia"/>
                <w:color w:val="000000"/>
                <w:sz w:val="24"/>
                <w:szCs w:val="24"/>
                <w:highlight w:val="none"/>
                <w:lang w:val="en-US" w:eastAsia="zh-CN"/>
              </w:rPr>
              <w:t>6</w:t>
            </w:r>
            <w:r>
              <w:rPr>
                <w:rFonts w:hint="eastAsia"/>
                <w:color w:val="000000"/>
                <w:sz w:val="24"/>
                <w:szCs w:val="24"/>
                <w:highlight w:val="none"/>
              </w:rPr>
              <w:t>、信誉要求：/；</w:t>
            </w:r>
          </w:p>
          <w:p>
            <w:pPr>
              <w:pStyle w:val="70"/>
              <w:spacing w:beforeAutospacing="0" w:afterAutospacing="0" w:line="24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其他要求</w:t>
            </w:r>
          </w:p>
          <w:p>
            <w:pPr>
              <w:ind w:firstLine="480" w:firstLineChars="200"/>
              <w:rPr>
                <w:rFonts w:hint="eastAsia" w:ascii="宋体" w:hAnsi="宋体" w:cs="宋体"/>
                <w:color w:val="000000"/>
                <w:sz w:val="24"/>
                <w:szCs w:val="24"/>
                <w:highlight w:val="none"/>
              </w:rPr>
            </w:pPr>
            <w:r>
              <w:rPr>
                <w:rFonts w:hint="eastAsia" w:ascii="宋体" w:hAnsi="宋体" w:cs="宋体"/>
                <w:color w:val="auto"/>
                <w:kern w:val="0"/>
                <w:sz w:val="24"/>
                <w:highlight w:val="none"/>
              </w:rPr>
              <w:t>保密责任及义务条款：投标人及所有参与招标活动的相关方（包括但不限于潜在投标人、供应商及其授权代表）应对在招标过程中获取的全部信息（含纸质及电子资料）承担严格保密义务。保密范围包括但不限于招标文件、技术图纸、商务条款及其他招标人提供的专有信息。未经招标人书面授权，任何单位或个人不得将上述信息用于投标目的之外的任何用途，亦不得以任何形式向第三方披露、复制、传播或公开。违反本条款者，招标人有权依法追究其法律责任，并要求违约方承担由此造成的一切经济损失及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1.4.2</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是否接受联合体投标</w:t>
            </w:r>
          </w:p>
        </w:tc>
        <w:tc>
          <w:tcPr>
            <w:tcW w:w="6778" w:type="dxa"/>
            <w:noWrap w:val="0"/>
            <w:vAlign w:val="center"/>
          </w:tcPr>
          <w:p>
            <w:pPr>
              <w:pStyle w:val="74"/>
              <w:ind w:firstLine="240" w:firstLineChars="1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☑不接受</w:t>
            </w:r>
          </w:p>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1.5.2</w:t>
            </w:r>
          </w:p>
        </w:tc>
        <w:tc>
          <w:tcPr>
            <w:tcW w:w="2382" w:type="dxa"/>
            <w:noWrap w:val="0"/>
            <w:vAlign w:val="center"/>
          </w:tcPr>
          <w:p>
            <w:pPr>
              <w:jc w:val="center"/>
              <w:rPr>
                <w:rFonts w:hint="eastAsia" w:ascii="宋体" w:hAnsi="宋体" w:cs="宋体"/>
                <w:color w:val="000000"/>
                <w:sz w:val="24"/>
                <w:szCs w:val="24"/>
                <w:highlight w:val="none"/>
              </w:rPr>
            </w:pPr>
            <w:r>
              <w:rPr>
                <w:rFonts w:hint="eastAsia" w:ascii="宋体" w:hAnsi="宋体" w:cs="宋体"/>
                <w:color w:val="000000"/>
                <w:spacing w:val="2"/>
                <w:kern w:val="0"/>
                <w:sz w:val="24"/>
                <w:szCs w:val="24"/>
                <w:highlight w:val="none"/>
              </w:rPr>
              <w:t>其他费用</w:t>
            </w:r>
          </w:p>
        </w:tc>
        <w:tc>
          <w:tcPr>
            <w:tcW w:w="6778" w:type="dxa"/>
            <w:noWrap w:val="0"/>
            <w:vAlign w:val="center"/>
          </w:tcPr>
          <w:p>
            <w:pPr>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rPr>
              <w:t>本项目的招标代理服务费由中标人支付。招标代理服务费参照《招标代理服务收费管理暂行办法》计价格[2002]1980号文下浮45%计算。该费用不再另行报价，由投标人在投标报价时综合考虑在内。中标人在领取中标通知书前须向招标代理机构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1.9.1</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踏勘现场</w:t>
            </w:r>
          </w:p>
        </w:tc>
        <w:tc>
          <w:tcPr>
            <w:tcW w:w="6778" w:type="dxa"/>
            <w:noWrap w:val="0"/>
            <w:vAlign w:val="center"/>
          </w:tcPr>
          <w:p>
            <w:pPr>
              <w:pStyle w:val="74"/>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☑不组织。投标人可自行踏勘。</w:t>
            </w:r>
            <w:r>
              <w:rPr>
                <w:rFonts w:hint="eastAsia" w:ascii="宋体" w:hAnsi="宋体" w:eastAsia="宋体" w:cs="宋体"/>
                <w:b w:val="0"/>
                <w:bCs w:val="0"/>
                <w:color w:val="auto"/>
                <w:sz w:val="24"/>
                <w:szCs w:val="24"/>
                <w:highlight w:val="none"/>
                <w:lang w:eastAsia="zh-CN"/>
              </w:rPr>
              <w:t>联系人：韶关冶炼厂刘工</w:t>
            </w:r>
            <w:r>
              <w:rPr>
                <w:rFonts w:hint="eastAsia" w:ascii="宋体" w:hAnsi="宋体" w:eastAsia="宋体" w:cs="宋体"/>
                <w:b w:val="0"/>
                <w:bCs w:val="0"/>
                <w:color w:val="auto"/>
                <w:sz w:val="24"/>
                <w:szCs w:val="24"/>
                <w:highlight w:val="none"/>
                <w:lang w:val="en-US" w:eastAsia="zh-CN"/>
              </w:rPr>
              <w:t>13902340258</w:t>
            </w:r>
          </w:p>
          <w:p>
            <w:pPr>
              <w:pStyle w:val="74"/>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□组织，踏勘时间：/</w:t>
            </w:r>
          </w:p>
          <w:p>
            <w:pPr>
              <w:pStyle w:val="74"/>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踏勘集中地点：/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1.10.1</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投标预备会</w:t>
            </w:r>
          </w:p>
        </w:tc>
        <w:tc>
          <w:tcPr>
            <w:tcW w:w="6778" w:type="dxa"/>
            <w:noWrap w:val="0"/>
            <w:vAlign w:val="center"/>
          </w:tcPr>
          <w:p>
            <w:pPr>
              <w:pStyle w:val="74"/>
              <w:ind w:firstLine="240" w:firstLineChars="1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☑不召开</w:t>
            </w:r>
          </w:p>
          <w:p>
            <w:pPr>
              <w:pStyle w:val="74"/>
              <w:ind w:firstLine="240" w:firstLineChars="1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□召开，召开时间：/</w:t>
            </w:r>
          </w:p>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vMerge w:val="restart"/>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1.10.2</w:t>
            </w:r>
          </w:p>
        </w:tc>
        <w:tc>
          <w:tcPr>
            <w:tcW w:w="2382" w:type="dxa"/>
            <w:vMerge w:val="restart"/>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投标人在投标预备会前提出问题</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vMerge w:val="continue"/>
            <w:noWrap w:val="0"/>
            <w:vAlign w:val="center"/>
          </w:tcPr>
          <w:p>
            <w:pPr>
              <w:jc w:val="center"/>
              <w:rPr>
                <w:rFonts w:hint="eastAsia" w:ascii="宋体" w:hAnsi="宋体" w:cs="宋体"/>
                <w:color w:val="000000"/>
                <w:sz w:val="24"/>
                <w:szCs w:val="24"/>
                <w:highlight w:val="none"/>
              </w:rPr>
            </w:pPr>
          </w:p>
        </w:tc>
        <w:tc>
          <w:tcPr>
            <w:tcW w:w="2382" w:type="dxa"/>
            <w:vMerge w:val="continue"/>
            <w:noWrap w:val="0"/>
            <w:vAlign w:val="center"/>
          </w:tcPr>
          <w:p>
            <w:pPr>
              <w:jc w:val="center"/>
              <w:rPr>
                <w:rFonts w:hint="eastAsia" w:ascii="宋体" w:hAnsi="宋体" w:cs="宋体"/>
                <w:color w:val="000000"/>
                <w:sz w:val="24"/>
                <w:szCs w:val="24"/>
                <w:highlight w:val="none"/>
              </w:rPr>
            </w:pP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1.10.3</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招标文件澄清发出的形式</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招标人在建设工程交易系统【建设工程交易】—【招标答疑】栏目发布澄清、答疑。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1.12.1</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实质性要求和条件</w:t>
            </w:r>
          </w:p>
        </w:tc>
        <w:tc>
          <w:tcPr>
            <w:tcW w:w="6778" w:type="dxa"/>
            <w:noWrap w:val="0"/>
            <w:vAlign w:val="center"/>
          </w:tcPr>
          <w:p>
            <w:pPr>
              <w:pStyle w:val="74"/>
              <w:numPr>
                <w:ilvl w:val="0"/>
                <w:numId w:val="2"/>
              </w:numPr>
              <w:autoSpaceDE w:val="0"/>
              <w:autoSpaceDN w:val="0"/>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投标文件的内容是否满足招标文件的基本要求。</w:t>
            </w:r>
          </w:p>
          <w:p>
            <w:pPr>
              <w:pStyle w:val="74"/>
              <w:numPr>
                <w:ilvl w:val="0"/>
                <w:numId w:val="2"/>
              </w:numPr>
              <w:autoSpaceDE w:val="0"/>
              <w:autoSpaceDN w:val="0"/>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投标文件按招标文件规定盖章、签字。</w:t>
            </w:r>
          </w:p>
          <w:p>
            <w:pPr>
              <w:pStyle w:val="74"/>
              <w:numPr>
                <w:ilvl w:val="0"/>
                <w:numId w:val="2"/>
              </w:numPr>
              <w:autoSpaceDE w:val="0"/>
              <w:autoSpaceDN w:val="0"/>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投标保证金是否符合招标文件的要求。</w:t>
            </w:r>
          </w:p>
          <w:p>
            <w:pPr>
              <w:pStyle w:val="74"/>
              <w:numPr>
                <w:ilvl w:val="0"/>
                <w:numId w:val="2"/>
              </w:numPr>
              <w:autoSpaceDE w:val="0"/>
              <w:autoSpaceDN w:val="0"/>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投标文件中没有招标人不能接受的条件。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1.12.3</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偏差</w:t>
            </w:r>
          </w:p>
        </w:tc>
        <w:tc>
          <w:tcPr>
            <w:tcW w:w="6778" w:type="dxa"/>
            <w:noWrap w:val="0"/>
            <w:vAlign w:val="center"/>
          </w:tcPr>
          <w:p>
            <w:pPr>
              <w:ind w:firstLine="240" w:firstLineChars="100"/>
              <w:jc w:val="left"/>
              <w:rPr>
                <w:rFonts w:hint="eastAsia" w:ascii="宋体" w:hAnsi="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cs="宋体"/>
                <w:color w:val="000000"/>
                <w:sz w:val="24"/>
                <w:szCs w:val="24"/>
                <w:highlight w:val="none"/>
              </w:rPr>
              <w:t>不允许</w:t>
            </w:r>
          </w:p>
          <w:p>
            <w:pPr>
              <w:ind w:firstLine="240" w:firstLineChars="1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□允许，偏差范围：/</w:t>
            </w:r>
          </w:p>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偏差幅度：/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构成招标文件的其他资料</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vMerge w:val="restart"/>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2.2.1</w:t>
            </w:r>
          </w:p>
        </w:tc>
        <w:tc>
          <w:tcPr>
            <w:tcW w:w="2382" w:type="dxa"/>
            <w:vMerge w:val="restart"/>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投标人要求澄清招标文件</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时间：见“重要事项时间地点一览表”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vMerge w:val="continue"/>
            <w:noWrap w:val="0"/>
            <w:vAlign w:val="center"/>
          </w:tcPr>
          <w:p>
            <w:pPr>
              <w:jc w:val="center"/>
              <w:rPr>
                <w:rFonts w:hint="eastAsia" w:ascii="宋体" w:hAnsi="宋体" w:cs="宋体"/>
                <w:color w:val="000000"/>
                <w:sz w:val="24"/>
                <w:szCs w:val="24"/>
                <w:highlight w:val="none"/>
              </w:rPr>
            </w:pPr>
          </w:p>
        </w:tc>
        <w:tc>
          <w:tcPr>
            <w:tcW w:w="2382" w:type="dxa"/>
            <w:vMerge w:val="continue"/>
            <w:noWrap w:val="0"/>
            <w:vAlign w:val="center"/>
          </w:tcPr>
          <w:p>
            <w:pPr>
              <w:jc w:val="center"/>
              <w:rPr>
                <w:rFonts w:hint="eastAsia" w:ascii="宋体" w:hAnsi="宋体" w:cs="宋体"/>
                <w:color w:val="000000"/>
                <w:sz w:val="24"/>
                <w:szCs w:val="24"/>
                <w:highlight w:val="none"/>
              </w:rPr>
            </w:pP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形式：在规定的时间内通过建设工程交易系统将问题提交给招标人或招标代理人，提交问题时一律不得署名。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2.2.2</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招标文件澄清发出的形式</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在建设工程交易系统【建设工程交易】—【招标答疑】栏目发布澄清、答疑。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vMerge w:val="restart"/>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2.2.3</w:t>
            </w:r>
          </w:p>
        </w:tc>
        <w:tc>
          <w:tcPr>
            <w:tcW w:w="2382" w:type="dxa"/>
            <w:vMerge w:val="restart"/>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投标人确认收到招标文件澄清</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vMerge w:val="continue"/>
            <w:noWrap w:val="0"/>
            <w:vAlign w:val="center"/>
          </w:tcPr>
          <w:p>
            <w:pPr>
              <w:jc w:val="center"/>
              <w:rPr>
                <w:rFonts w:hint="eastAsia" w:ascii="宋体" w:hAnsi="宋体" w:cs="宋体"/>
                <w:color w:val="000000"/>
                <w:sz w:val="24"/>
                <w:szCs w:val="24"/>
                <w:highlight w:val="none"/>
              </w:rPr>
            </w:pPr>
          </w:p>
        </w:tc>
        <w:tc>
          <w:tcPr>
            <w:tcW w:w="2382" w:type="dxa"/>
            <w:vMerge w:val="continue"/>
            <w:noWrap w:val="0"/>
            <w:vAlign w:val="center"/>
          </w:tcPr>
          <w:p>
            <w:pPr>
              <w:jc w:val="center"/>
              <w:rPr>
                <w:rFonts w:hint="eastAsia" w:ascii="宋体" w:hAnsi="宋体" w:cs="宋体"/>
                <w:color w:val="000000"/>
                <w:sz w:val="24"/>
                <w:szCs w:val="24"/>
                <w:highlight w:val="none"/>
              </w:rPr>
            </w:pP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形式：投标人可在建设工程交易系统浏览、下载，因投标人自身原因未及时查阅的，由此引起的任何责任由投标人自行承担。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2.3.1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招标文件修改发出的形式</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发布于</w:t>
            </w:r>
            <w:r>
              <w:rPr>
                <w:rFonts w:hint="eastAsia" w:ascii="宋体" w:hAnsi="宋体" w:eastAsia="宋体" w:cs="宋体"/>
                <w:color w:val="000000"/>
                <w:sz w:val="24"/>
                <w:szCs w:val="24"/>
                <w:highlight w:val="none"/>
                <w:lang w:eastAsia="zh-CN"/>
              </w:rPr>
              <w:t>全国公共资源交易平台（广东省·韶关市）（https://ygp.gdzwfw.gov.cn/ggzy-portal/#/440200/index）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vMerge w:val="restart"/>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2.3.2</w:t>
            </w:r>
          </w:p>
        </w:tc>
        <w:tc>
          <w:tcPr>
            <w:tcW w:w="2382" w:type="dxa"/>
            <w:vMerge w:val="restart"/>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投标人确认收到招标文件修改</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vMerge w:val="continue"/>
            <w:noWrap w:val="0"/>
            <w:vAlign w:val="center"/>
          </w:tcPr>
          <w:p>
            <w:pPr>
              <w:jc w:val="center"/>
              <w:rPr>
                <w:rFonts w:hint="eastAsia" w:ascii="宋体" w:hAnsi="宋体" w:cs="宋体"/>
                <w:color w:val="000000"/>
                <w:sz w:val="24"/>
                <w:szCs w:val="24"/>
                <w:highlight w:val="none"/>
              </w:rPr>
            </w:pPr>
          </w:p>
        </w:tc>
        <w:tc>
          <w:tcPr>
            <w:tcW w:w="2382" w:type="dxa"/>
            <w:vMerge w:val="continue"/>
            <w:noWrap w:val="0"/>
            <w:vAlign w:val="center"/>
          </w:tcPr>
          <w:p>
            <w:pPr>
              <w:jc w:val="center"/>
              <w:rPr>
                <w:rFonts w:hint="eastAsia" w:ascii="宋体" w:hAnsi="宋体" w:cs="宋体"/>
                <w:color w:val="000000"/>
                <w:sz w:val="24"/>
                <w:szCs w:val="24"/>
                <w:highlight w:val="none"/>
              </w:rPr>
            </w:pP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形式：投标人可在建设工程交易系统浏览、下载，因投标人自身原因未及时查阅的，由此引起的任何责任由投标人自行承担。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构成投标文件的其他资料</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增值税税金的计算方法</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按国家、省、市规定执行。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3.2.3</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报价方式</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投标人</w:t>
            </w:r>
            <w:r>
              <w:rPr>
                <w:rFonts w:hint="eastAsia" w:ascii="宋体" w:hAnsi="宋体" w:eastAsia="宋体" w:cs="宋体"/>
                <w:color w:val="000000"/>
                <w:sz w:val="24"/>
                <w:szCs w:val="24"/>
                <w:highlight w:val="none"/>
                <w:lang w:val="en-US" w:eastAsia="zh-CN"/>
              </w:rPr>
              <w:t>填</w:t>
            </w:r>
            <w:r>
              <w:rPr>
                <w:rFonts w:hint="eastAsia" w:ascii="宋体" w:hAnsi="宋体" w:eastAsia="宋体" w:cs="宋体"/>
                <w:color w:val="000000"/>
                <w:sz w:val="24"/>
                <w:szCs w:val="24"/>
                <w:highlight w:val="none"/>
                <w:lang w:eastAsia="zh-CN"/>
              </w:rPr>
              <w:t>报</w:t>
            </w:r>
            <w:r>
              <w:rPr>
                <w:rFonts w:hint="eastAsia" w:ascii="宋体" w:hAnsi="宋体" w:eastAsia="宋体" w:cs="宋体"/>
                <w:color w:val="000000"/>
                <w:sz w:val="24"/>
                <w:szCs w:val="24"/>
                <w:highlight w:val="none"/>
                <w:lang w:val="en-US" w:eastAsia="zh-CN"/>
              </w:rPr>
              <w:t>设备投标总价</w:t>
            </w:r>
            <w:r>
              <w:rPr>
                <w:rFonts w:hint="eastAsia" w:ascii="宋体" w:hAnsi="宋体" w:eastAsia="宋体" w:cs="宋体"/>
                <w:color w:val="000000"/>
                <w:sz w:val="24"/>
                <w:szCs w:val="24"/>
                <w:highlight w:val="none"/>
                <w:lang w:eastAsia="zh-CN"/>
              </w:rPr>
              <w:t>（以</w:t>
            </w:r>
            <w:r>
              <w:rPr>
                <w:rFonts w:hint="eastAsia" w:ascii="宋体" w:hAnsi="宋体" w:eastAsia="宋体" w:cs="宋体"/>
                <w:color w:val="000000"/>
                <w:sz w:val="24"/>
                <w:szCs w:val="24"/>
                <w:highlight w:val="none"/>
                <w:lang w:val="en-US" w:eastAsia="zh-CN"/>
              </w:rPr>
              <w:t>元</w:t>
            </w:r>
            <w:r>
              <w:rPr>
                <w:rFonts w:hint="eastAsia" w:ascii="宋体" w:hAnsi="宋体" w:eastAsia="宋体" w:cs="宋体"/>
                <w:color w:val="000000"/>
                <w:sz w:val="24"/>
                <w:szCs w:val="24"/>
                <w:highlight w:val="none"/>
                <w:lang w:eastAsia="zh-CN"/>
              </w:rPr>
              <w:t>为单位，精确到小数点后</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位）投标人的投标总价不得高于最高投标限价，也不得低于成本，投标人的投标总价含13%增值税。</w:t>
            </w:r>
          </w:p>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投标人投标报价</w:t>
            </w:r>
            <w:r>
              <w:rPr>
                <w:rFonts w:hint="eastAsia" w:ascii="宋体" w:hAnsi="宋体" w:eastAsia="宋体" w:cs="宋体"/>
                <w:b w:val="0"/>
                <w:bCs w:val="0"/>
                <w:color w:val="000000"/>
                <w:sz w:val="24"/>
                <w:szCs w:val="24"/>
                <w:highlight w:val="none"/>
                <w:lang w:val="en-US" w:eastAsia="zh-CN"/>
              </w:rPr>
              <w:t>小</w:t>
            </w:r>
            <w:r>
              <w:rPr>
                <w:rFonts w:hint="eastAsia" w:ascii="宋体" w:hAnsi="宋体" w:eastAsia="宋体" w:cs="宋体"/>
                <w:b w:val="0"/>
                <w:bCs w:val="0"/>
                <w:color w:val="000000"/>
                <w:sz w:val="24"/>
                <w:szCs w:val="24"/>
                <w:highlight w:val="none"/>
                <w:lang w:eastAsia="zh-CN"/>
              </w:rPr>
              <w:t>于</w:t>
            </w:r>
            <w:r>
              <w:rPr>
                <w:rFonts w:hint="eastAsia" w:ascii="宋体" w:hAnsi="宋体" w:eastAsia="宋体" w:cs="宋体"/>
                <w:b w:val="0"/>
                <w:bCs w:val="0"/>
                <w:color w:val="000000"/>
                <w:sz w:val="24"/>
                <w:szCs w:val="24"/>
                <w:highlight w:val="none"/>
                <w:lang w:val="en-US" w:eastAsia="zh-CN"/>
              </w:rPr>
              <w:t>7469630.00元</w:t>
            </w:r>
            <w:r>
              <w:rPr>
                <w:rFonts w:hint="eastAsia" w:ascii="宋体" w:hAnsi="宋体" w:eastAsia="宋体" w:cs="宋体"/>
                <w:b w:val="0"/>
                <w:bCs w:val="0"/>
                <w:color w:val="000000"/>
                <w:sz w:val="24"/>
                <w:szCs w:val="24"/>
                <w:highlight w:val="none"/>
                <w:lang w:eastAsia="zh-CN"/>
              </w:rPr>
              <w:t>时（招标控制价×85%），又未提供相应书面说明和佐证材料或提供的书面说明和佐证材料不能充分证明其产品成本合理性的，评标委员会应认定其以低于成本的价格竞标，并否决其投标。评标委员会接受该投标人的投标总价而未否决其投标的，应在评标报告中说明判断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3.2.4</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最高投标限价</w:t>
            </w:r>
          </w:p>
        </w:tc>
        <w:tc>
          <w:tcPr>
            <w:tcW w:w="6778" w:type="dxa"/>
            <w:noWrap w:val="0"/>
            <w:vAlign w:val="center"/>
          </w:tcPr>
          <w:p>
            <w:pPr>
              <w:widowControl/>
              <w:ind w:firstLine="240" w:firstLineChars="100"/>
              <w:rPr>
                <w:rFonts w:hint="eastAsia" w:ascii="宋体" w:hAnsi="宋体" w:eastAsia="宋体" w:cs="宋体"/>
                <w:color w:val="000000"/>
                <w:sz w:val="24"/>
                <w:szCs w:val="24"/>
                <w:highlight w:val="none"/>
                <w:u w:val="single"/>
                <w:lang w:val="en-US" w:eastAsia="zh-CN"/>
              </w:rPr>
            </w:pPr>
            <w:r>
              <w:rPr>
                <w:rFonts w:hint="eastAsia" w:ascii="Arial" w:hAnsi="Arial" w:cs="Arial"/>
                <w:color w:val="000000"/>
                <w:sz w:val="24"/>
                <w:szCs w:val="24"/>
                <w:highlight w:val="none"/>
                <w:lang w:val="en-US" w:eastAsia="zh-CN"/>
              </w:rPr>
              <w:t>人民币</w:t>
            </w:r>
            <w:r>
              <w:rPr>
                <w:rFonts w:hint="eastAsia" w:ascii="宋体" w:hAnsi="宋体" w:eastAsia="宋体" w:cs="宋体"/>
                <w:color w:val="000000"/>
                <w:sz w:val="24"/>
                <w:szCs w:val="24"/>
                <w:highlight w:val="none"/>
                <w:lang w:val="en-US" w:eastAsia="zh-CN"/>
              </w:rPr>
              <w:t>8787800.00</w:t>
            </w:r>
            <w:r>
              <w:rPr>
                <w:rFonts w:hint="eastAsia" w:ascii="宋体" w:hAnsi="宋体" w:eastAsia="宋体" w:cs="宋体"/>
                <w:color w:val="000000"/>
                <w:sz w:val="24"/>
                <w:szCs w:val="24"/>
                <w:highlight w:val="none"/>
              </w:rPr>
              <w:t>元</w:t>
            </w:r>
            <w:r>
              <w:rPr>
                <w:rFonts w:hint="eastAsia" w:ascii="宋体" w:hAnsi="宋体" w:eastAsia="宋体" w:cs="宋体"/>
                <w:color w:val="00000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3.2.5</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投标报价的其他要求</w:t>
            </w:r>
          </w:p>
        </w:tc>
        <w:tc>
          <w:tcPr>
            <w:tcW w:w="6778" w:type="dxa"/>
            <w:noWrap w:val="0"/>
            <w:vAlign w:val="center"/>
          </w:tcPr>
          <w:p>
            <w:pPr>
              <w:pStyle w:val="74"/>
              <w:spacing w:line="240" w:lineRule="auto"/>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人的投标报价包括设备及材料的生产前准备、生产、运输（运输到业主指定交货地点）、转运、保护、装卸、保险、相关税费、验收（含出厂及到货验收、最终验收）、质量抽检、培训、配合安装调试试运行、售后及技术服务（包括使用说明书、图纸的提供、质保期保障）等以及其他相关服务等。招标人不再为本合同范围内的工作支付额外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3.3.1</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投标有效期</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zh-CN" w:eastAsia="zh-CN"/>
              </w:rPr>
              <w:t>自投标截止时间算起的</w:t>
            </w:r>
            <w:r>
              <w:rPr>
                <w:rFonts w:hint="eastAsia" w:ascii="宋体" w:hAnsi="宋体" w:eastAsia="宋体" w:cs="宋体"/>
                <w:color w:val="000000"/>
                <w:sz w:val="24"/>
                <w:szCs w:val="24"/>
                <w:highlight w:val="none"/>
                <w:lang w:eastAsia="zh-CN"/>
              </w:rPr>
              <w:t>90</w:t>
            </w:r>
            <w:r>
              <w:rPr>
                <w:rFonts w:hint="eastAsia" w:ascii="宋体" w:hAnsi="宋体" w:eastAsia="宋体" w:cs="宋体"/>
                <w:color w:val="000000"/>
                <w:sz w:val="24"/>
                <w:szCs w:val="24"/>
                <w:highlight w:val="none"/>
                <w:lang w:val="zh-CN" w:eastAsia="zh-CN"/>
              </w:rPr>
              <w:t>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3.4.1</w:t>
            </w:r>
          </w:p>
        </w:tc>
        <w:tc>
          <w:tcPr>
            <w:tcW w:w="2382"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投标保证金</w:t>
            </w:r>
          </w:p>
        </w:tc>
        <w:tc>
          <w:tcPr>
            <w:tcW w:w="6778" w:type="dxa"/>
            <w:noWrap w:val="0"/>
            <w:vAlign w:val="center"/>
          </w:tcPr>
          <w:p>
            <w:pPr>
              <w:adjustRightInd w:val="0"/>
              <w:snapToGrid w:val="0"/>
              <w:ind w:firstLine="240" w:firstLineChars="100"/>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本工程投标保证金额：人民币大写：拾万元整（¥100000元）。</w:t>
            </w:r>
          </w:p>
          <w:p>
            <w:pPr>
              <w:adjustRightInd w:val="0"/>
              <w:snapToGrid w:val="0"/>
              <w:ind w:firstLine="240" w:firstLineChars="100"/>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投标保证的形式包括投标保证金、投标保证担保、投标保证保险三种，由投标人自主选择。</w:t>
            </w:r>
          </w:p>
          <w:p>
            <w:pPr>
              <w:tabs>
                <w:tab w:val="left" w:pos="7020"/>
              </w:tabs>
              <w:wordWrap w:val="0"/>
              <w:adjustRightInd w:val="0"/>
              <w:snapToGrid w:val="0"/>
              <w:ind w:firstLine="480" w:firstLineChars="200"/>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采用投标保证金的，投标人在建设工程交易系统获取招标文件完毕后，即可在系统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pPr>
              <w:tabs>
                <w:tab w:val="left" w:pos="7020"/>
              </w:tabs>
              <w:wordWrap w:val="0"/>
              <w:adjustRightInd w:val="0"/>
              <w:snapToGrid w:val="0"/>
              <w:ind w:firstLine="480" w:firstLineChars="200"/>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2）采用投标保证担保的，投标人应提交有效的银行保函，银行保函的有效期不得短于投标有效期。投标人必须在投标保证担保截止时间（见“重要事项时间地点一览表”）前，使用工程建设交易系统完成网上办理电子保函。</w:t>
            </w:r>
          </w:p>
          <w:p>
            <w:pPr>
              <w:keepNext w:val="0"/>
              <w:keepLines w:val="0"/>
              <w:pageBreakBefore w:val="0"/>
              <w:widowControl w:val="0"/>
              <w:kinsoku/>
              <w:wordWrap w:val="0"/>
              <w:overflowPunct/>
              <w:topLinePunct w:val="0"/>
              <w:autoSpaceDE/>
              <w:autoSpaceDN w:val="0"/>
              <w:bidi w:val="0"/>
              <w:adjustRightInd/>
              <w:snapToGrid w:val="0"/>
              <w:spacing w:line="240" w:lineRule="auto"/>
              <w:ind w:firstLine="480" w:firstLineChars="200"/>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3）采用投标保证保险的，投标人须在投标保证保险投保截止时间（见“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一体化平台——建设工程交易投标人操作指南（电子评标）》，了解网上投保具体操作流程。逾期投保的，其投标无效。</w:t>
            </w:r>
          </w:p>
          <w:p>
            <w:pPr>
              <w:adjustRightInd w:val="0"/>
              <w:snapToGrid w:val="0"/>
              <w:ind w:firstLine="240" w:firstLineChars="100"/>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温馨提醒：投标人采用投标保证担保的，为避免在评标过程中因有效期发生争议，建议投标人将银行保函有效期设置为较招标文件规定的投标有效期延长不少于20个日历天。</w:t>
            </w:r>
          </w:p>
          <w:p>
            <w:pPr>
              <w:adjustRightInd w:val="0"/>
              <w:snapToGrid w:val="0"/>
              <w:ind w:firstLine="240" w:firstLineChars="100"/>
              <w:rPr>
                <w:rFonts w:hint="eastAsia" w:ascii="宋体" w:hAnsi="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SA"/>
              </w:rPr>
              <w:t>注：投标人不按要求提交投标保证金或银行保函的，其投标文件作无效标书处理，由此造成的后果自负。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3.4.4</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其他可以不予退还投标保证金的情形</w:t>
            </w:r>
          </w:p>
        </w:tc>
        <w:tc>
          <w:tcPr>
            <w:tcW w:w="6778" w:type="dxa"/>
            <w:noWrap w:val="0"/>
            <w:vAlign w:val="center"/>
          </w:tcPr>
          <w:p>
            <w:pPr>
              <w:adjustRightInd w:val="0"/>
              <w:snapToGrid w:val="0"/>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rPr>
              <w:t>（1）串通投标。</w:t>
            </w:r>
          </w:p>
          <w:p>
            <w:pPr>
              <w:adjustRightInd w:val="0"/>
              <w:snapToGrid w:val="0"/>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rPr>
              <w:t>（2）评标、中标公示等环节因作假而被取消中标资格。</w:t>
            </w:r>
          </w:p>
          <w:p>
            <w:pPr>
              <w:adjustRightInd w:val="0"/>
              <w:snapToGrid w:val="0"/>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rPr>
              <w:t>（3）因投诉属实取消中标资格的。</w:t>
            </w:r>
          </w:p>
          <w:p>
            <w:pPr>
              <w:adjustRightInd w:val="0"/>
              <w:snapToGrid w:val="0"/>
              <w:ind w:firstLine="240" w:firstLineChars="100"/>
              <w:rPr>
                <w:rFonts w:hint="eastAsia" w:ascii="宋体" w:hAnsi="宋体" w:cs="宋体"/>
                <w:color w:val="000000"/>
                <w:sz w:val="24"/>
                <w:szCs w:val="24"/>
                <w:highlight w:val="none"/>
              </w:rPr>
            </w:pPr>
            <w:r>
              <w:rPr>
                <w:rFonts w:hint="eastAsia" w:ascii="宋体" w:hAnsi="宋体" w:cs="宋体"/>
                <w:color w:val="000000"/>
                <w:sz w:val="24"/>
                <w:szCs w:val="24"/>
                <w:highlight w:val="none"/>
              </w:rPr>
              <w:t>（4）其他违反规定、妨碍公平竞争准则的舞弊行为。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3.5</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资格审查资料的特殊要求</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3.6.1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是否允许递交备选投标方案</w:t>
            </w:r>
          </w:p>
        </w:tc>
        <w:tc>
          <w:tcPr>
            <w:tcW w:w="6778" w:type="dxa"/>
            <w:noWrap w:val="0"/>
            <w:vAlign w:val="center"/>
          </w:tcPr>
          <w:p>
            <w:pPr>
              <w:pStyle w:val="74"/>
              <w:ind w:firstLine="240" w:firstLineChars="1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不允许</w:t>
            </w:r>
          </w:p>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sym w:font="Wingdings" w:char="00A8"/>
            </w:r>
            <w:r>
              <w:rPr>
                <w:rFonts w:hint="eastAsia" w:ascii="宋体" w:hAnsi="宋体" w:eastAsia="宋体" w:cs="宋体"/>
                <w:color w:val="000000"/>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3.7.3</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投标文件签字或盖章要求</w:t>
            </w:r>
          </w:p>
        </w:tc>
        <w:tc>
          <w:tcPr>
            <w:tcW w:w="6778" w:type="dxa"/>
            <w:noWrap w:val="0"/>
            <w:vAlign w:val="center"/>
          </w:tcPr>
          <w:p>
            <w:pPr>
              <w:pStyle w:val="70"/>
              <w:spacing w:beforeAutospacing="0" w:afterAutospacing="0"/>
              <w:ind w:firstLine="360"/>
              <w:rPr>
                <w:rFonts w:hint="eastAsia"/>
                <w:color w:val="000000"/>
                <w:sz w:val="24"/>
                <w:szCs w:val="24"/>
                <w:highlight w:val="none"/>
              </w:rPr>
            </w:pPr>
            <w:r>
              <w:rPr>
                <w:rFonts w:hint="eastAsia"/>
                <w:color w:val="000000"/>
                <w:sz w:val="24"/>
                <w:szCs w:val="24"/>
                <w:highlight w:val="none"/>
              </w:rPr>
              <w:t>投标文件全部采用电子文档，投标文件所附证书证件均为原件扫描件，并采用单位数字证书，按招标文件要求在相应位置加盖电子印章。投标文件中需个人签字的，应加盖个人电子印章或在线下完成后扫描上传。按照交易平台关于全流程电子化项目的相关指南进行操作。详见：《韶关市公共资源一体化平台——建设工程交易投标人操作指南（电子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pacing w:val="-6"/>
                <w:sz w:val="24"/>
                <w:szCs w:val="24"/>
                <w:highlight w:val="none"/>
              </w:rPr>
              <w:t>3.7.</w:t>
            </w:r>
            <w:r>
              <w:rPr>
                <w:rFonts w:hint="eastAsia" w:ascii="宋体" w:hAnsi="宋体" w:eastAsia="宋体" w:cs="宋体"/>
                <w:color w:val="000000"/>
                <w:spacing w:val="-6"/>
                <w:sz w:val="24"/>
                <w:szCs w:val="24"/>
                <w:highlight w:val="none"/>
                <w:lang w:eastAsia="zh-CN"/>
              </w:rPr>
              <w:t>4</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投标文件份数及其他要求</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本项目采用全流程电子投标。在电子投标截止时间前，投标人通过全国公共资源交易平台 （广东省·韶关市）提交已加密投标文件。</w:t>
            </w:r>
          </w:p>
          <w:p>
            <w:pPr>
              <w:pStyle w:val="74"/>
              <w:ind w:firstLine="240" w:firstLineChars="100"/>
              <w:jc w:val="both"/>
              <w:rPr>
                <w:rFonts w:hint="default" w:ascii="宋体" w:hAnsi="宋体" w:eastAsia="宋体" w:cs="宋体"/>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投标人在</w:t>
            </w:r>
            <w:r>
              <w:rPr>
                <w:rFonts w:hint="eastAsia" w:ascii="宋体" w:hAnsi="宋体" w:eastAsia="宋体" w:cs="宋体"/>
                <w:b w:val="0"/>
                <w:bCs w:val="0"/>
                <w:color w:val="000000"/>
                <w:sz w:val="24"/>
                <w:szCs w:val="24"/>
                <w:highlight w:val="none"/>
                <w:lang w:eastAsia="zh-CN"/>
              </w:rPr>
              <w:t>投标截止时间</w:t>
            </w:r>
            <w:r>
              <w:rPr>
                <w:rFonts w:hint="eastAsia" w:ascii="宋体" w:hAnsi="宋体" w:eastAsia="宋体" w:cs="宋体"/>
                <w:b w:val="0"/>
                <w:bCs w:val="0"/>
                <w:color w:val="000000"/>
                <w:sz w:val="24"/>
                <w:szCs w:val="24"/>
                <w:highlight w:val="none"/>
                <w:lang w:val="en-US" w:eastAsia="zh-CN"/>
              </w:rPr>
              <w:t>前同步邮寄提交</w:t>
            </w:r>
            <w:r>
              <w:rPr>
                <w:rFonts w:hint="eastAsia" w:ascii="宋体" w:hAnsi="宋体" w:eastAsia="宋体" w:cs="宋体"/>
                <w:b w:val="0"/>
                <w:bCs w:val="0"/>
                <w:color w:val="000000"/>
                <w:sz w:val="24"/>
                <w:szCs w:val="24"/>
                <w:highlight w:val="none"/>
                <w:lang w:eastAsia="zh-CN"/>
              </w:rPr>
              <w:t>纸质版的投标文件</w:t>
            </w:r>
            <w:r>
              <w:rPr>
                <w:rFonts w:hint="eastAsia" w:ascii="宋体" w:hAnsi="宋体" w:eastAsia="宋体" w:cs="宋体"/>
                <w:b w:val="0"/>
                <w:bCs w:val="0"/>
                <w:color w:val="000000"/>
                <w:sz w:val="24"/>
                <w:szCs w:val="24"/>
                <w:highlight w:val="none"/>
                <w:lang w:val="en-US" w:eastAsia="zh-CN"/>
              </w:rPr>
              <w:t>正本1份、副本1份</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副本可以为正本复印件。</w:t>
            </w:r>
          </w:p>
          <w:p>
            <w:pPr>
              <w:pStyle w:val="74"/>
              <w:ind w:firstLine="240" w:firstLineChars="1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邮寄收件地址：广州市越秀区环市中路316号金鹰大厦10楼1027房。</w:t>
            </w:r>
          </w:p>
          <w:p>
            <w:pPr>
              <w:pStyle w:val="74"/>
              <w:ind w:firstLine="240" w:firstLineChars="100"/>
              <w:jc w:val="both"/>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收件人：程工020-83549690/18924016386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4.1.2</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封套上应载明的信息</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投标文件</w:t>
            </w:r>
          </w:p>
          <w:p>
            <w:pPr>
              <w:pStyle w:val="74"/>
              <w:ind w:firstLine="240" w:firstLineChars="100"/>
              <w:jc w:val="both"/>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4.2.1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投标截止时间</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详见“重要事项时间地点一览表”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4.2.2</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开标地点</w:t>
            </w:r>
          </w:p>
        </w:tc>
        <w:tc>
          <w:tcPr>
            <w:tcW w:w="6778" w:type="dxa"/>
            <w:noWrap w:val="0"/>
            <w:vAlign w:val="center"/>
          </w:tcPr>
          <w:p>
            <w:pPr>
              <w:pStyle w:val="74"/>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详见“重要事项时间地点一览表”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4.2.3</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投标文件是否退还</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不退还。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开标时间和地点</w:t>
            </w:r>
          </w:p>
        </w:tc>
        <w:tc>
          <w:tcPr>
            <w:tcW w:w="6778" w:type="dxa"/>
            <w:noWrap w:val="0"/>
            <w:vAlign w:val="center"/>
          </w:tcPr>
          <w:p>
            <w:pPr>
              <w:ind w:firstLine="240" w:firstLineChars="100"/>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开标时间：</w:t>
            </w:r>
            <w:r>
              <w:rPr>
                <w:rFonts w:hint="eastAsia" w:ascii="宋体" w:hAnsi="宋体" w:cs="宋体"/>
                <w:color w:val="000000"/>
                <w:sz w:val="24"/>
                <w:szCs w:val="24"/>
                <w:highlight w:val="none"/>
              </w:rPr>
              <w:t>见“重要事项时间地点一览表”</w:t>
            </w:r>
          </w:p>
          <w:p>
            <w:pPr>
              <w:ind w:firstLine="240" w:firstLineChars="100"/>
              <w:rPr>
                <w:rFonts w:hint="eastAsia" w:ascii="宋体" w:hAnsi="宋体" w:cs="宋体"/>
                <w:color w:val="000000"/>
                <w:sz w:val="24"/>
                <w:szCs w:val="24"/>
                <w:highlight w:val="none"/>
              </w:rPr>
            </w:pPr>
            <w:r>
              <w:rPr>
                <w:rFonts w:hint="eastAsia" w:ascii="宋体" w:hAnsi="宋体" w:cs="宋体"/>
                <w:bCs/>
                <w:color w:val="000000"/>
                <w:sz w:val="24"/>
                <w:szCs w:val="24"/>
                <w:highlight w:val="none"/>
              </w:rPr>
              <w:t>地点：韶关市公共资源交易中心</w:t>
            </w:r>
            <w:r>
              <w:rPr>
                <w:rFonts w:hint="eastAsia" w:ascii="宋体" w:hAnsi="宋体" w:cs="宋体"/>
                <w:color w:val="000000"/>
                <w:sz w:val="24"/>
                <w:szCs w:val="24"/>
                <w:highlight w:val="none"/>
              </w:rPr>
              <w:t>（地址：广东省韶关市武江区西联镇，具体房间号以当日现场通知为准。）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评标委员会的组建</w:t>
            </w:r>
          </w:p>
        </w:tc>
        <w:tc>
          <w:tcPr>
            <w:tcW w:w="6778" w:type="dxa"/>
            <w:noWrap w:val="0"/>
            <w:vAlign w:val="center"/>
          </w:tcPr>
          <w:p>
            <w:pPr>
              <w:pStyle w:val="74"/>
              <w:tabs>
                <w:tab w:val="left" w:pos="2313"/>
                <w:tab w:val="left" w:pos="3830"/>
              </w:tabs>
              <w:ind w:firstLine="240" w:firstLineChars="100"/>
              <w:jc w:val="both"/>
              <w:rPr>
                <w:rFonts w:hint="eastAsia" w:ascii="宋体" w:hAnsi="宋体"/>
                <w:color w:val="000000"/>
                <w:sz w:val="24"/>
                <w:highlight w:val="none"/>
                <w:lang w:eastAsia="zh-CN"/>
              </w:rPr>
            </w:pPr>
            <w:r>
              <w:rPr>
                <w:rFonts w:hint="eastAsia" w:ascii="宋体" w:hAnsi="宋体" w:eastAsia="宋体" w:cs="宋体"/>
                <w:color w:val="auto"/>
                <w:kern w:val="0"/>
                <w:sz w:val="24"/>
                <w:szCs w:val="24"/>
                <w:highlight w:val="none"/>
              </w:rPr>
              <w:t>评标委员会由</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人组成，其中招标人代表</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2</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人，</w:t>
            </w:r>
            <w:r>
              <w:rPr>
                <w:rFonts w:hint="eastAsia" w:ascii="宋体" w:hAnsi="宋体" w:eastAsia="宋体" w:cs="宋体"/>
                <w:color w:val="auto"/>
                <w:kern w:val="0"/>
                <w:sz w:val="24"/>
                <w:szCs w:val="24"/>
                <w:highlight w:val="none"/>
                <w:lang w:val="en-US" w:eastAsia="zh-CN"/>
              </w:rPr>
              <w:t>技术经济</w:t>
            </w:r>
            <w:r>
              <w:rPr>
                <w:rFonts w:hint="eastAsia" w:ascii="宋体" w:hAnsi="宋体" w:eastAsia="宋体" w:cs="宋体"/>
                <w:color w:val="auto"/>
                <w:kern w:val="0"/>
                <w:sz w:val="24"/>
                <w:szCs w:val="24"/>
                <w:highlight w:val="none"/>
              </w:rPr>
              <w:t>专家</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5</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人。</w:t>
            </w:r>
            <w:r>
              <w:rPr>
                <w:rFonts w:hint="eastAsia" w:ascii="宋体" w:hAnsi="宋体" w:eastAsia="宋体" w:cs="宋体"/>
                <w:color w:val="auto"/>
                <w:kern w:val="0"/>
                <w:sz w:val="24"/>
                <w:szCs w:val="24"/>
                <w:highlight w:val="none"/>
                <w:lang w:val="en-US" w:eastAsia="zh-CN"/>
              </w:rPr>
              <w:t>技术经济</w:t>
            </w:r>
            <w:r>
              <w:rPr>
                <w:rFonts w:hint="eastAsia" w:ascii="宋体" w:hAnsi="宋体" w:eastAsia="宋体" w:cs="宋体"/>
                <w:color w:val="auto"/>
                <w:kern w:val="0"/>
                <w:sz w:val="24"/>
                <w:szCs w:val="24"/>
                <w:highlight w:val="none"/>
              </w:rPr>
              <w:t>专家从广东省综合评标评审专家库</w:t>
            </w:r>
            <w:r>
              <w:rPr>
                <w:rFonts w:hint="eastAsia" w:ascii="宋体" w:hAnsi="宋体" w:eastAsia="宋体" w:cs="宋体"/>
                <w:snapToGrid w:val="0"/>
                <w:color w:val="auto"/>
                <w:kern w:val="0"/>
                <w:sz w:val="24"/>
                <w:szCs w:val="24"/>
                <w:highlight w:val="none"/>
              </w:rPr>
              <w:t>-韶关区域中</w:t>
            </w:r>
            <w:r>
              <w:rPr>
                <w:rFonts w:hint="eastAsia" w:ascii="宋体" w:hAnsi="宋体" w:eastAsia="宋体" w:cs="宋体"/>
                <w:color w:val="auto"/>
                <w:kern w:val="0"/>
                <w:sz w:val="24"/>
                <w:szCs w:val="24"/>
                <w:highlight w:val="none"/>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6.3.2</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评标委员会推荐中标候选人的人数</w:t>
            </w:r>
          </w:p>
        </w:tc>
        <w:tc>
          <w:tcPr>
            <w:tcW w:w="6778" w:type="dxa"/>
            <w:noWrap w:val="0"/>
            <w:vAlign w:val="center"/>
          </w:tcPr>
          <w:p>
            <w:pPr>
              <w:pStyle w:val="74"/>
              <w:ind w:firstLine="240"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3</w:t>
            </w:r>
            <w:r>
              <w:rPr>
                <w:rFonts w:hint="eastAsia" w:ascii="宋体" w:hAnsi="宋体" w:eastAsia="宋体" w:cs="宋体"/>
                <w:color w:val="000000"/>
                <w:sz w:val="24"/>
                <w:szCs w:val="24"/>
                <w:highlight w:val="none"/>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中标候选人公示媒介及期限</w:t>
            </w:r>
          </w:p>
        </w:tc>
        <w:tc>
          <w:tcPr>
            <w:tcW w:w="6778" w:type="dxa"/>
            <w:noWrap w:val="0"/>
            <w:vAlign w:val="center"/>
          </w:tcPr>
          <w:p>
            <w:pPr>
              <w:pStyle w:val="74"/>
              <w:ind w:firstLine="240" w:firstLineChars="100"/>
              <w:jc w:val="both"/>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公示媒介：广东省招标投标监管网、</w:t>
            </w:r>
            <w:r>
              <w:rPr>
                <w:rFonts w:hint="eastAsia" w:ascii="宋体" w:hAnsi="宋体" w:eastAsia="宋体" w:cs="宋体"/>
                <w:color w:val="000000"/>
                <w:sz w:val="24"/>
                <w:szCs w:val="24"/>
                <w:highlight w:val="none"/>
                <w:shd w:val="clear" w:color="auto" w:fill="FFFFFF"/>
                <w:lang w:eastAsia="zh-CN"/>
              </w:rPr>
              <w:t>全国公共资源交易平台（广东省·韶关市）</w:t>
            </w:r>
          </w:p>
          <w:p>
            <w:pPr>
              <w:pStyle w:val="74"/>
              <w:tabs>
                <w:tab w:val="left" w:pos="2104"/>
              </w:tabs>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公示</w:t>
            </w:r>
            <w:r>
              <w:rPr>
                <w:rFonts w:hint="eastAsia" w:ascii="宋体" w:hAnsi="宋体" w:eastAsia="宋体" w:cs="宋体"/>
                <w:color w:val="000000"/>
                <w:spacing w:val="-3"/>
                <w:sz w:val="24"/>
                <w:szCs w:val="24"/>
                <w:highlight w:val="none"/>
              </w:rPr>
              <w:t>期</w:t>
            </w:r>
            <w:r>
              <w:rPr>
                <w:rFonts w:hint="eastAsia" w:ascii="宋体" w:hAnsi="宋体" w:eastAsia="宋体" w:cs="宋体"/>
                <w:color w:val="000000"/>
                <w:sz w:val="24"/>
                <w:szCs w:val="24"/>
                <w:highlight w:val="none"/>
              </w:rPr>
              <w:t>限</w:t>
            </w:r>
            <w:r>
              <w:rPr>
                <w:rFonts w:hint="eastAsia" w:ascii="宋体" w:hAnsi="宋体" w:eastAsia="宋体" w:cs="宋体"/>
                <w:color w:val="000000"/>
                <w:spacing w:val="-3"/>
                <w:sz w:val="24"/>
                <w:szCs w:val="24"/>
                <w:highlight w:val="none"/>
              </w:rPr>
              <w:t>：</w:t>
            </w:r>
            <w:r>
              <w:rPr>
                <w:rFonts w:hint="eastAsia" w:ascii="宋体" w:hAnsi="宋体" w:eastAsia="宋体" w:cs="宋体"/>
                <w:color w:val="000000"/>
                <w:sz w:val="24"/>
                <w:szCs w:val="24"/>
                <w:highlight w:val="none"/>
                <w:u w:val="single"/>
                <w:lang w:eastAsia="zh-CN"/>
              </w:rPr>
              <w:t xml:space="preserve"> 3 </w:t>
            </w:r>
            <w:r>
              <w:rPr>
                <w:rFonts w:hint="eastAsia" w:ascii="宋体" w:hAnsi="宋体" w:eastAsia="宋体" w:cs="宋体"/>
                <w:color w:val="000000"/>
                <w:sz w:val="24"/>
                <w:szCs w:val="24"/>
                <w:highlight w:val="none"/>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7.4</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是否授权评标委员会确定中标人</w:t>
            </w:r>
          </w:p>
        </w:tc>
        <w:tc>
          <w:tcPr>
            <w:tcW w:w="6778" w:type="dxa"/>
            <w:noWrap w:val="0"/>
            <w:vAlign w:val="center"/>
          </w:tcPr>
          <w:p>
            <w:pPr>
              <w:pStyle w:val="74"/>
              <w:ind w:firstLine="240" w:firstLineChars="1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□是</w:t>
            </w:r>
          </w:p>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7.6</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技术成果经济补偿</w:t>
            </w:r>
          </w:p>
        </w:tc>
        <w:tc>
          <w:tcPr>
            <w:tcW w:w="6778" w:type="dxa"/>
            <w:noWrap w:val="0"/>
            <w:vAlign w:val="center"/>
          </w:tcPr>
          <w:p>
            <w:pPr>
              <w:pStyle w:val="74"/>
              <w:ind w:firstLine="240" w:firstLineChars="100"/>
              <w:jc w:val="both"/>
              <w:rPr>
                <w:rFonts w:hint="eastAsia" w:ascii="宋体" w:hAnsi="宋体" w:eastAsia="宋体" w:cs="宋体"/>
                <w:color w:val="000000"/>
                <w:spacing w:val="-1"/>
                <w:sz w:val="24"/>
                <w:szCs w:val="24"/>
                <w:highlight w:val="none"/>
                <w:lang w:eastAsia="zh-CN"/>
              </w:rPr>
            </w:pPr>
            <w:r>
              <w:rPr>
                <w:rFonts w:hint="eastAsia" w:ascii="宋体" w:hAnsi="宋体" w:eastAsia="宋体" w:cs="宋体"/>
                <w:color w:val="000000"/>
                <w:sz w:val="24"/>
                <w:szCs w:val="24"/>
                <w:highlight w:val="none"/>
                <w:lang w:eastAsia="zh-CN"/>
              </w:rPr>
              <w:t>不补偿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7.6.1</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履约保证金</w:t>
            </w:r>
          </w:p>
        </w:tc>
        <w:tc>
          <w:tcPr>
            <w:tcW w:w="6778" w:type="dxa"/>
            <w:noWrap w:val="0"/>
            <w:vAlign w:val="center"/>
          </w:tcPr>
          <w:p>
            <w:pPr>
              <w:pStyle w:val="74"/>
              <w:ind w:firstLine="240" w:firstLineChars="1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是否要求中标人提交履约保证金：</w:t>
            </w:r>
          </w:p>
          <w:p>
            <w:pPr>
              <w:pStyle w:val="74"/>
              <w:ind w:firstLine="240" w:firstLineChars="1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☑要求，履约保证金的形式：银行保函或</w:t>
            </w:r>
            <w:r>
              <w:rPr>
                <w:rFonts w:hint="eastAsia" w:ascii="宋体" w:hAnsi="宋体" w:cs="宋体"/>
                <w:color w:val="000000"/>
                <w:sz w:val="24"/>
                <w:szCs w:val="24"/>
                <w:highlight w:val="none"/>
                <w:lang w:eastAsia="zh-CN"/>
              </w:rPr>
              <w:t>银行转账</w:t>
            </w:r>
            <w:r>
              <w:rPr>
                <w:rFonts w:hint="eastAsia" w:ascii="宋体" w:hAnsi="宋体" w:eastAsia="宋体" w:cs="宋体"/>
                <w:color w:val="000000"/>
                <w:sz w:val="24"/>
                <w:szCs w:val="24"/>
                <w:highlight w:val="none"/>
                <w:lang w:eastAsia="zh-CN"/>
              </w:rPr>
              <w:t>或履约担保保险履约保证金的金额：中标价的</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w:t>
            </w:r>
          </w:p>
          <w:p>
            <w:pPr>
              <w:pStyle w:val="74"/>
              <w:ind w:firstLine="240" w:firstLineChars="1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注：（1）中标通知书发出时，招标人应登录</w:t>
            </w:r>
            <w:r>
              <w:rPr>
                <w:rFonts w:hint="eastAsia" w:ascii="宋体" w:hAnsi="宋体" w:eastAsia="宋体" w:cs="宋体"/>
                <w:color w:val="000000"/>
                <w:sz w:val="24"/>
                <w:szCs w:val="24"/>
                <w:highlight w:val="none"/>
                <w:lang w:eastAsia="zh-CN"/>
              </w:rPr>
              <w:t>韶关市公共资源交易一体化平</w:t>
            </w:r>
            <w:r>
              <w:rPr>
                <w:rFonts w:hint="eastAsia" w:ascii="宋体" w:hAnsi="宋体" w:eastAsia="宋体" w:cs="宋体"/>
                <w:color w:val="000000"/>
                <w:sz w:val="24"/>
                <w:szCs w:val="24"/>
                <w:highlight w:val="none"/>
                <w:lang w:val="en-US" w:eastAsia="zh-CN"/>
              </w:rPr>
              <w:t>发起收缴</w:t>
            </w:r>
            <w:r>
              <w:rPr>
                <w:rFonts w:hint="eastAsia" w:ascii="宋体" w:hAnsi="宋体" w:eastAsia="宋体" w:cs="宋体"/>
                <w:color w:val="000000"/>
                <w:sz w:val="24"/>
                <w:szCs w:val="24"/>
                <w:highlight w:val="none"/>
                <w:lang w:eastAsia="zh-CN"/>
              </w:rPr>
              <w:t>履约保证</w:t>
            </w:r>
            <w:r>
              <w:rPr>
                <w:rFonts w:hint="eastAsia" w:ascii="宋体" w:hAnsi="宋体" w:eastAsia="宋体" w:cs="宋体"/>
                <w:color w:val="000000"/>
                <w:sz w:val="24"/>
                <w:szCs w:val="24"/>
                <w:highlight w:val="none"/>
                <w:lang w:val="en-US" w:eastAsia="zh-CN"/>
              </w:rPr>
              <w:t>并填写保证金金额、缴交时限（招标人发起之日起10天内缴纳）和项目工期。收缴信息推送至中标人账号中，向中标人收缴履约保证。</w:t>
            </w:r>
          </w:p>
          <w:p>
            <w:pPr>
              <w:pStyle w:val="74"/>
              <w:ind w:firstLine="240" w:firstLineChars="1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履约保证</w:t>
            </w:r>
            <w:r>
              <w:rPr>
                <w:rFonts w:hint="eastAsia" w:ascii="宋体" w:hAnsi="宋体" w:eastAsia="宋体" w:cs="宋体"/>
                <w:color w:val="000000"/>
                <w:sz w:val="24"/>
                <w:szCs w:val="24"/>
                <w:highlight w:val="none"/>
                <w:lang w:val="en-US" w:eastAsia="zh-CN"/>
              </w:rPr>
              <w:t>的收缴及退回统一在</w:t>
            </w:r>
            <w:r>
              <w:rPr>
                <w:rFonts w:hint="eastAsia" w:ascii="宋体" w:hAnsi="宋体" w:eastAsia="宋体" w:cs="宋体"/>
                <w:color w:val="000000"/>
                <w:sz w:val="24"/>
                <w:szCs w:val="24"/>
                <w:highlight w:val="none"/>
                <w:lang w:eastAsia="zh-CN"/>
              </w:rPr>
              <w:t>韶关市公共资源交易一体化平台</w:t>
            </w:r>
            <w:r>
              <w:rPr>
                <w:rFonts w:hint="eastAsia" w:ascii="宋体" w:hAnsi="宋体" w:eastAsia="宋体" w:cs="宋体"/>
                <w:color w:val="000000"/>
                <w:sz w:val="24"/>
                <w:szCs w:val="24"/>
                <w:highlight w:val="none"/>
                <w:lang w:val="en-US" w:eastAsia="zh-CN"/>
              </w:rPr>
              <w:t>办理。</w:t>
            </w:r>
          </w:p>
          <w:p>
            <w:pPr>
              <w:pStyle w:val="74"/>
              <w:ind w:firstLine="240" w:firstLineChars="10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10</w:t>
            </w:r>
          </w:p>
        </w:tc>
        <w:tc>
          <w:tcPr>
            <w:tcW w:w="2382"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是否采用电子招标投标</w:t>
            </w:r>
          </w:p>
        </w:tc>
        <w:tc>
          <w:tcPr>
            <w:tcW w:w="6778" w:type="dxa"/>
            <w:noWrap w:val="0"/>
            <w:vAlign w:val="center"/>
          </w:tcPr>
          <w:p>
            <w:pPr>
              <w:pStyle w:val="74"/>
              <w:kinsoku w:val="0"/>
              <w:overflowPunct w:val="0"/>
              <w:jc w:val="both"/>
              <w:rPr>
                <w:rFonts w:ascii="宋体" w:hAnsi="宋体" w:cs="宋体"/>
                <w:color w:val="000000"/>
                <w:sz w:val="24"/>
                <w:szCs w:val="24"/>
                <w:highlight w:val="none"/>
                <w:lang w:eastAsia="zh-CN"/>
              </w:rPr>
            </w:pPr>
            <w:r>
              <w:rPr>
                <w:rFonts w:hint="eastAsia" w:ascii="宋体" w:hAnsi="宋体" w:eastAsia="宋体" w:cs="宋体"/>
                <w:color w:val="000000"/>
                <w:spacing w:val="-1"/>
                <w:sz w:val="24"/>
                <w:szCs w:val="24"/>
                <w:highlight w:val="none"/>
                <w:lang w:eastAsia="zh-CN"/>
              </w:rPr>
              <w:t>□</w:t>
            </w:r>
            <w:r>
              <w:rPr>
                <w:rFonts w:ascii="宋体" w:hAnsi="宋体" w:cs="宋体"/>
                <w:color w:val="000000"/>
                <w:sz w:val="24"/>
                <w:szCs w:val="24"/>
                <w:highlight w:val="none"/>
                <w:lang w:eastAsia="zh-CN"/>
              </w:rPr>
              <w:t>否</w:t>
            </w:r>
          </w:p>
          <w:p>
            <w:pPr>
              <w:pStyle w:val="74"/>
              <w:jc w:val="both"/>
              <w:rPr>
                <w:rFonts w:hint="eastAsia" w:ascii="宋体" w:hAnsi="宋体" w:eastAsia="宋体" w:cs="宋体"/>
                <w:color w:val="000000"/>
                <w:sz w:val="24"/>
                <w:szCs w:val="24"/>
                <w:highlight w:val="none"/>
                <w:lang w:eastAsia="zh-CN"/>
              </w:rPr>
            </w:pPr>
            <w:r>
              <w:rPr>
                <w:rFonts w:hint="eastAsia" w:ascii="宋体" w:hAnsi="宋体" w:eastAsia="宋体" w:cs="宋体"/>
                <w:color w:val="000000"/>
                <w:spacing w:val="1"/>
                <w:sz w:val="24"/>
                <w:szCs w:val="24"/>
                <w:highlight w:val="none"/>
                <w:lang w:eastAsia="zh-CN"/>
              </w:rPr>
              <w:t>☑</w:t>
            </w:r>
            <w:r>
              <w:rPr>
                <w:rFonts w:hint="eastAsia" w:ascii="宋体" w:hAnsi="宋体" w:eastAsia="宋体" w:cs="宋体"/>
                <w:color w:val="000000"/>
                <w:sz w:val="24"/>
                <w:szCs w:val="24"/>
                <w:highlight w:val="none"/>
                <w:lang w:eastAsia="zh-CN"/>
              </w:rPr>
              <w:t>是，具</w:t>
            </w:r>
            <w:r>
              <w:rPr>
                <w:rFonts w:hint="eastAsia" w:ascii="宋体" w:hAnsi="宋体" w:eastAsia="宋体" w:cs="宋体"/>
                <w:color w:val="000000"/>
                <w:spacing w:val="-3"/>
                <w:sz w:val="24"/>
                <w:szCs w:val="24"/>
                <w:highlight w:val="none"/>
                <w:lang w:eastAsia="zh-CN"/>
              </w:rPr>
              <w:t>体</w:t>
            </w:r>
            <w:r>
              <w:rPr>
                <w:rFonts w:hint="eastAsia" w:ascii="宋体" w:hAnsi="宋体" w:eastAsia="宋体" w:cs="宋体"/>
                <w:color w:val="000000"/>
                <w:sz w:val="24"/>
                <w:szCs w:val="24"/>
                <w:highlight w:val="none"/>
                <w:lang w:eastAsia="zh-CN"/>
              </w:rPr>
              <w:t>要</w:t>
            </w:r>
            <w:r>
              <w:rPr>
                <w:rFonts w:hint="eastAsia" w:ascii="宋体" w:hAnsi="宋体" w:eastAsia="宋体" w:cs="宋体"/>
                <w:color w:val="000000"/>
                <w:spacing w:val="-3"/>
                <w:sz w:val="24"/>
                <w:szCs w:val="24"/>
                <w:highlight w:val="none"/>
                <w:lang w:eastAsia="zh-CN"/>
              </w:rPr>
              <w:t>求</w:t>
            </w:r>
            <w:r>
              <w:rPr>
                <w:rFonts w:hint="eastAsia" w:ascii="宋体" w:hAnsi="宋体" w:eastAsia="宋体" w:cs="宋体"/>
                <w:color w:val="000000"/>
                <w:sz w:val="24"/>
                <w:szCs w:val="24"/>
                <w:highlight w:val="none"/>
                <w:lang w:eastAsia="zh-CN"/>
              </w:rPr>
              <w:t>：</w:t>
            </w:r>
          </w:p>
          <w:p>
            <w:pPr>
              <w:pStyle w:val="74"/>
              <w:ind w:firstLine="241" w:firstLineChars="100"/>
              <w:jc w:val="both"/>
              <w:rPr>
                <w:rFonts w:hint="eastAsia" w:ascii="宋体" w:hAnsi="宋体" w:eastAsia="宋体" w:cs="宋体"/>
                <w:color w:val="000000"/>
                <w:sz w:val="24"/>
                <w:szCs w:val="24"/>
                <w:highlight w:val="none"/>
                <w:lang w:eastAsia="zh-CN"/>
              </w:rPr>
            </w:pPr>
            <w:r>
              <w:rPr>
                <w:rFonts w:hint="eastAsia" w:ascii="宋体" w:hAnsi="宋体" w:eastAsia="宋体" w:cs="宋体"/>
                <w:b/>
                <w:color w:val="000000"/>
                <w:sz w:val="24"/>
                <w:szCs w:val="24"/>
                <w:highlight w:val="none"/>
                <w:u w:val="double"/>
                <w:lang w:eastAsia="zh-CN"/>
              </w:rPr>
              <w:t>在电子投标截止时间前，投标人通过全国公共资源交易平台 （广东省·韶关市）提交已加密投标文件。逾期提交的电子投标文件，全国公共资源交易平台 （广东省·韶关市）将予以拒收。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11</w:t>
            </w:r>
          </w:p>
        </w:tc>
        <w:tc>
          <w:tcPr>
            <w:tcW w:w="9160" w:type="dxa"/>
            <w:gridSpan w:val="2"/>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91" w:type="dxa"/>
            <w:noWrap w:val="0"/>
            <w:vAlign w:val="center"/>
          </w:tcPr>
          <w:p>
            <w:pPr>
              <w:pStyle w:val="74"/>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rPr>
              <w:t>.1</w:t>
            </w:r>
          </w:p>
        </w:tc>
        <w:tc>
          <w:tcPr>
            <w:tcW w:w="2382" w:type="dxa"/>
            <w:noWrap w:val="0"/>
            <w:vAlign w:val="center"/>
          </w:tcPr>
          <w:p>
            <w:pPr>
              <w:jc w:val="center"/>
              <w:rPr>
                <w:rFonts w:hint="eastAsia" w:ascii="宋体" w:hAnsi="宋体" w:cs="宋体"/>
                <w:color w:val="000000"/>
                <w:sz w:val="24"/>
                <w:szCs w:val="24"/>
                <w:highlight w:val="none"/>
              </w:rPr>
            </w:pPr>
            <w:bookmarkStart w:id="38" w:name="_Toc21265989"/>
            <w:r>
              <w:rPr>
                <w:rFonts w:hint="eastAsia" w:ascii="宋体" w:hAnsi="宋体" w:cs="宋体"/>
                <w:color w:val="000000"/>
                <w:kern w:val="0"/>
                <w:sz w:val="24"/>
                <w:szCs w:val="24"/>
                <w:highlight w:val="none"/>
              </w:rPr>
              <w:t>中标后须提交完整投标文件</w:t>
            </w:r>
            <w:bookmarkEnd w:id="38"/>
          </w:p>
        </w:tc>
        <w:tc>
          <w:tcPr>
            <w:tcW w:w="6778" w:type="dxa"/>
            <w:noWrap w:val="0"/>
            <w:vAlign w:val="center"/>
          </w:tcPr>
          <w:p>
            <w:pPr>
              <w:ind w:firstLine="240" w:firstLineChars="100"/>
              <w:rPr>
                <w:rFonts w:hint="eastAsia" w:ascii="宋体" w:hAnsi="宋体" w:cs="宋体"/>
                <w:color w:val="000000"/>
                <w:sz w:val="24"/>
                <w:szCs w:val="24"/>
                <w:highlight w:val="none"/>
              </w:rPr>
            </w:pPr>
            <w:bookmarkStart w:id="39" w:name="_Toc21265990"/>
            <w:r>
              <w:rPr>
                <w:rFonts w:hint="eastAsia" w:ascii="宋体" w:hAnsi="宋体" w:cs="宋体"/>
                <w:color w:val="000000"/>
                <w:sz w:val="24"/>
                <w:szCs w:val="24"/>
                <w:highlight w:val="none"/>
                <w:lang w:val="en-US" w:eastAsia="zh-CN"/>
              </w:rPr>
              <w:t>电子版</w:t>
            </w:r>
            <w:r>
              <w:rPr>
                <w:rFonts w:hint="eastAsia" w:ascii="宋体" w:hAnsi="宋体" w:cs="宋体"/>
                <w:color w:val="000000"/>
                <w:sz w:val="24"/>
                <w:szCs w:val="24"/>
                <w:highlight w:val="none"/>
              </w:rPr>
              <w:t>份数：</w:t>
            </w:r>
            <w:r>
              <w:rPr>
                <w:rFonts w:hint="eastAsia" w:ascii="宋体" w:hAnsi="宋体" w:cs="宋体"/>
                <w:color w:val="000000"/>
                <w:sz w:val="24"/>
                <w:szCs w:val="24"/>
                <w:highlight w:val="none"/>
                <w:u w:val="none"/>
              </w:rPr>
              <w:t>1</w:t>
            </w:r>
            <w:r>
              <w:rPr>
                <w:rFonts w:hint="eastAsia" w:ascii="宋体" w:hAnsi="宋体" w:cs="宋体"/>
                <w:color w:val="000000"/>
                <w:sz w:val="24"/>
                <w:szCs w:val="24"/>
                <w:highlight w:val="none"/>
                <w:lang w:val="en-US" w:eastAsia="zh-CN"/>
              </w:rPr>
              <w:t>份</w:t>
            </w:r>
            <w:r>
              <w:rPr>
                <w:rFonts w:hint="eastAsia" w:ascii="宋体" w:hAnsi="宋体" w:cs="宋体"/>
                <w:color w:val="000000"/>
                <w:sz w:val="24"/>
                <w:szCs w:val="24"/>
                <w:highlight w:val="none"/>
                <w:u w:val="none"/>
              </w:rPr>
              <w:t xml:space="preserve"> </w:t>
            </w:r>
            <w:r>
              <w:rPr>
                <w:rFonts w:hint="eastAsia" w:ascii="宋体" w:hAnsi="宋体" w:cs="宋体"/>
                <w:color w:val="000000"/>
                <w:sz w:val="24"/>
                <w:szCs w:val="24"/>
                <w:highlight w:val="none"/>
                <w:u w:val="none"/>
                <w:lang w:val="en-US" w:eastAsia="zh-CN"/>
              </w:rPr>
              <w:t xml:space="preserve"> </w:t>
            </w:r>
            <w:r>
              <w:rPr>
                <w:rFonts w:hint="eastAsia" w:ascii="宋体" w:hAnsi="宋体" w:cs="宋体"/>
                <w:color w:val="000000"/>
                <w:sz w:val="24"/>
                <w:szCs w:val="24"/>
                <w:highlight w:val="none"/>
              </w:rPr>
              <w:t xml:space="preserve">格式：U盘或光盘 </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要求：电子表格、Word文档等。</w:t>
            </w:r>
            <w:bookmarkEnd w:id="39"/>
          </w:p>
          <w:p>
            <w:pPr>
              <w:ind w:firstLine="240" w:firstLineChars="100"/>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eastAsia="zh-CN"/>
              </w:rPr>
              <w:t>纸质版：</w:t>
            </w:r>
            <w:r>
              <w:rPr>
                <w:rFonts w:hint="eastAsia" w:ascii="宋体" w:hAnsi="宋体" w:cs="宋体"/>
                <w:color w:val="000000"/>
                <w:sz w:val="24"/>
                <w:szCs w:val="24"/>
                <w:highlight w:val="none"/>
                <w:lang w:val="en-US" w:eastAsia="zh-CN"/>
              </w:rPr>
              <w:t>2份（一正一副）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73" w:type="dxa"/>
            <w:gridSpan w:val="2"/>
            <w:noWrap w:val="0"/>
            <w:vAlign w:val="center"/>
          </w:tcPr>
          <w:p>
            <w:pPr>
              <w:jc w:val="center"/>
              <w:rPr>
                <w:rFonts w:hint="eastAsia" w:ascii="宋体" w:hAnsi="宋体" w:cs="宋体"/>
                <w:color w:val="000000"/>
                <w:sz w:val="24"/>
                <w:szCs w:val="24"/>
                <w:highlight w:val="none"/>
              </w:rPr>
            </w:pPr>
            <w:bookmarkStart w:id="40" w:name="_Toc21265991"/>
            <w:r>
              <w:rPr>
                <w:rFonts w:hint="eastAsia" w:ascii="宋体" w:hAnsi="宋体" w:cs="宋体"/>
                <w:color w:val="000000"/>
                <w:sz w:val="24"/>
                <w:szCs w:val="24"/>
                <w:highlight w:val="none"/>
              </w:rPr>
              <w:t>未尽事宜</w:t>
            </w:r>
            <w:bookmarkEnd w:id="40"/>
          </w:p>
        </w:tc>
        <w:tc>
          <w:tcPr>
            <w:tcW w:w="6778" w:type="dxa"/>
            <w:noWrap w:val="0"/>
            <w:vAlign w:val="center"/>
          </w:tcPr>
          <w:p>
            <w:pPr>
              <w:ind w:firstLine="240" w:firstLineChars="100"/>
              <w:jc w:val="left"/>
              <w:rPr>
                <w:rFonts w:hint="eastAsia" w:ascii="宋体" w:hAnsi="宋体" w:cs="宋体"/>
                <w:color w:val="000000"/>
                <w:sz w:val="24"/>
                <w:szCs w:val="24"/>
                <w:highlight w:val="none"/>
              </w:rPr>
            </w:pPr>
            <w:bookmarkStart w:id="41" w:name="_Toc21265992"/>
            <w:r>
              <w:rPr>
                <w:rFonts w:hint="eastAsia" w:ascii="宋体" w:hAnsi="宋体" w:cs="宋体"/>
                <w:color w:val="000000"/>
                <w:sz w:val="24"/>
                <w:szCs w:val="24"/>
                <w:highlight w:val="none"/>
              </w:rPr>
              <w:t>本招标文件未尽事宜按《中华人民共和国招标投标法》、《中华人民共和国招标投标法实施条例》、《广东省实施〈中华人民共和国招标投标法〉办法》及部门规章执行。</w:t>
            </w:r>
            <w:bookmarkEnd w:id="41"/>
          </w:p>
        </w:tc>
      </w:tr>
    </w:tbl>
    <w:p>
      <w:pPr>
        <w:spacing w:line="360" w:lineRule="auto"/>
        <w:ind w:firstLine="482" w:firstLineChars="200"/>
        <w:rPr>
          <w:rFonts w:ascii="Times New Roman" w:hAnsi="Times New Roman" w:eastAsia="宋体" w:cs="Arial"/>
          <w:color w:val="000000"/>
          <w:sz w:val="24"/>
          <w:szCs w:val="28"/>
          <w:highlight w:val="none"/>
        </w:rPr>
      </w:pPr>
      <w:r>
        <w:rPr>
          <w:rFonts w:ascii="宋体" w:hAnsi="宋体"/>
          <w:b/>
          <w:bCs/>
          <w:color w:val="000000"/>
          <w:kern w:val="0"/>
          <w:sz w:val="24"/>
          <w:szCs w:val="24"/>
          <w:highlight w:val="none"/>
        </w:rPr>
        <w:br w:type="page"/>
      </w:r>
      <w:r>
        <w:rPr>
          <w:rFonts w:hint="eastAsia" w:ascii="Times New Roman" w:hAnsi="Times New Roman" w:eastAsia="宋体" w:cs="Arial"/>
          <w:color w:val="000000"/>
          <w:sz w:val="24"/>
          <w:szCs w:val="28"/>
          <w:highlight w:val="none"/>
        </w:rPr>
        <w:t>主要工艺设备清单如下：</w:t>
      </w:r>
    </w:p>
    <w:tbl>
      <w:tblPr>
        <w:tblStyle w:val="27"/>
        <w:tblW w:w="4659" w:type="pct"/>
        <w:jc w:val="center"/>
        <w:tblLayout w:type="autofit"/>
        <w:tblCellMar>
          <w:top w:w="0" w:type="dxa"/>
          <w:left w:w="108" w:type="dxa"/>
          <w:bottom w:w="0" w:type="dxa"/>
          <w:right w:w="108" w:type="dxa"/>
        </w:tblCellMar>
      </w:tblPr>
      <w:tblGrid>
        <w:gridCol w:w="851"/>
        <w:gridCol w:w="6340"/>
        <w:gridCol w:w="1463"/>
      </w:tblGrid>
      <w:tr>
        <w:tblPrEx>
          <w:tblCellMar>
            <w:top w:w="0" w:type="dxa"/>
            <w:left w:w="108" w:type="dxa"/>
            <w:bottom w:w="0" w:type="dxa"/>
            <w:right w:w="108" w:type="dxa"/>
          </w:tblCellMar>
        </w:tblPrEx>
        <w:trPr>
          <w:trHeight w:val="312" w:hRule="atLeast"/>
          <w:tblHeader/>
          <w:jc w:val="center"/>
        </w:trPr>
        <w:tc>
          <w:tcPr>
            <w:tcW w:w="492"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662"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设备名称及型号</w:t>
            </w:r>
          </w:p>
        </w:tc>
        <w:tc>
          <w:tcPr>
            <w:tcW w:w="845"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数量</w:t>
            </w:r>
            <w:r>
              <w:rPr>
                <w:rFonts w:hint="eastAsia" w:asciiTheme="minorEastAsia" w:hAnsiTheme="minorEastAsia" w:eastAsiaTheme="minorEastAsia" w:cstheme="minorEastAsia"/>
                <w:sz w:val="24"/>
                <w:szCs w:val="24"/>
                <w:lang w:eastAsia="zh-CN"/>
              </w:rPr>
              <w:t>（套）</w:t>
            </w:r>
          </w:p>
        </w:tc>
      </w:tr>
      <w:tr>
        <w:tblPrEx>
          <w:tblCellMar>
            <w:top w:w="0" w:type="dxa"/>
            <w:left w:w="108" w:type="dxa"/>
            <w:bottom w:w="0" w:type="dxa"/>
            <w:right w:w="108" w:type="dxa"/>
          </w:tblCellMar>
        </w:tblPrEx>
        <w:trPr>
          <w:trHeight w:val="312" w:hRule="atLeast"/>
          <w:tblHeader/>
          <w:jc w:val="center"/>
        </w:trPr>
        <w:tc>
          <w:tcPr>
            <w:tcW w:w="49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p>
        </w:tc>
        <w:tc>
          <w:tcPr>
            <w:tcW w:w="366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p>
        </w:tc>
        <w:tc>
          <w:tcPr>
            <w:tcW w:w="845"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366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定量给料机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配锁风阀，确保无泄漏、无扬尘</w:t>
            </w:r>
          </w:p>
        </w:tc>
        <w:tc>
          <w:tcPr>
            <w:tcW w:w="8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立式磨煤机 有效磨盘研磨中径：大于1300mm</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Q=</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0t/h</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vMerge w:val="restart"/>
            <w:tcBorders>
              <w:top w:val="nil"/>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煤磨除尘器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除尘器出口烟气流速小于等于0.35m/s</w:t>
            </w:r>
            <w:r>
              <w:rPr>
                <w:rFonts w:hint="eastAsia" w:asciiTheme="minorEastAsia" w:hAnsiTheme="minorEastAsia" w:eastAsiaTheme="minorEastAsia" w:cstheme="minorEastAsia"/>
                <w:sz w:val="24"/>
                <w:szCs w:val="24"/>
                <w:lang w:eastAsia="zh-CN"/>
              </w:rPr>
              <w:t>）</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附：螺旋给料机</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vMerge w:val="continue"/>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附：星型卸灰阀</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r>
      <w:tr>
        <w:tblPrEx>
          <w:tblCellMar>
            <w:top w:w="0" w:type="dxa"/>
            <w:left w:w="108" w:type="dxa"/>
            <w:bottom w:w="0" w:type="dxa"/>
            <w:right w:w="108" w:type="dxa"/>
          </w:tblCellMar>
        </w:tblPrEx>
        <w:trPr>
          <w:trHeight w:val="23" w:hRule="atLeast"/>
          <w:jc w:val="center"/>
        </w:trPr>
        <w:tc>
          <w:tcPr>
            <w:tcW w:w="492" w:type="pct"/>
            <w:vMerge w:val="continue"/>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附：电动振打器</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粉煤仓</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单仓容积130m</w:t>
            </w:r>
            <w:r>
              <w:rPr>
                <w:rFonts w:hint="eastAsia" w:asciiTheme="minorEastAsia" w:hAnsiTheme="minorEastAsia" w:eastAsiaTheme="minorEastAsia" w:cstheme="minorEastAsia"/>
                <w:sz w:val="24"/>
                <w:szCs w:val="24"/>
                <w:vertAlign w:val="superscript"/>
              </w:rPr>
              <w:t>3</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手动插板阀 </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防爆阀 </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电动插板阀 </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立式热风炉</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主引风机Q=38500Nm</w:t>
            </w:r>
            <w:r>
              <w:rPr>
                <w:rFonts w:hint="eastAsia" w:asciiTheme="minorEastAsia" w:hAnsiTheme="minorEastAsia" w:eastAsiaTheme="minorEastAsia" w:cstheme="minorEastAsia"/>
                <w:sz w:val="24"/>
                <w:szCs w:val="24"/>
                <w:vertAlign w:val="superscript"/>
              </w:rPr>
              <w:t>3</w:t>
            </w:r>
            <w:r>
              <w:rPr>
                <w:rFonts w:hint="eastAsia" w:asciiTheme="minorEastAsia" w:hAnsiTheme="minorEastAsia" w:eastAsiaTheme="minorEastAsia" w:cstheme="minorEastAsia"/>
                <w:sz w:val="24"/>
                <w:szCs w:val="24"/>
              </w:rPr>
              <w:t>/h，全压12670Pa</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仓式泵 V=2.5m</w:t>
            </w:r>
            <w:r>
              <w:rPr>
                <w:rFonts w:hint="eastAsia" w:asciiTheme="minorEastAsia" w:hAnsiTheme="minorEastAsia" w:eastAsiaTheme="minorEastAsia" w:cstheme="minorEastAsia"/>
                <w:sz w:val="24"/>
                <w:szCs w:val="24"/>
                <w:vertAlign w:val="superscript"/>
              </w:rPr>
              <w:t>3</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氮气储罐 5m</w:t>
            </w:r>
            <w:r>
              <w:rPr>
                <w:rFonts w:hint="eastAsia" w:asciiTheme="minorEastAsia" w:hAnsiTheme="minorEastAsia" w:eastAsiaTheme="minorEastAsia" w:cstheme="minorEastAsia"/>
                <w:sz w:val="24"/>
                <w:szCs w:val="24"/>
                <w:vertAlign w:val="superscript"/>
              </w:rPr>
              <w:t>3</w:t>
            </w:r>
            <w:r>
              <w:rPr>
                <w:rFonts w:hint="eastAsia" w:asciiTheme="minorEastAsia" w:hAnsiTheme="minorEastAsia" w:eastAsiaTheme="minorEastAsia" w:cstheme="minorEastAsia"/>
                <w:sz w:val="24"/>
                <w:szCs w:val="24"/>
              </w:rPr>
              <w:t>，1.0MPa</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366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压缩空气储罐 5m</w:t>
            </w:r>
            <w:r>
              <w:rPr>
                <w:rFonts w:hint="eastAsia" w:asciiTheme="minorEastAsia" w:hAnsiTheme="minorEastAsia" w:eastAsiaTheme="minorEastAsia" w:cstheme="minorEastAsia"/>
                <w:sz w:val="24"/>
                <w:szCs w:val="24"/>
                <w:vertAlign w:val="superscript"/>
              </w:rPr>
              <w:t>3</w:t>
            </w:r>
            <w:r>
              <w:rPr>
                <w:rFonts w:hint="eastAsia" w:asciiTheme="minorEastAsia" w:hAnsiTheme="minorEastAsia" w:eastAsiaTheme="minorEastAsia" w:cstheme="minorEastAsia"/>
                <w:sz w:val="24"/>
                <w:szCs w:val="24"/>
              </w:rPr>
              <w:t>，1.0MPa</w:t>
            </w:r>
          </w:p>
        </w:tc>
        <w:tc>
          <w:tcPr>
            <w:tcW w:w="8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366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仪表空气储罐 2m</w:t>
            </w:r>
            <w:r>
              <w:rPr>
                <w:rFonts w:hint="eastAsia" w:asciiTheme="minorEastAsia" w:hAnsiTheme="minorEastAsia" w:eastAsiaTheme="minorEastAsia" w:cstheme="minorEastAsia"/>
                <w:sz w:val="24"/>
                <w:szCs w:val="24"/>
                <w:vertAlign w:val="superscript"/>
              </w:rPr>
              <w:t>3</w:t>
            </w:r>
            <w:r>
              <w:rPr>
                <w:rFonts w:hint="eastAsia" w:asciiTheme="minorEastAsia" w:hAnsiTheme="minorEastAsia" w:eastAsiaTheme="minorEastAsia" w:cstheme="minorEastAsia"/>
                <w:sz w:val="24"/>
                <w:szCs w:val="24"/>
              </w:rPr>
              <w:t>，1.0MPa</w:t>
            </w:r>
          </w:p>
        </w:tc>
        <w:tc>
          <w:tcPr>
            <w:tcW w:w="845"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3662" w:type="pct"/>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单罐定量喷吹 V=2.5 m</w:t>
            </w:r>
            <w:r>
              <w:rPr>
                <w:rFonts w:hint="eastAsia" w:asciiTheme="minorEastAsia" w:hAnsiTheme="minorEastAsia" w:eastAsiaTheme="minorEastAsia" w:cstheme="minorEastAsia"/>
                <w:sz w:val="24"/>
                <w:szCs w:val="24"/>
                <w:vertAlign w:val="superscript"/>
              </w:rPr>
              <w:t>3</w:t>
            </w:r>
          </w:p>
        </w:tc>
        <w:tc>
          <w:tcPr>
            <w:tcW w:w="845" w:type="pct"/>
            <w:tcBorders>
              <w:top w:val="nil"/>
              <w:left w:val="nil"/>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r>
      <w:tr>
        <w:tblPrEx>
          <w:tblCellMar>
            <w:top w:w="0" w:type="dxa"/>
            <w:left w:w="108" w:type="dxa"/>
            <w:bottom w:w="0" w:type="dxa"/>
            <w:right w:w="108" w:type="dxa"/>
          </w:tblCellMar>
        </w:tblPrEx>
        <w:trPr>
          <w:trHeight w:val="23" w:hRule="atLeast"/>
          <w:jc w:val="center"/>
        </w:trPr>
        <w:tc>
          <w:tcPr>
            <w:tcW w:w="492" w:type="pct"/>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w:t>
            </w:r>
          </w:p>
        </w:tc>
        <w:tc>
          <w:tcPr>
            <w:tcW w:w="366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电动葫芦（含安装） Q=5t H=9m</w:t>
            </w:r>
          </w:p>
        </w:tc>
        <w:tc>
          <w:tcPr>
            <w:tcW w:w="84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r>
      <w:tr>
        <w:tblPrEx>
          <w:tblCellMar>
            <w:top w:w="0" w:type="dxa"/>
            <w:left w:w="108" w:type="dxa"/>
            <w:bottom w:w="0" w:type="dxa"/>
            <w:right w:w="108" w:type="dxa"/>
          </w:tblCellMar>
        </w:tblPrEx>
        <w:trPr>
          <w:trHeight w:val="23" w:hRule="atLeast"/>
          <w:jc w:val="center"/>
        </w:trPr>
        <w:tc>
          <w:tcPr>
            <w:tcW w:w="492" w:type="pct"/>
            <w:vMerge w:val="continue"/>
            <w:tcBorders>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lang w:val="en-US" w:eastAsia="zh-CN"/>
              </w:rPr>
            </w:pPr>
          </w:p>
        </w:tc>
        <w:tc>
          <w:tcPr>
            <w:tcW w:w="366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附:伞形风帽</w:t>
            </w:r>
          </w:p>
        </w:tc>
        <w:tc>
          <w:tcPr>
            <w:tcW w:w="84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tblPrEx>
          <w:tblCellMar>
            <w:top w:w="0" w:type="dxa"/>
            <w:left w:w="108" w:type="dxa"/>
            <w:bottom w:w="0" w:type="dxa"/>
            <w:right w:w="108" w:type="dxa"/>
          </w:tblCellMar>
        </w:tblPrEx>
        <w:trPr>
          <w:trHeight w:val="23" w:hRule="atLeast"/>
          <w:jc w:val="center"/>
        </w:trPr>
        <w:tc>
          <w:tcPr>
            <w:tcW w:w="492"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w:t>
            </w:r>
          </w:p>
        </w:tc>
        <w:tc>
          <w:tcPr>
            <w:tcW w:w="366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烟囱：</w:t>
            </w:r>
            <w:r>
              <w:rPr>
                <w:rFonts w:hint="eastAsia" w:asciiTheme="minorEastAsia" w:hAnsiTheme="minorEastAsia" w:eastAsiaTheme="minorEastAsia" w:cstheme="minorEastAsia"/>
                <w:sz w:val="24"/>
                <w:szCs w:val="24"/>
              </w:rPr>
              <w:t>（A3钢材质、厚度8mm、烟囱面层颜色天蓝色RAL5015）不含取样平台</w:t>
            </w:r>
          </w:p>
        </w:tc>
        <w:tc>
          <w:tcPr>
            <w:tcW w:w="84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r>
        <w:tblPrEx>
          <w:tblCellMar>
            <w:top w:w="0" w:type="dxa"/>
            <w:left w:w="108" w:type="dxa"/>
            <w:bottom w:w="0" w:type="dxa"/>
            <w:right w:w="108" w:type="dxa"/>
          </w:tblCellMar>
        </w:tblPrEx>
        <w:trPr>
          <w:trHeight w:val="23" w:hRule="atLeast"/>
          <w:jc w:val="center"/>
        </w:trPr>
        <w:tc>
          <w:tcPr>
            <w:tcW w:w="492"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w:t>
            </w:r>
          </w:p>
        </w:tc>
        <w:tc>
          <w:tcPr>
            <w:tcW w:w="366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单机除尘器：煤粉仓顶部</w:t>
            </w:r>
          </w:p>
        </w:tc>
        <w:tc>
          <w:tcPr>
            <w:tcW w:w="845"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r>
    </w:tbl>
    <w:p>
      <w:pPr>
        <w:autoSpaceDE w:val="0"/>
        <w:autoSpaceDN w:val="0"/>
        <w:adjustRightInd w:val="0"/>
        <w:spacing w:line="460" w:lineRule="exact"/>
        <w:rPr>
          <w:rFonts w:ascii="宋体" w:hAnsi="宋体"/>
          <w:b/>
          <w:bCs/>
          <w:color w:val="000000"/>
          <w:kern w:val="0"/>
          <w:sz w:val="24"/>
          <w:szCs w:val="24"/>
          <w:highlight w:val="none"/>
        </w:rPr>
      </w:pPr>
    </w:p>
    <w:p>
      <w:pPr>
        <w:autoSpaceDE w:val="0"/>
        <w:autoSpaceDN w:val="0"/>
        <w:adjustRightInd w:val="0"/>
        <w:spacing w:line="460" w:lineRule="exact"/>
        <w:rPr>
          <w:rFonts w:hint="eastAsia" w:ascii="宋体" w:hAnsi="宋体" w:cs="宋体"/>
          <w:b/>
          <w:bCs/>
          <w:color w:val="000000"/>
          <w:kern w:val="0"/>
          <w:sz w:val="24"/>
          <w:szCs w:val="24"/>
          <w:highlight w:val="none"/>
        </w:rPr>
      </w:pPr>
      <w:r>
        <w:rPr>
          <w:rFonts w:ascii="宋体" w:hAnsi="宋体"/>
          <w:b/>
          <w:bCs/>
          <w:color w:val="000000"/>
          <w:kern w:val="0"/>
          <w:sz w:val="24"/>
          <w:szCs w:val="24"/>
          <w:highlight w:val="none"/>
        </w:rPr>
        <w:br w:type="page"/>
      </w:r>
      <w:bookmarkStart w:id="42" w:name="_Toc12199_WPSOffice_Level2"/>
      <w:bookmarkStart w:id="43" w:name="_Toc260744674"/>
      <w:bookmarkStart w:id="44" w:name="_Toc216346042"/>
      <w:bookmarkStart w:id="45" w:name="_Toc202697109"/>
      <w:bookmarkStart w:id="46" w:name="_Toc469471988"/>
      <w:r>
        <w:rPr>
          <w:rFonts w:hint="eastAsia" w:ascii="宋体" w:hAnsi="宋体" w:cs="宋体"/>
          <w:b/>
          <w:bCs/>
          <w:color w:val="000000"/>
          <w:kern w:val="0"/>
          <w:sz w:val="24"/>
          <w:szCs w:val="24"/>
          <w:highlight w:val="none"/>
        </w:rPr>
        <w:t>1.总则</w:t>
      </w:r>
      <w:bookmarkEnd w:id="42"/>
    </w:p>
    <w:p>
      <w:pPr>
        <w:autoSpaceDE w:val="0"/>
        <w:autoSpaceDN w:val="0"/>
        <w:adjustRightInd w:val="0"/>
        <w:spacing w:line="460" w:lineRule="exact"/>
        <w:jc w:val="left"/>
        <w:rPr>
          <w:rFonts w:hint="eastAsia" w:ascii="宋体" w:hAnsi="宋体" w:cs="宋体"/>
          <w:b/>
          <w:bCs/>
          <w:color w:val="000000"/>
          <w:kern w:val="0"/>
          <w:sz w:val="24"/>
          <w:szCs w:val="24"/>
          <w:highlight w:val="none"/>
        </w:rPr>
      </w:pPr>
      <w:bookmarkStart w:id="47" w:name="_bookmark21"/>
      <w:bookmarkEnd w:id="47"/>
      <w:r>
        <w:rPr>
          <w:rFonts w:hint="eastAsia" w:ascii="宋体" w:hAnsi="宋体" w:cs="宋体"/>
          <w:b/>
          <w:bCs/>
          <w:color w:val="000000"/>
          <w:kern w:val="0"/>
          <w:sz w:val="24"/>
          <w:szCs w:val="24"/>
          <w:highlight w:val="none"/>
        </w:rPr>
        <w:t>1.1 招标项目概况</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1.1.1 根据《中华人民共和国招标投标法》、《中华人民共和国招标投标法实施条例》等有关法律、法规和规章的规定，本招标项目已具备招标条件，现对</w:t>
      </w:r>
      <w:r>
        <w:rPr>
          <w:rFonts w:hint="eastAsia" w:ascii="宋体" w:hAnsi="宋体" w:cs="宋体"/>
          <w:color w:val="000000"/>
          <w:kern w:val="0"/>
          <w:sz w:val="24"/>
          <w:szCs w:val="24"/>
          <w:highlight w:val="none"/>
          <w:lang w:val="en-US" w:eastAsia="zh-CN"/>
        </w:rPr>
        <w:t>工艺设备采购</w:t>
      </w:r>
      <w:r>
        <w:rPr>
          <w:rFonts w:hint="eastAsia" w:ascii="宋体" w:hAnsi="宋体" w:cs="宋体"/>
          <w:color w:val="000000"/>
          <w:kern w:val="0"/>
          <w:sz w:val="24"/>
          <w:szCs w:val="24"/>
          <w:highlight w:val="none"/>
        </w:rPr>
        <w:t>进行招标。</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1.1.2 招标人：见投标人须知前附表。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1.1.3 招标代理机构：见投标人须知前附表。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1.1.4 招标项目名称：见投标人须知前附表。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1.1.5 项目建设地点：见投标人须知前附表。</w:t>
      </w:r>
    </w:p>
    <w:p>
      <w:pPr>
        <w:autoSpaceDE w:val="0"/>
        <w:autoSpaceDN w:val="0"/>
        <w:adjustRightInd w:val="0"/>
        <w:spacing w:line="460" w:lineRule="exact"/>
        <w:jc w:val="left"/>
        <w:rPr>
          <w:rFonts w:hint="eastAsia" w:ascii="宋体" w:hAnsi="宋体" w:cs="宋体"/>
          <w:b/>
          <w:bCs/>
          <w:color w:val="000000"/>
          <w:kern w:val="0"/>
          <w:sz w:val="24"/>
          <w:szCs w:val="24"/>
          <w:highlight w:val="none"/>
        </w:rPr>
      </w:pPr>
      <w:bookmarkStart w:id="48" w:name="_bookmark22"/>
      <w:bookmarkEnd w:id="48"/>
      <w:r>
        <w:rPr>
          <w:rFonts w:hint="eastAsia" w:ascii="宋体" w:hAnsi="宋体" w:cs="宋体"/>
          <w:b/>
          <w:bCs/>
          <w:color w:val="000000"/>
          <w:kern w:val="0"/>
          <w:sz w:val="24"/>
          <w:szCs w:val="24"/>
          <w:highlight w:val="none"/>
        </w:rPr>
        <w:t>1.2 招标项目的资金来源和落实情况</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1.2.1 资金来源及比例：见投标人须知前附表。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1.2.2 资金落实情况：见投标人须知前附表。</w:t>
      </w:r>
    </w:p>
    <w:p>
      <w:pPr>
        <w:autoSpaceDE w:val="0"/>
        <w:autoSpaceDN w:val="0"/>
        <w:adjustRightInd w:val="0"/>
        <w:spacing w:line="460" w:lineRule="exact"/>
        <w:jc w:val="left"/>
        <w:rPr>
          <w:rFonts w:hint="eastAsia" w:ascii="宋体" w:hAnsi="宋体" w:cs="宋体"/>
          <w:b/>
          <w:bCs/>
          <w:color w:val="000000"/>
          <w:kern w:val="0"/>
          <w:sz w:val="24"/>
          <w:szCs w:val="24"/>
          <w:highlight w:val="none"/>
        </w:rPr>
      </w:pPr>
      <w:bookmarkStart w:id="49" w:name="_bookmark23"/>
      <w:bookmarkEnd w:id="49"/>
      <w:r>
        <w:rPr>
          <w:rFonts w:hint="eastAsia" w:ascii="宋体" w:hAnsi="宋体" w:cs="宋体"/>
          <w:b/>
          <w:bCs/>
          <w:color w:val="000000"/>
          <w:kern w:val="0"/>
          <w:sz w:val="24"/>
          <w:szCs w:val="24"/>
          <w:highlight w:val="none"/>
        </w:rPr>
        <w:t>1.3 招标范围、</w:t>
      </w:r>
      <w:r>
        <w:rPr>
          <w:rFonts w:hint="eastAsia" w:ascii="宋体" w:hAnsi="宋体" w:cs="宋体"/>
          <w:b/>
          <w:bCs/>
          <w:color w:val="000000"/>
          <w:kern w:val="0"/>
          <w:sz w:val="24"/>
          <w:szCs w:val="24"/>
          <w:highlight w:val="none"/>
          <w:lang w:val="en-US" w:eastAsia="zh-CN"/>
        </w:rPr>
        <w:t>交货期</w:t>
      </w:r>
      <w:r>
        <w:rPr>
          <w:rFonts w:hint="eastAsia" w:ascii="宋体" w:hAnsi="宋体" w:cs="宋体"/>
          <w:b/>
          <w:bCs/>
          <w:color w:val="000000"/>
          <w:kern w:val="0"/>
          <w:sz w:val="24"/>
          <w:szCs w:val="24"/>
          <w:highlight w:val="none"/>
        </w:rPr>
        <w:t>和质量标准</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1.3.1 招标范围：见投标人须知前附表。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 xml:space="preserve">1.3.2 </w:t>
      </w:r>
      <w:r>
        <w:rPr>
          <w:rFonts w:hint="eastAsia" w:ascii="宋体" w:hAnsi="宋体" w:cs="宋体"/>
          <w:color w:val="000000"/>
          <w:kern w:val="0"/>
          <w:sz w:val="24"/>
          <w:szCs w:val="24"/>
          <w:highlight w:val="none"/>
          <w:lang w:val="en-US" w:eastAsia="zh-CN"/>
        </w:rPr>
        <w:t>交货期</w:t>
      </w:r>
      <w:r>
        <w:rPr>
          <w:rFonts w:hint="eastAsia" w:ascii="宋体" w:hAnsi="宋体" w:cs="宋体"/>
          <w:color w:val="000000"/>
          <w:kern w:val="0"/>
          <w:sz w:val="24"/>
          <w:szCs w:val="24"/>
          <w:highlight w:val="none"/>
        </w:rPr>
        <w:t>：见投标人须知前附表。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 xml:space="preserve">1.3.3 </w:t>
      </w:r>
      <w:r>
        <w:rPr>
          <w:rFonts w:hint="eastAsia" w:ascii="宋体" w:hAnsi="宋体" w:cs="宋体"/>
          <w:color w:val="000000"/>
          <w:kern w:val="0"/>
          <w:sz w:val="24"/>
          <w:szCs w:val="24"/>
          <w:highlight w:val="none"/>
          <w:lang w:val="en-US" w:eastAsia="zh-CN"/>
        </w:rPr>
        <w:t>质量保证期</w:t>
      </w:r>
      <w:r>
        <w:rPr>
          <w:rFonts w:hint="eastAsia" w:ascii="宋体" w:hAnsi="宋体" w:cs="宋体"/>
          <w:color w:val="000000"/>
          <w:kern w:val="0"/>
          <w:sz w:val="24"/>
          <w:szCs w:val="24"/>
          <w:highlight w:val="none"/>
        </w:rPr>
        <w:t>：见投标人须知前附表。</w:t>
      </w:r>
    </w:p>
    <w:p>
      <w:pPr>
        <w:autoSpaceDE w:val="0"/>
        <w:autoSpaceDN w:val="0"/>
        <w:adjustRightInd w:val="0"/>
        <w:spacing w:line="460" w:lineRule="exact"/>
        <w:jc w:val="left"/>
        <w:rPr>
          <w:rFonts w:hint="eastAsia" w:ascii="宋体" w:hAnsi="宋体" w:cs="宋体"/>
          <w:b/>
          <w:bCs/>
          <w:color w:val="000000"/>
          <w:kern w:val="0"/>
          <w:sz w:val="24"/>
          <w:szCs w:val="24"/>
          <w:highlight w:val="none"/>
        </w:rPr>
      </w:pPr>
      <w:bookmarkStart w:id="50" w:name="_bookmark24"/>
      <w:bookmarkEnd w:id="50"/>
      <w:r>
        <w:rPr>
          <w:rFonts w:hint="eastAsia" w:ascii="宋体" w:hAnsi="宋体" w:cs="宋体"/>
          <w:b/>
          <w:bCs/>
          <w:color w:val="000000"/>
          <w:kern w:val="0"/>
          <w:sz w:val="24"/>
          <w:szCs w:val="24"/>
          <w:highlight w:val="none"/>
        </w:rPr>
        <w:t>1.4 投标人资格要求</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bookmarkStart w:id="51" w:name="_bookmark25"/>
      <w:bookmarkEnd w:id="51"/>
      <w:r>
        <w:rPr>
          <w:rFonts w:hint="eastAsia" w:ascii="宋体" w:hAnsi="宋体" w:cs="宋体"/>
          <w:color w:val="000000"/>
          <w:kern w:val="0"/>
          <w:sz w:val="24"/>
          <w:szCs w:val="24"/>
          <w:highlight w:val="none"/>
        </w:rPr>
        <w:t>1.4.1 投标人应具备承担本招标项目资质条件、能力和信誉：</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（1）资质要求：见投标人须知前附表；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（2）财务要求：见投标人须知前附表；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（3）业绩要求：见投标人须知前附表；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（4）信誉要求：见投标人须知前附表；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w:t>
      </w:r>
      <w:r>
        <w:rPr>
          <w:rFonts w:hint="eastAsia" w:ascii="宋体" w:hAnsi="宋体" w:cs="宋体"/>
          <w:color w:val="000000"/>
          <w:kern w:val="0"/>
          <w:sz w:val="24"/>
          <w:szCs w:val="24"/>
          <w:highlight w:val="none"/>
          <w:lang w:val="en-US" w:eastAsia="zh-CN"/>
        </w:rPr>
        <w:t>5</w:t>
      </w:r>
      <w:r>
        <w:rPr>
          <w:rFonts w:hint="eastAsia" w:ascii="宋体" w:hAnsi="宋体" w:cs="宋体"/>
          <w:color w:val="000000"/>
          <w:kern w:val="0"/>
          <w:sz w:val="24"/>
          <w:szCs w:val="24"/>
          <w:highlight w:val="none"/>
        </w:rPr>
        <w:t>）其他要求：见投标人须知前附表。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1.4.2 投标人须知前附表规定接受联合体投标的，联合体除应符合本章第 1.4.1项和投标人须知前附表的要求外，还应遵守以下规定：</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（1）联合体各方应按招标文件提供的格式签订联合体协议书，明确联合体牵头人和各方权利义务，并承诺就中标项目向招标人承担连带责任；</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（2）由同一专业的单位组成的联合体，按照资质等级较低的单位确定资质等级；</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（3）联合体各方不得再以自己名义单独或参加其他联合体在本招标项目中投标，否则各相关投标均无效。</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1.4.3 投标人不得存在下列情形之一：</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（1）与招标人存在利害关系且可能影响招标公正性；</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（2）与本招标项目的其他投标人为同一个单位负责人；</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（3）与本招标项目的其他投标人存在控股、管理关系；</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（4）与本招标项目其他投标人代理同一个制造商同一品牌同一型号的设备投标；</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（5）为本招标项目提供过设计、编制技术规范和其他文件的咨询服务；</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（6）为本工程项目的相关监理人，或者与本工程项目的相关监理人存在隶属关系或者其他利害关系；</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（7）为本招标项目的代建人；</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（8）为本招标项目的招标代理机构；</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（9）与本招标项目的监理人或代建人或招标代理机构同为一个法定代表人；</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（10）与本招标项目的监理人或代建人或招标代理机构存在控股或参股关系；</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（11）被依法暂停或者取消投标资格；</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（12）被责令停产停业、暂扣或者吊销许可证、暂扣或者吊销执照；</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（13）进入清算程序，或被宣告破产，或其他丧失履约能力的情形；</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（14）在最近三年内发生重大产品质量问题（以相关行业主管部门的行政处罚决定或司法机关出具的有关法律文书为准）；</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（15）被工商行政管理机关在全国企业信用信息公示系统中列入严重违法失信企业名单；</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（16）“信用中国”网站（https：//www.creditchina.gov.cn）发布的《法人和非法人组织公共信用信息报告》列入严重失信主体名单的；</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（17）法律法规或投标人须知前附表规定的其他情形。</w:t>
      </w:r>
    </w:p>
    <w:p>
      <w:pPr>
        <w:autoSpaceDE w:val="0"/>
        <w:autoSpaceDN w:val="0"/>
        <w:adjustRightInd w:val="0"/>
        <w:spacing w:line="460" w:lineRule="exact"/>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color w:val="000000"/>
          <w:kern w:val="0"/>
          <w:sz w:val="24"/>
          <w:szCs w:val="24"/>
          <w:highlight w:val="none"/>
          <w:lang w:val="en-US" w:eastAsia="zh-CN"/>
        </w:rPr>
        <w:t xml:space="preserve">1.4.4 </w:t>
      </w:r>
      <w:r>
        <w:rPr>
          <w:rFonts w:hint="eastAsia" w:ascii="宋体" w:hAnsi="宋体" w:cs="宋体"/>
          <w:snapToGrid w:val="0"/>
          <w:color w:val="auto"/>
          <w:kern w:val="0"/>
          <w:sz w:val="24"/>
          <w:szCs w:val="24"/>
          <w:highlight w:val="none"/>
        </w:rPr>
        <w:t>招标人拒绝以下名单中的单位参加本次投标：</w:t>
      </w:r>
    </w:p>
    <w:tbl>
      <w:tblPr>
        <w:tblStyle w:val="27"/>
        <w:tblW w:w="5056" w:type="pct"/>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4174"/>
        <w:gridCol w:w="4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6" w:type="dxa"/>
            <w:noWrap w:val="0"/>
            <w:vAlign w:val="center"/>
          </w:tcPr>
          <w:p>
            <w:pPr>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序号</w:t>
            </w:r>
          </w:p>
        </w:tc>
        <w:tc>
          <w:tcPr>
            <w:tcW w:w="4174" w:type="dxa"/>
            <w:noWrap w:val="0"/>
            <w:vAlign w:val="center"/>
          </w:tcPr>
          <w:p>
            <w:pPr>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单位名称</w:t>
            </w:r>
          </w:p>
        </w:tc>
        <w:tc>
          <w:tcPr>
            <w:tcW w:w="4362" w:type="dxa"/>
            <w:noWrap w:val="0"/>
            <w:vAlign w:val="center"/>
          </w:tcPr>
          <w:p>
            <w:pPr>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6"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rPr>
              <w:t>1</w:t>
            </w:r>
          </w:p>
        </w:tc>
        <w:tc>
          <w:tcPr>
            <w:tcW w:w="4174"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深圳市中金岭南有色金属股份有限公司韶关冶炼厂</w:t>
            </w:r>
          </w:p>
        </w:tc>
        <w:tc>
          <w:tcPr>
            <w:tcW w:w="4362"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kern w:val="0"/>
                <w:sz w:val="24"/>
                <w:szCs w:val="24"/>
                <w:highlight w:val="none"/>
              </w:rPr>
              <w:t>为本招标项目的项目业主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6"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rPr>
              <w:t>2</w:t>
            </w:r>
          </w:p>
        </w:tc>
        <w:tc>
          <w:tcPr>
            <w:tcW w:w="4174"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广东中金岭南工程技术有限公司</w:t>
            </w:r>
          </w:p>
        </w:tc>
        <w:tc>
          <w:tcPr>
            <w:tcW w:w="4362"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6"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kern w:val="2"/>
                <w:sz w:val="24"/>
                <w:szCs w:val="24"/>
                <w:highlight w:val="none"/>
              </w:rPr>
            </w:pPr>
            <w:r>
              <w:rPr>
                <w:rFonts w:hint="eastAsia" w:ascii="宋体" w:hAnsi="宋体" w:eastAsia="宋体" w:cs="宋体"/>
                <w:snapToGrid w:val="0"/>
                <w:color w:val="auto"/>
                <w:kern w:val="0"/>
                <w:sz w:val="24"/>
                <w:szCs w:val="24"/>
                <w:highlight w:val="none"/>
                <w:lang w:val="en-US" w:eastAsia="zh-CN"/>
              </w:rPr>
              <w:t>3</w:t>
            </w:r>
          </w:p>
        </w:tc>
        <w:tc>
          <w:tcPr>
            <w:tcW w:w="4174" w:type="dxa"/>
            <w:noWrap w:val="0"/>
            <w:vAlign w:val="center"/>
          </w:tcPr>
          <w:p>
            <w:pPr>
              <w:keepNext w:val="0"/>
              <w:keepLines w:val="0"/>
              <w:pageBreakBefore w:val="0"/>
              <w:wordWrap w:val="0"/>
              <w:overflowPunct/>
              <w:topLinePunct w:val="0"/>
              <w:bidi w:val="0"/>
              <w:adjustRightInd w:val="0"/>
              <w:snapToGrid w:val="0"/>
              <w:spacing w:line="240" w:lineRule="auto"/>
              <w:ind w:left="0" w:leftChars="0" w:right="0" w:right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广东省国际工程咨询有限公司</w:t>
            </w:r>
          </w:p>
        </w:tc>
        <w:tc>
          <w:tcPr>
            <w:tcW w:w="4362"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为本招标项目的招标代理机构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6"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w:t>
            </w:r>
          </w:p>
        </w:tc>
        <w:tc>
          <w:tcPr>
            <w:tcW w:w="4174" w:type="dxa"/>
            <w:noWrap w:val="0"/>
            <w:vAlign w:val="center"/>
          </w:tcPr>
          <w:p>
            <w:pPr>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中国恩菲工程技术有限公司</w:t>
            </w:r>
          </w:p>
        </w:tc>
        <w:tc>
          <w:tcPr>
            <w:tcW w:w="4362" w:type="dxa"/>
            <w:noWrap w:val="0"/>
            <w:vAlign w:val="center"/>
          </w:tcPr>
          <w:p>
            <w:pPr>
              <w:pStyle w:val="79"/>
              <w:keepNext w:val="0"/>
              <w:keepLines w:val="0"/>
              <w:pageBreakBefore w:val="0"/>
              <w:wordWrap w:val="0"/>
              <w:overflowPunct/>
              <w:topLinePunct w:val="0"/>
              <w:bidi w:val="0"/>
              <w:adjustRightInd w:val="0"/>
              <w:snapToGrid w:val="0"/>
              <w:spacing w:line="240" w:lineRule="auto"/>
              <w:ind w:left="0" w:leftChars="0" w:right="0" w:rightChars="0"/>
              <w:jc w:val="center"/>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为本招标项目的设计单位</w:t>
            </w:r>
          </w:p>
        </w:tc>
      </w:tr>
    </w:tbl>
    <w:p>
      <w:pPr>
        <w:autoSpaceDE w:val="0"/>
        <w:autoSpaceDN w:val="0"/>
        <w:adjustRightInd w:val="0"/>
        <w:spacing w:line="46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1.5 费用承担</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bookmarkStart w:id="52" w:name="_bookmark26"/>
      <w:bookmarkEnd w:id="52"/>
      <w:r>
        <w:rPr>
          <w:rFonts w:hint="eastAsia" w:ascii="宋体" w:hAnsi="宋体" w:cs="宋体"/>
          <w:color w:val="000000"/>
          <w:kern w:val="0"/>
          <w:sz w:val="24"/>
          <w:szCs w:val="24"/>
          <w:highlight w:val="none"/>
        </w:rPr>
        <w:t>1.5.1 投标人准备和参加投标活动发生的费用自理。</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1.5.2 其他费用：见投标人须知前附表。</w:t>
      </w:r>
    </w:p>
    <w:p>
      <w:pPr>
        <w:autoSpaceDE w:val="0"/>
        <w:autoSpaceDN w:val="0"/>
        <w:adjustRightInd w:val="0"/>
        <w:spacing w:line="46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1.6 保密</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1.6.1 参与招标投标活动的各方应对招标文件和投标文件中的商业和技术等秘密保密，否则应承担相应的法律责任。</w:t>
      </w:r>
    </w:p>
    <w:p>
      <w:pPr>
        <w:autoSpaceDE w:val="0"/>
        <w:autoSpaceDN w:val="0"/>
        <w:adjustRightInd w:val="0"/>
        <w:spacing w:line="460" w:lineRule="exact"/>
        <w:jc w:val="left"/>
        <w:rPr>
          <w:rFonts w:hint="eastAsia" w:ascii="宋体" w:hAnsi="宋体" w:cs="宋体"/>
          <w:b/>
          <w:bCs/>
          <w:color w:val="000000"/>
          <w:kern w:val="0"/>
          <w:sz w:val="24"/>
          <w:szCs w:val="24"/>
          <w:highlight w:val="none"/>
        </w:rPr>
      </w:pPr>
      <w:bookmarkStart w:id="53" w:name="_bookmark27"/>
      <w:bookmarkEnd w:id="53"/>
      <w:r>
        <w:rPr>
          <w:rFonts w:hint="eastAsia" w:ascii="宋体" w:hAnsi="宋体" w:cs="宋体"/>
          <w:b/>
          <w:bCs/>
          <w:color w:val="000000"/>
          <w:kern w:val="0"/>
          <w:sz w:val="24"/>
          <w:szCs w:val="24"/>
          <w:highlight w:val="none"/>
        </w:rPr>
        <w:t>1.7 语言文字</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1.7.1 招标投标文件使用的语言文字为中文。专用术语使用外文的，应附有中文注释。</w:t>
      </w:r>
    </w:p>
    <w:p>
      <w:pPr>
        <w:autoSpaceDE w:val="0"/>
        <w:autoSpaceDN w:val="0"/>
        <w:adjustRightInd w:val="0"/>
        <w:spacing w:line="460" w:lineRule="exact"/>
        <w:jc w:val="left"/>
        <w:rPr>
          <w:rFonts w:hint="eastAsia" w:ascii="宋体" w:hAnsi="宋体" w:cs="宋体"/>
          <w:b/>
          <w:bCs/>
          <w:color w:val="000000"/>
          <w:kern w:val="0"/>
          <w:sz w:val="24"/>
          <w:szCs w:val="24"/>
          <w:highlight w:val="none"/>
        </w:rPr>
      </w:pPr>
      <w:bookmarkStart w:id="54" w:name="_bookmark28"/>
      <w:bookmarkEnd w:id="54"/>
      <w:r>
        <w:rPr>
          <w:rFonts w:hint="eastAsia" w:ascii="宋体" w:hAnsi="宋体" w:cs="宋体"/>
          <w:b/>
          <w:bCs/>
          <w:color w:val="000000"/>
          <w:kern w:val="0"/>
          <w:sz w:val="24"/>
          <w:szCs w:val="24"/>
          <w:highlight w:val="none"/>
        </w:rPr>
        <w:t>1.8 计量单位</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1.8.1 所有计量均采用中华人民共和国法定计量单位。</w:t>
      </w:r>
    </w:p>
    <w:p>
      <w:pPr>
        <w:autoSpaceDE w:val="0"/>
        <w:autoSpaceDN w:val="0"/>
        <w:adjustRightInd w:val="0"/>
        <w:spacing w:line="460" w:lineRule="exact"/>
        <w:jc w:val="left"/>
        <w:rPr>
          <w:rFonts w:hint="eastAsia" w:ascii="宋体" w:hAnsi="宋体" w:cs="宋体"/>
          <w:b/>
          <w:bCs/>
          <w:color w:val="000000"/>
          <w:kern w:val="0"/>
          <w:sz w:val="24"/>
          <w:szCs w:val="24"/>
          <w:highlight w:val="none"/>
        </w:rPr>
      </w:pPr>
      <w:bookmarkStart w:id="55" w:name="_bookmark29"/>
      <w:bookmarkEnd w:id="55"/>
      <w:r>
        <w:rPr>
          <w:rFonts w:hint="eastAsia" w:ascii="宋体" w:hAnsi="宋体" w:cs="宋体"/>
          <w:b/>
          <w:bCs/>
          <w:color w:val="000000"/>
          <w:kern w:val="0"/>
          <w:sz w:val="24"/>
          <w:szCs w:val="24"/>
          <w:highlight w:val="none"/>
        </w:rPr>
        <w:t>1.9 踏勘现场</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1.9.1 投标人须知前附表规定组织踏勘现场的，招标人按投标人须知前附表规定的时间、地点组织投标人踏勘项目现场。部分投标人未按时参加踏勘现场的，不影响踏勘现场的正常进行。</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1.9.2 投标人踏勘现场发生的费用自理。</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1.9.3 除招标人的原因外，投标人自行负责在踏勘现场中所发生的人员伤亡和财产损失。</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1.9.4 招标人在踏勘现场中介绍的工程场地和相关的周边环境情况，供投标人在编制投标文件时参考，招标人不对投标人据此作出的判断和决策负责。</w:t>
      </w:r>
    </w:p>
    <w:p>
      <w:pPr>
        <w:autoSpaceDE w:val="0"/>
        <w:autoSpaceDN w:val="0"/>
        <w:adjustRightInd w:val="0"/>
        <w:spacing w:line="460" w:lineRule="exact"/>
        <w:jc w:val="left"/>
        <w:rPr>
          <w:rFonts w:hint="eastAsia" w:ascii="宋体" w:hAnsi="宋体" w:cs="宋体"/>
          <w:b/>
          <w:bCs/>
          <w:color w:val="000000"/>
          <w:kern w:val="0"/>
          <w:sz w:val="24"/>
          <w:szCs w:val="24"/>
          <w:highlight w:val="none"/>
        </w:rPr>
      </w:pPr>
      <w:bookmarkStart w:id="56" w:name="_bookmark30"/>
      <w:bookmarkEnd w:id="56"/>
      <w:r>
        <w:rPr>
          <w:rFonts w:hint="eastAsia" w:ascii="宋体" w:hAnsi="宋体" w:cs="宋体"/>
          <w:b/>
          <w:bCs/>
          <w:color w:val="000000"/>
          <w:kern w:val="0"/>
          <w:sz w:val="24"/>
          <w:szCs w:val="24"/>
          <w:highlight w:val="none"/>
        </w:rPr>
        <w:t>1.10 投标预备会</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bookmarkStart w:id="57" w:name="_bookmark32"/>
      <w:bookmarkEnd w:id="57"/>
      <w:r>
        <w:rPr>
          <w:rFonts w:hint="eastAsia" w:ascii="宋体" w:hAnsi="宋体" w:cs="宋体"/>
          <w:color w:val="000000"/>
          <w:kern w:val="0"/>
          <w:sz w:val="24"/>
          <w:szCs w:val="24"/>
          <w:highlight w:val="none"/>
        </w:rPr>
        <w:t>1.10.1 投标人须知前附表规定召开投标预备会的，招标人按投标人须知前附表规定的时间和地点召开投标预备会，澄清投标人提出的问题。</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1.10.2 投标人应按投标人须知前附表规定的时间和形式将提出的问题送达招标人，以便招标人在会议期间澄清。</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1.10.3 投标预备会后，招标人将对投标人所提问题的澄清，以投标人须知前附表规定的形式通知所有购买招标文件的投标人。该澄清内容为招标文件的组成部分。</w:t>
      </w:r>
    </w:p>
    <w:p>
      <w:pPr>
        <w:adjustRightInd w:val="0"/>
        <w:snapToGrid w:val="0"/>
        <w:spacing w:line="460" w:lineRule="exact"/>
        <w:rPr>
          <w:rFonts w:hint="eastAsia" w:ascii="宋体" w:hAnsi="宋体" w:cs="宋体"/>
          <w:color w:val="000000"/>
          <w:sz w:val="24"/>
          <w:szCs w:val="24"/>
          <w:highlight w:val="none"/>
        </w:rPr>
      </w:pPr>
      <w:r>
        <w:rPr>
          <w:rFonts w:hint="eastAsia" w:ascii="宋体" w:hAnsi="宋体" w:cs="宋体"/>
          <w:b/>
          <w:color w:val="000000"/>
          <w:sz w:val="24"/>
          <w:szCs w:val="24"/>
          <w:highlight w:val="none"/>
        </w:rPr>
        <w:t>1.11 分包</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本项目不允许分包。</w:t>
      </w:r>
    </w:p>
    <w:p>
      <w:pPr>
        <w:adjustRightInd w:val="0"/>
        <w:snapToGrid w:val="0"/>
        <w:spacing w:line="460" w:lineRule="exact"/>
        <w:rPr>
          <w:rFonts w:hint="eastAsia" w:ascii="宋体" w:hAnsi="宋体" w:cs="宋体"/>
          <w:color w:val="000000"/>
          <w:sz w:val="24"/>
          <w:szCs w:val="24"/>
          <w:highlight w:val="none"/>
        </w:rPr>
      </w:pPr>
      <w:r>
        <w:rPr>
          <w:rFonts w:hint="eastAsia" w:ascii="宋体" w:hAnsi="宋体" w:cs="宋体"/>
          <w:b/>
          <w:color w:val="000000"/>
          <w:sz w:val="24"/>
          <w:szCs w:val="24"/>
          <w:highlight w:val="none"/>
        </w:rPr>
        <w:t>1.12 偏离</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1.12.2 投标人应根据招标文件的要求提供投标</w:t>
      </w:r>
      <w:r>
        <w:rPr>
          <w:rFonts w:hint="eastAsia" w:ascii="宋体" w:hAnsi="宋体" w:cs="宋体"/>
          <w:color w:val="000000"/>
          <w:kern w:val="0"/>
          <w:sz w:val="24"/>
          <w:szCs w:val="24"/>
          <w:highlight w:val="none"/>
          <w:lang w:val="en-US" w:eastAsia="zh-CN"/>
        </w:rPr>
        <w:t>技术方案</w:t>
      </w:r>
      <w:r>
        <w:rPr>
          <w:rFonts w:hint="eastAsia" w:ascii="宋体" w:hAnsi="宋体" w:cs="宋体"/>
          <w:color w:val="000000"/>
          <w:kern w:val="0"/>
          <w:sz w:val="24"/>
          <w:szCs w:val="24"/>
          <w:highlight w:val="none"/>
        </w:rPr>
        <w:t>等内容以对招标文件作出响应。</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1.12.3 投标人须知前附表允许投标文件偏离招标文件某些要求的，偏差应当符合招标文件规定的偏差范围和幅度。</w:t>
      </w:r>
    </w:p>
    <w:p>
      <w:pPr>
        <w:autoSpaceDE w:val="0"/>
        <w:autoSpaceDN w:val="0"/>
        <w:adjustRightInd w:val="0"/>
        <w:spacing w:line="46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2．招标文件的组成、澄清和修改</w:t>
      </w:r>
      <w:bookmarkEnd w:id="43"/>
      <w:bookmarkEnd w:id="44"/>
      <w:bookmarkEnd w:id="45"/>
      <w:bookmarkEnd w:id="46"/>
    </w:p>
    <w:p>
      <w:pPr>
        <w:keepNext w:val="0"/>
        <w:keepLines w:val="0"/>
        <w:pageBreakBefore w:val="0"/>
        <w:widowControl w:val="0"/>
        <w:kinsoku/>
        <w:wordWrap/>
        <w:overflowPunct/>
        <w:topLinePunct w:val="0"/>
        <w:autoSpaceDE w:val="0"/>
        <w:autoSpaceDN w:val="0"/>
        <w:bidi w:val="0"/>
        <w:adjustRightInd w:val="0"/>
        <w:snapToGrid/>
        <w:spacing w:line="460" w:lineRule="exact"/>
        <w:ind w:right="5625"/>
        <w:jc w:val="left"/>
        <w:textAlignment w:val="auto"/>
        <w:rPr>
          <w:rFonts w:hint="eastAsia" w:ascii="宋体" w:hAnsi="宋体" w:cs="宋体"/>
          <w:b/>
          <w:color w:val="000000"/>
          <w:kern w:val="0"/>
          <w:sz w:val="24"/>
          <w:szCs w:val="24"/>
          <w:highlight w:val="none"/>
        </w:rPr>
      </w:pPr>
      <w:r>
        <w:rPr>
          <w:rFonts w:hint="eastAsia" w:ascii="宋体" w:hAnsi="宋体" w:cs="宋体"/>
          <w:b/>
          <w:bCs/>
          <w:color w:val="000000"/>
          <w:kern w:val="0"/>
          <w:sz w:val="24"/>
          <w:szCs w:val="24"/>
          <w:highlight w:val="none"/>
        </w:rPr>
        <w:t xml:space="preserve">2.l </w:t>
      </w:r>
      <w:r>
        <w:rPr>
          <w:rFonts w:hint="eastAsia" w:ascii="宋体" w:hAnsi="宋体" w:cs="宋体"/>
          <w:b/>
          <w:color w:val="000000"/>
          <w:kern w:val="0"/>
          <w:sz w:val="24"/>
          <w:szCs w:val="24"/>
          <w:highlight w:val="none"/>
          <w:lang w:eastAsia="zh-TW"/>
        </w:rPr>
        <w:t>招标文件的组成</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招标文件包括下列文件：</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（1）招标公告；</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（2）投标人须知；</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（3）评标标准和办法；</w:t>
      </w:r>
    </w:p>
    <w:p>
      <w:pPr>
        <w:pStyle w:val="11"/>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（4）</w:t>
      </w:r>
      <w:r>
        <w:rPr>
          <w:rFonts w:hint="eastAsia" w:ascii="宋体" w:hAnsi="宋体" w:cs="宋体"/>
          <w:color w:val="000000"/>
          <w:sz w:val="24"/>
          <w:szCs w:val="24"/>
          <w:highlight w:val="none"/>
        </w:rPr>
        <w:t>委托人要求</w:t>
      </w:r>
    </w:p>
    <w:p>
      <w:pPr>
        <w:pStyle w:val="11"/>
        <w:keepNext w:val="0"/>
        <w:keepLines w:val="0"/>
        <w:pageBreakBefore w:val="0"/>
        <w:widowControl w:val="0"/>
        <w:kinsoku/>
        <w:wordWrap/>
        <w:overflowPunct/>
        <w:topLinePunct w:val="0"/>
        <w:bidi w:val="0"/>
        <w:snapToGrid/>
        <w:spacing w:line="460" w:lineRule="exact"/>
        <w:ind w:firstLine="480" w:firstLineChars="200"/>
        <w:textAlignment w:val="auto"/>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（5）</w:t>
      </w:r>
      <w:r>
        <w:rPr>
          <w:rFonts w:hint="eastAsia" w:ascii="宋体" w:hAnsi="宋体" w:cs="宋体"/>
          <w:color w:val="000000"/>
          <w:sz w:val="24"/>
          <w:szCs w:val="24"/>
          <w:highlight w:val="none"/>
        </w:rPr>
        <w:t>合同条款及格式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（6）投标文件格式；</w:t>
      </w:r>
    </w:p>
    <w:p>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（7）招标人</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rPr>
        <w:t>或招标代理人</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rPr>
        <w:t>在招标期间按本须知第2.2和第2.3条规定发出的所有有正式编号的补充通知和其他有效函件。</w:t>
      </w:r>
    </w:p>
    <w:p>
      <w:pPr>
        <w:autoSpaceDE w:val="0"/>
        <w:autoSpaceDN w:val="0"/>
        <w:adjustRightInd w:val="0"/>
        <w:spacing w:line="46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2.2 招标文件的质疑和答疑</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2.2.2 招标文件的澄清将在投标人须知附表规定的投标截止时间7天以前发布于</w:t>
      </w:r>
      <w:r>
        <w:rPr>
          <w:rFonts w:hint="eastAsia" w:ascii="宋体" w:hAnsi="宋体" w:cs="宋体"/>
          <w:color w:val="000000"/>
          <w:kern w:val="0"/>
          <w:sz w:val="24"/>
          <w:szCs w:val="24"/>
          <w:highlight w:val="none"/>
          <w:shd w:val="clear" w:color="auto" w:fill="FFFFFF"/>
        </w:rPr>
        <w:t>全国公共资源交易平台（广东省·韶关市）（https://ygp.gdzwfw.gov.cn/ggzy-portal/#/440200/index）</w:t>
      </w:r>
      <w:r>
        <w:rPr>
          <w:rFonts w:hint="eastAsia" w:ascii="宋体" w:hAnsi="宋体" w:cs="宋体"/>
          <w:color w:val="000000"/>
          <w:kern w:val="0"/>
          <w:sz w:val="24"/>
          <w:szCs w:val="24"/>
          <w:highlight w:val="none"/>
        </w:rPr>
        <w:t>。但不说明问题的来源。如果澄清发出的时间距投标截止时间不足7天，相应延长投标截止时间。</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2.2.3</w:t>
      </w:r>
      <w:r>
        <w:rPr>
          <w:rFonts w:hint="eastAsia" w:ascii="宋体" w:hAnsi="宋体" w:cs="宋体"/>
          <w:color w:val="000000"/>
          <w:kern w:val="0"/>
          <w:sz w:val="24"/>
          <w:szCs w:val="24"/>
          <w:highlight w:val="none"/>
          <w:lang w:val="en-US" w:eastAsia="zh-CN"/>
        </w:rPr>
        <w:t xml:space="preserve"> </w:t>
      </w:r>
      <w:r>
        <w:rPr>
          <w:rFonts w:hint="eastAsia" w:ascii="宋体" w:hAnsi="宋体" w:cs="宋体"/>
          <w:color w:val="000000"/>
          <w:kern w:val="0"/>
          <w:sz w:val="24"/>
          <w:szCs w:val="24"/>
          <w:highlight w:val="none"/>
        </w:rPr>
        <w:t>答疑一旦网上发布，即视为已通知给所有投标人。</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2"/>
        </w:rPr>
      </w:pPr>
      <w:r>
        <w:rPr>
          <w:rFonts w:hint="eastAsia" w:ascii="宋体" w:hAnsi="宋体" w:eastAsia="宋体" w:cs="宋体"/>
          <w:sz w:val="24"/>
          <w:szCs w:val="22"/>
        </w:rPr>
        <w:t>2.2.4 除非招标人认为确有必要答复，否则，招标人有权拒绝回复投标人在本章第2.2.1项规定的时间后的任何澄清要求。</w:t>
      </w:r>
    </w:p>
    <w:p>
      <w:pPr>
        <w:autoSpaceDE w:val="0"/>
        <w:autoSpaceDN w:val="0"/>
        <w:adjustRightInd w:val="0"/>
        <w:spacing w:line="460" w:lineRule="exact"/>
        <w:jc w:val="left"/>
        <w:rPr>
          <w:rFonts w:hint="eastAsia" w:ascii="宋体" w:hAnsi="宋体" w:cs="宋体"/>
          <w:b/>
          <w:color w:val="000000"/>
          <w:kern w:val="0"/>
          <w:sz w:val="24"/>
          <w:szCs w:val="24"/>
          <w:highlight w:val="none"/>
        </w:rPr>
      </w:pPr>
      <w:r>
        <w:rPr>
          <w:rFonts w:hint="eastAsia" w:ascii="宋体" w:hAnsi="宋体" w:cs="宋体"/>
          <w:b/>
          <w:bCs/>
          <w:color w:val="000000"/>
          <w:kern w:val="0"/>
          <w:sz w:val="24"/>
          <w:szCs w:val="24"/>
          <w:highlight w:val="none"/>
        </w:rPr>
        <w:t xml:space="preserve">2.3 </w:t>
      </w:r>
      <w:r>
        <w:rPr>
          <w:rFonts w:hint="eastAsia" w:ascii="宋体" w:hAnsi="宋体" w:cs="宋体"/>
          <w:b/>
          <w:color w:val="000000"/>
          <w:kern w:val="0"/>
          <w:sz w:val="24"/>
          <w:szCs w:val="24"/>
          <w:highlight w:val="none"/>
        </w:rPr>
        <w:t>招标文件的修改</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bookmarkStart w:id="58" w:name="_Toc469471990"/>
      <w:bookmarkStart w:id="59" w:name="_Toc260744676"/>
      <w:bookmarkStart w:id="60" w:name="_Toc216346044"/>
      <w:bookmarkStart w:id="61" w:name="_Toc202697111"/>
      <w:r>
        <w:rPr>
          <w:rFonts w:hint="eastAsia" w:ascii="宋体" w:hAnsi="宋体" w:cs="宋体"/>
          <w:color w:val="000000"/>
          <w:kern w:val="0"/>
          <w:sz w:val="24"/>
          <w:szCs w:val="24"/>
          <w:highlight w:val="none"/>
        </w:rPr>
        <w:t>2.3.1 招标人以投标人须知前附表规定的形式修改招标文件，并通知所有投标人。修改招标文件的时间距本章第4.2.1项规定的投标截止时间不足15日的，并且修改内容可能影响投标文件编制的，将相应延长投标截止时间。</w:t>
      </w:r>
    </w:p>
    <w:p>
      <w:pPr>
        <w:autoSpaceDE w:val="0"/>
        <w:autoSpaceDN w:val="0"/>
        <w:adjustRightInd w:val="0"/>
        <w:spacing w:line="46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2.4 招标文件的异议</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pacing w:line="46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3.投标文件的编制</w:t>
      </w:r>
      <w:bookmarkEnd w:id="58"/>
      <w:bookmarkEnd w:id="59"/>
      <w:bookmarkEnd w:id="60"/>
      <w:bookmarkEnd w:id="61"/>
    </w:p>
    <w:p>
      <w:pPr>
        <w:autoSpaceDE w:val="0"/>
        <w:autoSpaceDN w:val="0"/>
        <w:adjustRightInd w:val="0"/>
        <w:spacing w:line="460" w:lineRule="exact"/>
        <w:ind w:right="91"/>
        <w:jc w:val="left"/>
        <w:rPr>
          <w:rFonts w:hint="eastAsia" w:ascii="宋体" w:hAnsi="宋体" w:cs="宋体"/>
          <w:color w:val="000000"/>
          <w:kern w:val="0"/>
          <w:sz w:val="24"/>
          <w:szCs w:val="24"/>
          <w:highlight w:val="none"/>
        </w:rPr>
      </w:pPr>
      <w:r>
        <w:rPr>
          <w:rFonts w:hint="eastAsia" w:ascii="宋体" w:hAnsi="宋体" w:cs="宋体"/>
          <w:b/>
          <w:bCs/>
          <w:color w:val="000000"/>
          <w:kern w:val="0"/>
          <w:sz w:val="24"/>
          <w:szCs w:val="24"/>
          <w:highlight w:val="none"/>
        </w:rPr>
        <w:t xml:space="preserve">3.1 </w:t>
      </w:r>
      <w:r>
        <w:rPr>
          <w:rFonts w:hint="eastAsia" w:ascii="宋体" w:hAnsi="宋体" w:cs="宋体"/>
          <w:color w:val="000000"/>
          <w:kern w:val="0"/>
          <w:sz w:val="24"/>
          <w:szCs w:val="24"/>
          <w:highlight w:val="none"/>
          <w:lang w:eastAsia="zh-TW"/>
        </w:rPr>
        <w:t>投标文件的语言文字</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投标文件、投标人与招标人</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rPr>
        <w:t>或招标代理人</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rPr>
        <w:t>之间来往的所有书面文件均使用汉语文字。</w:t>
      </w:r>
    </w:p>
    <w:p>
      <w:pPr>
        <w:keepNext w:val="0"/>
        <w:keepLines w:val="0"/>
        <w:pageBreakBefore w:val="0"/>
        <w:widowControl w:val="0"/>
        <w:kinsoku/>
        <w:wordWrap/>
        <w:overflowPunct/>
        <w:topLinePunct w:val="0"/>
        <w:autoSpaceDE w:val="0"/>
        <w:autoSpaceDN w:val="0"/>
        <w:bidi w:val="0"/>
        <w:adjustRightInd w:val="0"/>
        <w:snapToGrid/>
        <w:spacing w:line="460" w:lineRule="exact"/>
        <w:ind w:left="19" w:right="67"/>
        <w:jc w:val="left"/>
        <w:textAlignment w:val="auto"/>
        <w:rPr>
          <w:rFonts w:hint="eastAsia" w:ascii="宋体" w:hAnsi="宋体" w:cs="宋体"/>
          <w:color w:val="000000"/>
          <w:kern w:val="0"/>
          <w:sz w:val="24"/>
          <w:szCs w:val="24"/>
          <w:highlight w:val="none"/>
        </w:rPr>
      </w:pPr>
      <w:r>
        <w:rPr>
          <w:rFonts w:hint="eastAsia" w:ascii="宋体" w:hAnsi="宋体" w:cs="宋体"/>
          <w:b/>
          <w:bCs/>
          <w:color w:val="000000"/>
          <w:kern w:val="0"/>
          <w:sz w:val="24"/>
          <w:szCs w:val="24"/>
          <w:highlight w:val="none"/>
        </w:rPr>
        <w:t xml:space="preserve">3.1.1 </w:t>
      </w:r>
      <w:r>
        <w:rPr>
          <w:rFonts w:hint="eastAsia" w:ascii="宋体" w:hAnsi="宋体" w:cs="宋体"/>
          <w:color w:val="000000"/>
          <w:kern w:val="0"/>
          <w:sz w:val="24"/>
          <w:szCs w:val="24"/>
          <w:highlight w:val="none"/>
        </w:rPr>
        <w:t>投标文件的组成（不限于）：</w:t>
      </w:r>
    </w:p>
    <w:p>
      <w:pPr>
        <w:pStyle w:val="3"/>
        <w:keepNext w:val="0"/>
        <w:keepLines w:val="0"/>
        <w:pageBreakBefore w:val="0"/>
        <w:widowControl w:val="0"/>
        <w:kinsoku/>
        <w:wordWrap/>
        <w:overflowPunct/>
        <w:topLinePunct w:val="0"/>
        <w:bidi w:val="0"/>
        <w:snapToGrid/>
        <w:spacing w:line="460" w:lineRule="exact"/>
        <w:ind w:firstLine="240" w:firstLineChars="100"/>
        <w:textAlignment w:val="auto"/>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（1）投标函；</w:t>
      </w:r>
    </w:p>
    <w:p>
      <w:pPr>
        <w:pStyle w:val="3"/>
        <w:keepNext w:val="0"/>
        <w:keepLines w:val="0"/>
        <w:pageBreakBefore w:val="0"/>
        <w:widowControl w:val="0"/>
        <w:kinsoku/>
        <w:wordWrap/>
        <w:overflowPunct/>
        <w:topLinePunct w:val="0"/>
        <w:bidi w:val="0"/>
        <w:snapToGrid/>
        <w:spacing w:line="460" w:lineRule="exact"/>
        <w:ind w:firstLine="240" w:firstLineChars="100"/>
        <w:textAlignment w:val="auto"/>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（2）法定代表人身份证明或授权委托书；</w:t>
      </w:r>
    </w:p>
    <w:p>
      <w:pPr>
        <w:pStyle w:val="3"/>
        <w:keepNext w:val="0"/>
        <w:keepLines w:val="0"/>
        <w:pageBreakBefore w:val="0"/>
        <w:widowControl w:val="0"/>
        <w:kinsoku/>
        <w:wordWrap/>
        <w:overflowPunct/>
        <w:topLinePunct w:val="0"/>
        <w:bidi w:val="0"/>
        <w:snapToGrid/>
        <w:spacing w:line="460" w:lineRule="exact"/>
        <w:ind w:firstLine="240" w:firstLineChars="100"/>
        <w:textAlignment w:val="auto"/>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（3）投标保证金；</w:t>
      </w:r>
    </w:p>
    <w:p>
      <w:pPr>
        <w:pStyle w:val="3"/>
        <w:keepNext w:val="0"/>
        <w:keepLines w:val="0"/>
        <w:pageBreakBefore w:val="0"/>
        <w:widowControl w:val="0"/>
        <w:kinsoku/>
        <w:wordWrap/>
        <w:overflowPunct/>
        <w:topLinePunct w:val="0"/>
        <w:bidi w:val="0"/>
        <w:snapToGrid/>
        <w:spacing w:line="460" w:lineRule="exact"/>
        <w:ind w:firstLine="240" w:firstLineChars="100"/>
        <w:textAlignment w:val="auto"/>
        <w:rPr>
          <w:rFonts w:hint="default" w:ascii="宋体" w:hAnsi="宋体" w:eastAsia="宋体" w:cs="宋体"/>
          <w:color w:val="000000"/>
          <w:kern w:val="2"/>
          <w:sz w:val="24"/>
          <w:szCs w:val="24"/>
          <w:highlight w:val="none"/>
          <w:lang w:val="en-US" w:eastAsia="zh-CN"/>
        </w:rPr>
      </w:pPr>
      <w:r>
        <w:rPr>
          <w:rFonts w:hint="eastAsia" w:ascii="宋体" w:hAnsi="宋体" w:cs="宋体"/>
          <w:color w:val="000000"/>
          <w:kern w:val="2"/>
          <w:sz w:val="24"/>
          <w:szCs w:val="24"/>
          <w:highlight w:val="none"/>
          <w:lang w:eastAsia="zh-CN"/>
        </w:rPr>
        <w:t>（</w:t>
      </w:r>
      <w:r>
        <w:rPr>
          <w:rFonts w:hint="eastAsia" w:ascii="宋体" w:hAnsi="宋体" w:cs="宋体"/>
          <w:color w:val="000000"/>
          <w:kern w:val="2"/>
          <w:sz w:val="24"/>
          <w:szCs w:val="24"/>
          <w:highlight w:val="none"/>
          <w:lang w:val="en-US" w:eastAsia="zh-CN"/>
        </w:rPr>
        <w:t>4</w:t>
      </w:r>
      <w:r>
        <w:rPr>
          <w:rFonts w:hint="eastAsia" w:ascii="宋体" w:hAnsi="宋体" w:cs="宋体"/>
          <w:color w:val="000000"/>
          <w:kern w:val="2"/>
          <w:sz w:val="24"/>
          <w:szCs w:val="24"/>
          <w:highlight w:val="none"/>
          <w:lang w:eastAsia="zh-CN"/>
        </w:rPr>
        <w:t>）</w:t>
      </w:r>
      <w:r>
        <w:rPr>
          <w:rFonts w:hint="eastAsia" w:ascii="宋体" w:hAnsi="宋体" w:cs="宋体"/>
          <w:color w:val="000000"/>
          <w:kern w:val="2"/>
          <w:sz w:val="24"/>
          <w:szCs w:val="24"/>
          <w:highlight w:val="none"/>
          <w:lang w:val="en-US" w:eastAsia="zh-CN"/>
        </w:rPr>
        <w:t>报价表</w:t>
      </w:r>
    </w:p>
    <w:p>
      <w:pPr>
        <w:pStyle w:val="3"/>
        <w:keepNext w:val="0"/>
        <w:keepLines w:val="0"/>
        <w:pageBreakBefore w:val="0"/>
        <w:widowControl w:val="0"/>
        <w:kinsoku/>
        <w:wordWrap/>
        <w:overflowPunct/>
        <w:topLinePunct w:val="0"/>
        <w:bidi w:val="0"/>
        <w:snapToGrid/>
        <w:spacing w:line="460" w:lineRule="exact"/>
        <w:ind w:firstLine="240" w:firstLineChars="100"/>
        <w:textAlignment w:val="auto"/>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w:t>
      </w:r>
      <w:r>
        <w:rPr>
          <w:rFonts w:hint="eastAsia" w:ascii="宋体" w:hAnsi="宋体" w:cs="宋体"/>
          <w:color w:val="000000"/>
          <w:kern w:val="2"/>
          <w:sz w:val="24"/>
          <w:szCs w:val="24"/>
          <w:highlight w:val="none"/>
          <w:lang w:val="en-US" w:eastAsia="zh-CN"/>
        </w:rPr>
        <w:t>5</w:t>
      </w:r>
      <w:r>
        <w:rPr>
          <w:rFonts w:hint="eastAsia" w:ascii="宋体" w:hAnsi="宋体" w:cs="宋体"/>
          <w:color w:val="000000"/>
          <w:kern w:val="2"/>
          <w:sz w:val="24"/>
          <w:szCs w:val="24"/>
          <w:highlight w:val="none"/>
        </w:rPr>
        <w:t>）资格审查资料；</w:t>
      </w:r>
    </w:p>
    <w:p>
      <w:pPr>
        <w:pStyle w:val="3"/>
        <w:keepNext w:val="0"/>
        <w:keepLines w:val="0"/>
        <w:pageBreakBefore w:val="0"/>
        <w:widowControl w:val="0"/>
        <w:kinsoku/>
        <w:wordWrap/>
        <w:overflowPunct/>
        <w:topLinePunct w:val="0"/>
        <w:bidi w:val="0"/>
        <w:snapToGrid/>
        <w:spacing w:line="460" w:lineRule="exact"/>
        <w:ind w:firstLine="240" w:firstLineChars="100"/>
        <w:textAlignment w:val="auto"/>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w:t>
      </w:r>
      <w:r>
        <w:rPr>
          <w:rFonts w:hint="eastAsia" w:ascii="宋体" w:hAnsi="宋体" w:cs="宋体"/>
          <w:color w:val="000000"/>
          <w:kern w:val="2"/>
          <w:sz w:val="24"/>
          <w:szCs w:val="24"/>
          <w:highlight w:val="none"/>
          <w:lang w:val="en-US" w:eastAsia="zh-CN"/>
        </w:rPr>
        <w:t>6</w:t>
      </w:r>
      <w:r>
        <w:rPr>
          <w:rFonts w:hint="eastAsia" w:ascii="宋体" w:hAnsi="宋体" w:cs="宋体"/>
          <w:color w:val="000000"/>
          <w:kern w:val="2"/>
          <w:sz w:val="24"/>
          <w:szCs w:val="24"/>
          <w:highlight w:val="none"/>
        </w:rPr>
        <w:t>）</w:t>
      </w:r>
      <w:r>
        <w:rPr>
          <w:rFonts w:hint="eastAsia" w:ascii="宋体" w:hAnsi="宋体" w:cs="宋体"/>
          <w:color w:val="000000"/>
          <w:kern w:val="2"/>
          <w:sz w:val="24"/>
          <w:szCs w:val="24"/>
          <w:highlight w:val="none"/>
          <w:lang w:val="en-US" w:eastAsia="zh-CN"/>
        </w:rPr>
        <w:t>商务技术文件</w:t>
      </w:r>
      <w:r>
        <w:rPr>
          <w:rFonts w:hint="eastAsia" w:ascii="宋体" w:hAnsi="宋体" w:cs="宋体"/>
          <w:color w:val="000000"/>
          <w:kern w:val="2"/>
          <w:sz w:val="24"/>
          <w:szCs w:val="24"/>
          <w:highlight w:val="none"/>
        </w:rPr>
        <w:t>；</w:t>
      </w:r>
    </w:p>
    <w:p>
      <w:pPr>
        <w:keepNext w:val="0"/>
        <w:keepLines w:val="0"/>
        <w:pageBreakBefore w:val="0"/>
        <w:widowControl w:val="0"/>
        <w:kinsoku/>
        <w:wordWrap/>
        <w:overflowPunct/>
        <w:topLinePunct w:val="0"/>
        <w:autoSpaceDE w:val="0"/>
        <w:autoSpaceDN w:val="0"/>
        <w:bidi w:val="0"/>
        <w:adjustRightInd w:val="0"/>
        <w:snapToGrid/>
        <w:spacing w:line="460" w:lineRule="exact"/>
        <w:ind w:firstLine="240" w:firstLineChars="100"/>
        <w:jc w:val="left"/>
        <w:textAlignment w:val="auto"/>
        <w:rPr>
          <w:rFonts w:hint="eastAsia" w:ascii="宋体" w:hAnsi="宋体" w:cs="宋体"/>
          <w:color w:val="000000"/>
          <w:kern w:val="0"/>
          <w:sz w:val="24"/>
          <w:szCs w:val="24"/>
          <w:highlight w:val="none"/>
        </w:rPr>
      </w:pPr>
      <w:r>
        <w:rPr>
          <w:rFonts w:hint="eastAsia" w:ascii="宋体" w:hAnsi="宋体" w:cs="宋体"/>
          <w:color w:val="000000"/>
          <w:sz w:val="24"/>
          <w:szCs w:val="24"/>
          <w:highlight w:val="none"/>
        </w:rPr>
        <w:t>（</w:t>
      </w:r>
      <w:r>
        <w:rPr>
          <w:rFonts w:hint="eastAsia" w:ascii="宋体" w:hAnsi="宋体" w:cs="宋体"/>
          <w:color w:val="000000"/>
          <w:sz w:val="24"/>
          <w:szCs w:val="24"/>
          <w:highlight w:val="none"/>
          <w:lang w:val="en-US" w:eastAsia="zh-CN"/>
        </w:rPr>
        <w:t>7</w:t>
      </w:r>
      <w:r>
        <w:rPr>
          <w:rFonts w:hint="eastAsia" w:ascii="宋体" w:hAnsi="宋体" w:cs="宋体"/>
          <w:color w:val="000000"/>
          <w:sz w:val="24"/>
          <w:szCs w:val="24"/>
          <w:highlight w:val="none"/>
        </w:rPr>
        <w:t>）招标文件要求提供的其他资料。</w:t>
      </w:r>
    </w:p>
    <w:p>
      <w:pPr>
        <w:autoSpaceDE w:val="0"/>
        <w:autoSpaceDN w:val="0"/>
        <w:adjustRightInd w:val="0"/>
        <w:spacing w:line="46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3.2 投标报价</w:t>
      </w:r>
    </w:p>
    <w:p>
      <w:pPr>
        <w:autoSpaceDE w:val="0"/>
        <w:autoSpaceDN w:val="0"/>
        <w:adjustRightInd w:val="0"/>
        <w:spacing w:line="46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3.2.1 投标人应按</w:t>
      </w:r>
      <w:r>
        <w:rPr>
          <w:rFonts w:hint="eastAsia" w:ascii="宋体" w:hAnsi="宋体" w:cs="宋体"/>
          <w:color w:val="000000"/>
          <w:kern w:val="0"/>
          <w:sz w:val="24"/>
          <w:szCs w:val="24"/>
          <w:highlight w:val="none"/>
        </w:rPr>
        <w:t>第六章</w:t>
      </w:r>
      <w:r>
        <w:rPr>
          <w:rFonts w:hint="eastAsia" w:ascii="宋体" w:hAnsi="宋体" w:cs="宋体"/>
          <w:color w:val="000000"/>
          <w:sz w:val="24"/>
          <w:szCs w:val="24"/>
          <w:highlight w:val="none"/>
        </w:rPr>
        <w:t>“投标文件格式”的要求在投标函中进行报价。</w:t>
      </w:r>
    </w:p>
    <w:p>
      <w:pPr>
        <w:autoSpaceDE w:val="0"/>
        <w:autoSpaceDN w:val="0"/>
        <w:adjustRightInd w:val="0"/>
        <w:spacing w:line="46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3.2.2 投标报价应包括国家规定的增值税税金，除投标人须知前附表另有规定外，增值税税金按一般计税方法计算。投标人应按</w:t>
      </w:r>
      <w:r>
        <w:rPr>
          <w:rFonts w:hint="eastAsia" w:ascii="宋体" w:hAnsi="宋体" w:cs="宋体"/>
          <w:color w:val="000000"/>
          <w:kern w:val="0"/>
          <w:sz w:val="24"/>
          <w:szCs w:val="24"/>
          <w:highlight w:val="none"/>
        </w:rPr>
        <w:t>第六章</w:t>
      </w:r>
      <w:r>
        <w:rPr>
          <w:rFonts w:hint="eastAsia" w:ascii="宋体" w:hAnsi="宋体" w:cs="宋体"/>
          <w:color w:val="000000"/>
          <w:sz w:val="24"/>
          <w:szCs w:val="24"/>
          <w:highlight w:val="none"/>
        </w:rPr>
        <w:t>“投标文件格式”的要求在投标函中进行报价并填写分项报价表。</w:t>
      </w:r>
    </w:p>
    <w:p>
      <w:pPr>
        <w:autoSpaceDE w:val="0"/>
        <w:autoSpaceDN w:val="0"/>
        <w:adjustRightInd w:val="0"/>
        <w:spacing w:line="46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3.2.3 投标人应充分了解该项目的总体情况以及影响投标报价的其他要素。</w:t>
      </w:r>
    </w:p>
    <w:p>
      <w:pPr>
        <w:autoSpaceDE w:val="0"/>
        <w:autoSpaceDN w:val="0"/>
        <w:adjustRightInd w:val="0"/>
        <w:spacing w:line="46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3.2.4 投标报价为各分项报价金额之和，投标报价与分项报价的合价不一致的，应以各分项合价累计数为准，修正投标报价；如分项报价中存在缺漏项，则视为缺漏项价格已包含在其他分项报价之中，竣工结算时不得重新组价和调整。</w:t>
      </w:r>
    </w:p>
    <w:p>
      <w:pPr>
        <w:autoSpaceDE w:val="0"/>
        <w:autoSpaceDN w:val="0"/>
        <w:adjustRightInd w:val="0"/>
        <w:spacing w:line="46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3.2.5 招标人设有最高投标限价的，投标人的投标报价不得超过最高投标限价，也不得低于成本。最高投标限价在投标人须知前附表中载明。投标报价的其他要求见投标人须知前附表。</w:t>
      </w:r>
    </w:p>
    <w:p>
      <w:pPr>
        <w:autoSpaceDE w:val="0"/>
        <w:autoSpaceDN w:val="0"/>
        <w:adjustRightInd w:val="0"/>
        <w:spacing w:line="46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注1.评标委员会在评审时只评审各投标人的投标总价是否招标文件要求；</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sz w:val="24"/>
          <w:szCs w:val="24"/>
          <w:highlight w:val="none"/>
        </w:rPr>
        <w:t>2.如果某投标人的投标总价下浮率（投标总价下浮率＝100%－投标总价÷最高投标限价×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pPr>
        <w:autoSpaceDE w:val="0"/>
        <w:autoSpaceDN w:val="0"/>
        <w:adjustRightInd w:val="0"/>
        <w:spacing w:line="46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3.3 投标文件有效期</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3.3.1 除投标人须知前附表另有规定外，投标有效期为 90 天。</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3.3.2 在投标有效期内，投标人撤销投标文件的，应承担招标文件和法律规定的责任。</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autoSpaceDE w:val="0"/>
        <w:autoSpaceDN w:val="0"/>
        <w:adjustRightInd w:val="0"/>
        <w:spacing w:line="460" w:lineRule="exact"/>
        <w:ind w:right="-1025" w:rightChars="-366"/>
        <w:jc w:val="left"/>
        <w:rPr>
          <w:rFonts w:hint="eastAsia" w:ascii="宋体" w:hAnsi="宋体" w:cs="宋体"/>
          <w:b/>
          <w:color w:val="000000"/>
          <w:kern w:val="0"/>
          <w:sz w:val="24"/>
          <w:szCs w:val="24"/>
          <w:highlight w:val="none"/>
        </w:rPr>
      </w:pPr>
      <w:r>
        <w:rPr>
          <w:rFonts w:hint="eastAsia" w:ascii="宋体" w:hAnsi="宋体" w:cs="宋体"/>
          <w:b/>
          <w:bCs/>
          <w:color w:val="000000"/>
          <w:kern w:val="0"/>
          <w:sz w:val="24"/>
          <w:szCs w:val="24"/>
          <w:highlight w:val="none"/>
        </w:rPr>
        <w:t>3.4 投标保证金</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bookmarkStart w:id="62" w:name="_Toc216346045"/>
      <w:bookmarkStart w:id="63" w:name="_Toc260744677"/>
      <w:bookmarkStart w:id="64" w:name="_Toc469471992"/>
      <w:bookmarkStart w:id="65" w:name="_Toc202697112"/>
      <w:r>
        <w:rPr>
          <w:rFonts w:hint="eastAsia" w:ascii="宋体" w:hAnsi="宋体" w:cs="宋体"/>
          <w:color w:val="000000"/>
          <w:kern w:val="0"/>
          <w:sz w:val="24"/>
          <w:szCs w:val="24"/>
          <w:highlight w:val="none"/>
        </w:rPr>
        <w:t>3.4.1 投标人在递交投标文件的同时，应按投标人须知前附表规定的金额、形式递交投标保证金，并作为其投标文件的组成部分。</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 xml:space="preserve">3.4.2 </w:t>
      </w:r>
      <w:r>
        <w:rPr>
          <w:rFonts w:hint="eastAsia" w:ascii="宋体" w:hAnsi="宋体" w:cs="宋体"/>
          <w:color w:val="000000"/>
          <w:sz w:val="24"/>
          <w:szCs w:val="24"/>
          <w:highlight w:val="none"/>
        </w:rPr>
        <w:t>待中标公示结束且无异议后，投标项目保证金由韶关市公共资源交易中心通过建设工程交易系统退回投标人缴纳账号。中标人的投标保证金退还需在建设工程交易系统上传合同，在韶关市公共资源交易中心工程交易部办理退回手续。如韶关市公共资源交易中心关于投标保证的退回有新规定的，则按新规定执行。</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3.4.3 投标人不按本章第 3.4.1 项要求提交投标保证金的，评标委员会将否决其投标。</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3.4.4 有下列情形之一的，投标保证金将不予退还：</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（1）投标人在投标有效期内撤销投标文件；</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（2）中标人在收到中标通知书后，无正当理由不与招标人订立合同，在签订合同时向招标人提出附加条件，或者不按照招标文件要求提交履约保证金；</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（3）发生投标人须知前附表规定的其他可以不予退还投标保证金的情形。</w:t>
      </w:r>
    </w:p>
    <w:bookmarkEnd w:id="62"/>
    <w:bookmarkEnd w:id="63"/>
    <w:bookmarkEnd w:id="64"/>
    <w:bookmarkEnd w:id="65"/>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3.5 资格审查资料</w:t>
      </w:r>
    </w:p>
    <w:p>
      <w:pPr>
        <w:spacing w:line="460" w:lineRule="exact"/>
        <w:ind w:firstLine="480" w:firstLineChars="200"/>
        <w:rPr>
          <w:rFonts w:hint="eastAsia" w:ascii="宋体" w:hAnsi="宋体" w:cs="宋体"/>
          <w:color w:val="000000"/>
          <w:sz w:val="24"/>
          <w:szCs w:val="24"/>
          <w:highlight w:val="none"/>
        </w:rPr>
      </w:pPr>
      <w:bookmarkStart w:id="66" w:name="_bookmark45"/>
      <w:bookmarkEnd w:id="66"/>
      <w:r>
        <w:rPr>
          <w:rFonts w:hint="eastAsia" w:ascii="宋体" w:hAnsi="宋体" w:cs="宋体"/>
          <w:color w:val="000000"/>
          <w:sz w:val="24"/>
          <w:szCs w:val="24"/>
          <w:highlight w:val="none"/>
        </w:rPr>
        <w:t>3.5.1 投标人应按投标人须知前附表1.4.1的规定提供证明材料彩色扫描件。</w:t>
      </w:r>
    </w:p>
    <w:p>
      <w:pPr>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 xml:space="preserve">3.5.2 </w:t>
      </w:r>
      <w:r>
        <w:rPr>
          <w:rFonts w:hint="eastAsia" w:ascii="宋体" w:hAnsi="宋体" w:cs="宋体"/>
          <w:color w:val="000000"/>
          <w:kern w:val="0"/>
          <w:sz w:val="24"/>
          <w:szCs w:val="24"/>
          <w:highlight w:val="none"/>
        </w:rPr>
        <w:t>本次招标不接受联合体投标。</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3.6 备选投标方案</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3.6.1 除投标人须知前附表规定允许外，投标人不得递交备选投标方案，否则其投标将被否决。</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67" w:name="_bookmark46"/>
      <w:bookmarkEnd w:id="67"/>
      <w:r>
        <w:rPr>
          <w:rFonts w:hint="eastAsia" w:ascii="宋体" w:hAnsi="宋体" w:cs="宋体"/>
          <w:b/>
          <w:bCs/>
          <w:color w:val="000000"/>
          <w:kern w:val="0"/>
          <w:sz w:val="24"/>
          <w:szCs w:val="24"/>
          <w:highlight w:val="none"/>
        </w:rPr>
        <w:t>3.7 投标文件的编制</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bookmarkStart w:id="68" w:name="_bookmark47"/>
      <w:bookmarkEnd w:id="68"/>
      <w:bookmarkStart w:id="69" w:name="_Toc18679_WPSOffice_Level2"/>
      <w:r>
        <w:rPr>
          <w:rFonts w:hint="eastAsia" w:ascii="宋体" w:hAnsi="宋体" w:cs="宋体"/>
          <w:color w:val="000000"/>
          <w:kern w:val="0"/>
          <w:sz w:val="24"/>
          <w:szCs w:val="24"/>
          <w:highlight w:val="none"/>
        </w:rPr>
        <w:t>3.7.1 投标文件应按第六章“投标文件格式”进行编写，如有必要，可以增加附页，作为投标文件的组成部分。</w:t>
      </w:r>
    </w:p>
    <w:p>
      <w:pPr>
        <w:autoSpaceDE w:val="0"/>
        <w:autoSpaceDN w:val="0"/>
        <w:adjustRightInd w:val="0"/>
        <w:spacing w:line="460" w:lineRule="exact"/>
        <w:ind w:firstLine="480" w:firstLineChars="200"/>
        <w:jc w:val="left"/>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3.7.2 投标文件应当对招标文件有关服务期限、投标有效期、委托人要求、招标范围等实质性内容作出响应。</w:t>
      </w:r>
    </w:p>
    <w:p>
      <w:pPr>
        <w:pStyle w:val="70"/>
        <w:spacing w:beforeAutospacing="0" w:afterAutospacing="0" w:line="440" w:lineRule="exact"/>
        <w:ind w:firstLine="480" w:firstLineChars="200"/>
        <w:rPr>
          <w:rFonts w:hint="eastAsia"/>
          <w:color w:val="000000"/>
          <w:sz w:val="24"/>
          <w:szCs w:val="24"/>
          <w:highlight w:val="none"/>
        </w:rPr>
      </w:pPr>
      <w:r>
        <w:rPr>
          <w:rFonts w:hint="eastAsia"/>
          <w:color w:val="000000"/>
          <w:sz w:val="24"/>
          <w:szCs w:val="24"/>
          <w:highlight w:val="none"/>
        </w:rPr>
        <w:t>3.7.3 投标文件全部采用电子文档，投标文件所附证书证件均为原件扫描件，并采用单位数字证书，按招标文件要求在相应位置加盖电子印章。投标文件中需个人签字的，应加盖个人电子印章或在线下完成后扫描上传。按照交易平台关于全流程电子化项目的相关指南进行操作。详见：《韶关市公共资源一体化平台——建设工程交易投标人操作指南（电子评标）》。</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4. 投标</w:t>
      </w:r>
      <w:bookmarkEnd w:id="69"/>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70" w:name="_bookmark48"/>
      <w:bookmarkEnd w:id="70"/>
      <w:bookmarkStart w:id="71" w:name="_bookmark49"/>
      <w:bookmarkEnd w:id="71"/>
      <w:r>
        <w:rPr>
          <w:rFonts w:hint="eastAsia" w:ascii="宋体" w:hAnsi="宋体" w:cs="宋体"/>
          <w:b/>
          <w:bCs/>
          <w:color w:val="000000"/>
          <w:kern w:val="0"/>
          <w:sz w:val="24"/>
          <w:szCs w:val="24"/>
          <w:highlight w:val="none"/>
        </w:rPr>
        <w:t>4.1 投标文件的提交</w:t>
      </w:r>
    </w:p>
    <w:p>
      <w:pPr>
        <w:wordWrap w:val="0"/>
        <w:autoSpaceDE w:val="0"/>
        <w:autoSpaceDN w:val="0"/>
        <w:adjustRightInd w:val="0"/>
        <w:spacing w:line="460" w:lineRule="exact"/>
        <w:ind w:firstLine="480" w:firstLineChars="200"/>
        <w:jc w:val="left"/>
        <w:rPr>
          <w:rFonts w:hint="eastAsia" w:ascii="宋体" w:hAnsi="宋体" w:cs="宋体"/>
          <w:color w:val="000000"/>
          <w:sz w:val="24"/>
          <w:szCs w:val="24"/>
          <w:highlight w:val="none"/>
        </w:rPr>
      </w:pPr>
      <w:r>
        <w:rPr>
          <w:rFonts w:hint="eastAsia" w:ascii="宋体" w:hAnsi="宋体" w:cs="宋体"/>
          <w:color w:val="000000"/>
          <w:kern w:val="0"/>
          <w:sz w:val="24"/>
          <w:szCs w:val="24"/>
          <w:highlight w:val="none"/>
        </w:rPr>
        <w:t>4.1.1 在电子投标截止时间前，投标人</w:t>
      </w:r>
      <w:r>
        <w:rPr>
          <w:rFonts w:hint="eastAsia" w:ascii="宋体" w:hAnsi="宋体" w:cs="宋体"/>
          <w:color w:val="000000"/>
          <w:sz w:val="24"/>
          <w:szCs w:val="24"/>
          <w:highlight w:val="none"/>
        </w:rPr>
        <w:t>在建设工程交易系统上传加盖了电子印章的投标文件、录入相关信息及标书页码信息，（页码起始从封面开始）并提交投标标书。提交标书为已加密投标文件</w:t>
      </w:r>
      <w:r>
        <w:rPr>
          <w:rFonts w:hint="eastAsia" w:ascii="宋体" w:hAnsi="宋体" w:cs="宋体"/>
          <w:color w:val="000000"/>
          <w:kern w:val="0"/>
          <w:sz w:val="24"/>
          <w:szCs w:val="24"/>
          <w:highlight w:val="none"/>
        </w:rPr>
        <w:t>。逾期提交的电子投标文件，全国公共资源交易平台 （广东省·韶关市）将予以拒收。</w:t>
      </w:r>
      <w:r>
        <w:rPr>
          <w:rFonts w:hint="eastAsia" w:ascii="宋体" w:hAnsi="宋体" w:cs="宋体"/>
          <w:color w:val="000000"/>
          <w:sz w:val="24"/>
          <w:szCs w:val="24"/>
          <w:highlight w:val="none"/>
        </w:rPr>
        <w:t>具体操作参照全国公共资源交易平台（广东省·韶关市）（https://ygp.gdzwfw.gov.cn/ggzy-portal/#/440200/index），在【服务指南】栏目中下载《韶关市公共资源一体化平台——建设工程交易投标人操作指南（电子评标）》。技术咨询电话：0751-8379671</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伍先生，业务咨询电话：0751-8633211、8633071。</w:t>
      </w:r>
    </w:p>
    <w:p>
      <w:pPr>
        <w:wordWrap w:val="0"/>
        <w:spacing w:line="312"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本项目评标采用全流程电子化进行招标投标（投标人应根据建设工程交易系统进行编辑投标相关内容、按招标文件电子投标要求上传已加盖电子印章投标文件，否则将自行承担不利后果）。</w:t>
      </w:r>
    </w:p>
    <w:p>
      <w:pPr>
        <w:pStyle w:val="79"/>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4.1.2 投标文件提交截止时间（同电子投标截止时间）：见“重要事项时间地点一览表”。</w:t>
      </w:r>
    </w:p>
    <w:p>
      <w:pPr>
        <w:pStyle w:val="79"/>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4.1.3 代理机构对因不可抗力事件造成的投标文件的损坏、丢失的，不承担责任。</w:t>
      </w:r>
    </w:p>
    <w:p>
      <w:pPr>
        <w:pStyle w:val="79"/>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4.1.4</w:t>
      </w:r>
      <w:r>
        <w:rPr>
          <w:rFonts w:hint="eastAsia" w:ascii="宋体" w:hAnsi="宋体" w:cs="宋体"/>
          <w:color w:val="000000"/>
          <w:kern w:val="0"/>
          <w:sz w:val="24"/>
          <w:szCs w:val="24"/>
          <w:highlight w:val="none"/>
          <w:lang w:val="en-US" w:eastAsia="zh-CN"/>
        </w:rPr>
        <w:t xml:space="preserve"> </w:t>
      </w:r>
      <w:r>
        <w:rPr>
          <w:rFonts w:hint="eastAsia" w:ascii="宋体" w:hAnsi="宋体" w:cs="宋体"/>
          <w:color w:val="000000"/>
          <w:kern w:val="0"/>
          <w:sz w:val="24"/>
          <w:szCs w:val="24"/>
          <w:highlight w:val="none"/>
        </w:rPr>
        <w:t>出现下述情形之一，属于未成功提交投标文件，按无效投标处理：</w:t>
      </w:r>
    </w:p>
    <w:p>
      <w:pPr>
        <w:pStyle w:val="79"/>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（1）至电子投标截止时间时，投标文件未完整上传或未提交投标。</w:t>
      </w:r>
    </w:p>
    <w:p>
      <w:pPr>
        <w:pStyle w:val="79"/>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（2）投标文件未按投标格式中注明需签字盖章的要求加盖电子印章，或电子印章不完整。</w:t>
      </w:r>
    </w:p>
    <w:p>
      <w:pPr>
        <w:pStyle w:val="79"/>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（3）投标文件损坏或格式不正确。</w:t>
      </w:r>
    </w:p>
    <w:p>
      <w:pPr>
        <w:pStyle w:val="79"/>
        <w:spacing w:line="460" w:lineRule="atLeast"/>
        <w:rPr>
          <w:rFonts w:hint="eastAsia" w:ascii="宋体" w:hAnsi="宋体" w:cs="宋体"/>
          <w:color w:val="000000"/>
          <w:kern w:val="0"/>
          <w:sz w:val="24"/>
          <w:szCs w:val="24"/>
          <w:highlight w:val="none"/>
        </w:rPr>
      </w:pPr>
      <w:r>
        <w:rPr>
          <w:rFonts w:hint="eastAsia" w:ascii="宋体" w:hAnsi="宋体" w:cs="宋体"/>
          <w:b w:val="0"/>
          <w:bCs w:val="0"/>
          <w:color w:val="000000"/>
          <w:kern w:val="0"/>
          <w:sz w:val="24"/>
          <w:szCs w:val="24"/>
          <w:highlight w:val="none"/>
        </w:rPr>
        <w:t xml:space="preserve">4.2 </w:t>
      </w:r>
      <w:r>
        <w:rPr>
          <w:rFonts w:hint="eastAsia" w:ascii="宋体" w:hAnsi="宋体" w:cs="宋体"/>
          <w:b w:val="0"/>
          <w:bCs w:val="0"/>
          <w:color w:val="000000"/>
          <w:kern w:val="0"/>
          <w:sz w:val="24"/>
          <w:szCs w:val="24"/>
          <w:highlight w:val="none"/>
          <w:shd w:val="clear" w:color="auto" w:fill="FFFFFF"/>
        </w:rPr>
        <w:t>投</w:t>
      </w:r>
      <w:r>
        <w:rPr>
          <w:rFonts w:hint="eastAsia" w:ascii="宋体" w:hAnsi="宋体" w:cs="宋体"/>
          <w:color w:val="000000"/>
          <w:kern w:val="0"/>
          <w:sz w:val="24"/>
          <w:szCs w:val="24"/>
          <w:highlight w:val="none"/>
          <w:shd w:val="clear" w:color="auto" w:fill="FFFFFF"/>
        </w:rPr>
        <w:t>标人无须进行现场签到，如有招标文件要求提交的用于评审的证书、证件、证明原件等相关资料，投标人可在规定的地点、时间内递交至开标现场（附一式两份清单），无原件的不作要求。</w:t>
      </w:r>
    </w:p>
    <w:p>
      <w:pPr>
        <w:pStyle w:val="79"/>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备注：资料提交截止时间、提交地点与电子投标截止时间、开标地点一致；到场人员与投标人在电子投标时确定的人员可以不是同一人。</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4.3 投标文件的修改与撤回</w:t>
      </w:r>
    </w:p>
    <w:p>
      <w:pPr>
        <w:spacing w:line="460" w:lineRule="atLeas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4.3.1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72" w:name="_Toc7340"/>
      <w:bookmarkStart w:id="73" w:name="_Toc32445"/>
      <w:r>
        <w:rPr>
          <w:rFonts w:hint="eastAsia" w:ascii="宋体" w:hAnsi="宋体" w:cs="宋体"/>
          <w:b/>
          <w:bCs/>
          <w:color w:val="000000"/>
          <w:kern w:val="0"/>
          <w:sz w:val="24"/>
          <w:szCs w:val="24"/>
          <w:highlight w:val="none"/>
        </w:rPr>
        <w:t>4.4 电子投标及投标解密失败及突发情况的补救</w:t>
      </w:r>
      <w:bookmarkEnd w:id="72"/>
      <w:bookmarkEnd w:id="73"/>
      <w:r>
        <w:rPr>
          <w:rFonts w:hint="eastAsia" w:ascii="宋体" w:hAnsi="宋体" w:cs="宋体"/>
          <w:b/>
          <w:color w:val="000000"/>
          <w:sz w:val="24"/>
          <w:szCs w:val="24"/>
          <w:highlight w:val="none"/>
        </w:rPr>
        <w:t>方案</w:t>
      </w:r>
    </w:p>
    <w:p>
      <w:pPr>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4.4.1按照交易平台关于全流程电子化项目的相关指南进行操作。详见：全国公共资源交易平台（广东省·韶关市）【服务指南】栏目发布的最新版操作指引。</w:t>
      </w:r>
    </w:p>
    <w:p>
      <w:pPr>
        <w:spacing w:line="460" w:lineRule="atLeast"/>
        <w:ind w:firstLine="480" w:firstLineChars="20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4.4.2投标人在交易平台按要求上传加盖电子印章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pPr>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4.4.3补救方案：</w:t>
      </w:r>
    </w:p>
    <w:p>
      <w:pPr>
        <w:spacing w:line="460" w:lineRule="atLeast"/>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投标文件解密失败的补救方案：在规定时间内，因投标人之外原因(指网络瘫痪、服务器损坏、交易系统故障短期无法恢复)等导致的电子投标文件解密失败，允许代理授权投标人重新上传投标文件（时限为30分钟），电子投标文件解密失败且未重新上传电子投标文件的，视为无效投标。评标委员会对其投标文件的评审以重新上传的内容为准。</w:t>
      </w:r>
    </w:p>
    <w:p>
      <w:pPr>
        <w:spacing w:line="460" w:lineRule="atLeast"/>
        <w:ind w:firstLine="480" w:firstLineChars="200"/>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2）在评标过程中，因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交易场所工作人员做好招投标资料的封存和保密工作，另行组建评标委员会重新评标。原评标委员会成员应当对评标情况保密，不得对外透露与评标有关的任何信息与情况。</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74" w:name="_bookmark51"/>
      <w:bookmarkEnd w:id="74"/>
      <w:bookmarkStart w:id="75" w:name="_Toc27608_WPSOffice_Level2"/>
      <w:r>
        <w:rPr>
          <w:rFonts w:hint="eastAsia" w:ascii="宋体" w:hAnsi="宋体" w:cs="宋体"/>
          <w:b/>
          <w:bCs/>
          <w:color w:val="000000"/>
          <w:kern w:val="0"/>
          <w:sz w:val="24"/>
          <w:szCs w:val="24"/>
          <w:highlight w:val="none"/>
        </w:rPr>
        <w:t>5.开标</w:t>
      </w:r>
      <w:bookmarkEnd w:id="75"/>
    </w:p>
    <w:p>
      <w:pPr>
        <w:pStyle w:val="15"/>
        <w:spacing w:line="460" w:lineRule="exact"/>
        <w:ind w:firstLine="480" w:firstLineChars="200"/>
        <w:rPr>
          <w:rFonts w:hint="eastAsia" w:hAnsi="宋体" w:cs="宋体"/>
          <w:color w:val="000000"/>
          <w:kern w:val="2"/>
          <w:sz w:val="24"/>
          <w:szCs w:val="24"/>
          <w:highlight w:val="none"/>
        </w:rPr>
      </w:pPr>
      <w:bookmarkStart w:id="76" w:name="_bookmark52"/>
      <w:bookmarkEnd w:id="76"/>
      <w:r>
        <w:rPr>
          <w:rFonts w:hint="eastAsia" w:hAnsi="宋体" w:cs="宋体"/>
          <w:b w:val="0"/>
          <w:bCs w:val="0"/>
          <w:color w:val="000000"/>
          <w:sz w:val="24"/>
          <w:szCs w:val="24"/>
          <w:highlight w:val="none"/>
        </w:rPr>
        <w:t>5.1</w:t>
      </w:r>
      <w:r>
        <w:rPr>
          <w:rFonts w:hint="eastAsia" w:hAnsi="宋体" w:cs="宋体"/>
          <w:b/>
          <w:bCs/>
          <w:color w:val="000000"/>
          <w:sz w:val="24"/>
          <w:szCs w:val="24"/>
          <w:highlight w:val="none"/>
        </w:rPr>
        <w:t xml:space="preserve"> </w:t>
      </w:r>
      <w:r>
        <w:rPr>
          <w:rFonts w:hint="eastAsia" w:hAnsi="宋体" w:cs="宋体"/>
          <w:color w:val="000000"/>
          <w:kern w:val="2"/>
          <w:sz w:val="24"/>
          <w:szCs w:val="24"/>
          <w:highlight w:val="none"/>
        </w:rPr>
        <w:t>本项目实行全流程电子化招标投标的项目</w:t>
      </w:r>
      <w:r>
        <w:rPr>
          <w:rFonts w:hint="eastAsia"/>
          <w:snapToGrid w:val="0"/>
          <w:color w:val="000000"/>
          <w:sz w:val="24"/>
          <w:szCs w:val="24"/>
          <w:highlight w:val="none"/>
        </w:rPr>
        <w:t>（需要提交评审原件时，投标人可在规定的地点、时间内递交至开标现场，无原件的不作要求）</w:t>
      </w:r>
      <w:r>
        <w:rPr>
          <w:rFonts w:hint="eastAsia" w:hAnsi="宋体" w:cs="宋体"/>
          <w:color w:val="000000"/>
          <w:kern w:val="2"/>
          <w:sz w:val="24"/>
          <w:szCs w:val="24"/>
          <w:highlight w:val="none"/>
        </w:rPr>
        <w:t>，投标人无须进行现场签到，可登录交易平台观看开标实况、提出异议或进行澄清、确认等操作，具体按系统操作手册为准。</w:t>
      </w:r>
    </w:p>
    <w:p>
      <w:pPr>
        <w:autoSpaceDE w:val="0"/>
        <w:autoSpaceDN w:val="0"/>
        <w:adjustRightInd w:val="0"/>
        <w:spacing w:line="460" w:lineRule="exact"/>
        <w:ind w:right="-1025" w:rightChars="-366" w:firstLine="482" w:firstLineChars="200"/>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5.2 开标时间和地点</w:t>
      </w:r>
    </w:p>
    <w:p>
      <w:pPr>
        <w:pStyle w:val="15"/>
        <w:spacing w:line="460" w:lineRule="exact"/>
        <w:ind w:firstLine="480" w:firstLineChars="200"/>
        <w:rPr>
          <w:rFonts w:hint="eastAsia" w:hAnsi="宋体" w:cs="宋体"/>
          <w:color w:val="000000"/>
          <w:sz w:val="24"/>
          <w:szCs w:val="24"/>
          <w:highlight w:val="none"/>
        </w:rPr>
      </w:pPr>
      <w:r>
        <w:rPr>
          <w:rFonts w:hint="eastAsia" w:hAnsi="宋体" w:cs="宋体"/>
          <w:color w:val="000000"/>
          <w:sz w:val="24"/>
          <w:szCs w:val="24"/>
          <w:highlight w:val="none"/>
        </w:rPr>
        <w:t>5.2.1 招标人在本章第4.2.1项规定的投标截止时间（开标时间）和投标人须知前附表规定的地点公开开标。</w:t>
      </w:r>
    </w:p>
    <w:p>
      <w:pPr>
        <w:pStyle w:val="15"/>
        <w:spacing w:line="460" w:lineRule="exact"/>
        <w:ind w:firstLine="480" w:firstLineChars="200"/>
        <w:rPr>
          <w:rFonts w:hint="eastAsia" w:hAnsi="宋体" w:cs="宋体"/>
          <w:color w:val="000000"/>
          <w:sz w:val="24"/>
          <w:szCs w:val="24"/>
          <w:highlight w:val="none"/>
        </w:rPr>
      </w:pPr>
      <w:bookmarkStart w:id="77" w:name="_bookmark54"/>
      <w:bookmarkEnd w:id="77"/>
      <w:bookmarkStart w:id="78" w:name="_bookmark53"/>
      <w:bookmarkEnd w:id="78"/>
      <w:r>
        <w:rPr>
          <w:rFonts w:hint="eastAsia" w:hAnsi="宋体" w:cs="宋体"/>
          <w:color w:val="000000"/>
          <w:sz w:val="24"/>
          <w:szCs w:val="24"/>
          <w:highlight w:val="none"/>
        </w:rPr>
        <w:t>5.2.2</w:t>
      </w:r>
      <w:r>
        <w:rPr>
          <w:rFonts w:hint="eastAsia" w:hAnsi="宋体" w:cs="宋体"/>
          <w:color w:val="000000"/>
          <w:sz w:val="24"/>
          <w:szCs w:val="24"/>
          <w:highlight w:val="none"/>
          <w:lang w:val="en-US" w:eastAsia="zh-CN"/>
        </w:rPr>
        <w:t xml:space="preserve"> </w:t>
      </w:r>
      <w:r>
        <w:rPr>
          <w:rFonts w:hint="eastAsia" w:hAnsi="宋体" w:cs="宋体"/>
          <w:color w:val="000000"/>
          <w:sz w:val="24"/>
          <w:szCs w:val="24"/>
          <w:highlight w:val="none"/>
        </w:rPr>
        <w:t>开标时间和地点：见“重要事项时间地点一览表”。</w:t>
      </w:r>
    </w:p>
    <w:p>
      <w:pPr>
        <w:pStyle w:val="79"/>
        <w:wordWrap w:val="0"/>
        <w:adjustRightInd w:val="0"/>
        <w:snapToGrid w:val="0"/>
        <w:spacing w:line="460" w:lineRule="exact"/>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5.2.3</w:t>
      </w:r>
      <w:r>
        <w:rPr>
          <w:rFonts w:hint="eastAsia" w:ascii="宋体" w:hAnsi="宋体" w:cs="宋体"/>
          <w:color w:val="000000"/>
          <w:sz w:val="24"/>
          <w:szCs w:val="24"/>
          <w:highlight w:val="none"/>
          <w:lang w:val="en-US" w:eastAsia="zh-CN"/>
        </w:rPr>
        <w:t xml:space="preserve"> </w:t>
      </w:r>
      <w:r>
        <w:rPr>
          <w:rFonts w:hint="eastAsia" w:ascii="宋体" w:hAnsi="宋体" w:cs="宋体"/>
          <w:color w:val="000000"/>
          <w:kern w:val="0"/>
          <w:sz w:val="24"/>
          <w:szCs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重要事项时间地点一览表”）至电子投标截止时间（见“重要事项时间地点一览表”）期间登录全国公共资源交易平台（广东省·韶关市）（https://ygp.gdzwfw.gov.cn/ggzy-portal/#/440200/index）查询是否发布了取消开标活动的相关信息。</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5.3 开标程序</w:t>
      </w:r>
    </w:p>
    <w:p>
      <w:pPr>
        <w:pStyle w:val="15"/>
        <w:spacing w:line="460" w:lineRule="exact"/>
        <w:ind w:firstLine="480"/>
        <w:rPr>
          <w:rFonts w:hint="eastAsia" w:hAnsi="宋体" w:cs="宋体"/>
          <w:b/>
          <w:bCs/>
          <w:color w:val="000000"/>
          <w:sz w:val="24"/>
          <w:szCs w:val="24"/>
          <w:highlight w:val="none"/>
        </w:rPr>
      </w:pPr>
      <w:r>
        <w:rPr>
          <w:rFonts w:hint="eastAsia" w:hAnsi="宋体" w:cs="宋体"/>
          <w:b/>
          <w:bCs/>
          <w:color w:val="000000"/>
          <w:sz w:val="24"/>
          <w:szCs w:val="24"/>
          <w:highlight w:val="none"/>
        </w:rPr>
        <w:t>5.3.1</w:t>
      </w:r>
      <w:r>
        <w:rPr>
          <w:rFonts w:hint="eastAsia" w:hAnsi="宋体" w:cs="宋体"/>
          <w:b/>
          <w:bCs/>
          <w:color w:val="000000"/>
          <w:sz w:val="24"/>
          <w:szCs w:val="24"/>
          <w:highlight w:val="none"/>
          <w:lang w:val="en-US" w:eastAsia="zh-CN"/>
        </w:rPr>
        <w:t xml:space="preserve"> </w:t>
      </w:r>
      <w:r>
        <w:rPr>
          <w:rFonts w:hint="eastAsia" w:hAnsi="宋体" w:cs="宋体"/>
          <w:b/>
          <w:bCs/>
          <w:color w:val="000000"/>
          <w:sz w:val="24"/>
          <w:szCs w:val="24"/>
          <w:highlight w:val="none"/>
        </w:rPr>
        <w:t>主持人按下列程序进行开标：</w:t>
      </w:r>
    </w:p>
    <w:p>
      <w:pPr>
        <w:pStyle w:val="15"/>
        <w:spacing w:line="460" w:lineRule="exact"/>
        <w:ind w:firstLine="480" w:firstLineChars="200"/>
        <w:rPr>
          <w:rFonts w:hint="eastAsia" w:hAnsi="宋体" w:cs="宋体"/>
          <w:color w:val="000000"/>
          <w:kern w:val="2"/>
          <w:sz w:val="24"/>
          <w:szCs w:val="24"/>
          <w:highlight w:val="none"/>
        </w:rPr>
      </w:pPr>
      <w:r>
        <w:rPr>
          <w:rFonts w:hint="eastAsia" w:hAnsi="宋体" w:cs="宋体"/>
          <w:color w:val="000000"/>
          <w:kern w:val="2"/>
          <w:sz w:val="24"/>
          <w:szCs w:val="24"/>
          <w:highlight w:val="none"/>
        </w:rPr>
        <w:t>（1）主持人（招标人代表或招标人授权的招标代理机构人员）宣读开标纪律；</w:t>
      </w:r>
    </w:p>
    <w:p>
      <w:pPr>
        <w:pStyle w:val="15"/>
        <w:spacing w:line="460" w:lineRule="exact"/>
        <w:ind w:firstLine="480" w:firstLineChars="200"/>
        <w:rPr>
          <w:rFonts w:hint="eastAsia" w:hAnsi="宋体" w:cs="宋体"/>
          <w:color w:val="000000"/>
          <w:kern w:val="2"/>
          <w:sz w:val="24"/>
          <w:szCs w:val="24"/>
          <w:highlight w:val="none"/>
        </w:rPr>
      </w:pPr>
      <w:r>
        <w:rPr>
          <w:rFonts w:hint="eastAsia" w:hAnsi="宋体" w:cs="宋体"/>
          <w:color w:val="000000"/>
          <w:kern w:val="2"/>
          <w:sz w:val="24"/>
          <w:szCs w:val="24"/>
          <w:highlight w:val="none"/>
        </w:rPr>
        <w:t>（2）主持人宣布唱标人、记录人、见证人、监督人等有关人员姓名；</w:t>
      </w:r>
    </w:p>
    <w:p>
      <w:pPr>
        <w:wordWrap w:val="0"/>
        <w:adjustRightInd w:val="0"/>
        <w:snapToGrid w:val="0"/>
        <w:spacing w:line="460" w:lineRule="exact"/>
        <w:ind w:firstLine="480" w:firstLineChars="200"/>
        <w:rPr>
          <w:rFonts w:hint="eastAsia" w:ascii="宋体" w:hAnsi="宋体" w:cs="宋体"/>
          <w:color w:val="000000"/>
          <w:sz w:val="24"/>
          <w:szCs w:val="24"/>
          <w:highlight w:val="none"/>
        </w:rPr>
      </w:pPr>
      <w:bookmarkStart w:id="79" w:name="_bookmark55"/>
      <w:bookmarkEnd w:id="79"/>
      <w:bookmarkStart w:id="80" w:name="_Toc15738"/>
      <w:r>
        <w:rPr>
          <w:rFonts w:hint="eastAsia" w:ascii="宋体" w:hAnsi="宋体" w:cs="宋体"/>
          <w:color w:val="000000"/>
          <w:sz w:val="24"/>
          <w:szCs w:val="24"/>
          <w:highlight w:val="none"/>
        </w:rPr>
        <w:t>（3）招标代理机构在交易场所工作人员见证下对投标人的电子投标信息进行解密，建设工程交易系统自动生成《投标保证缴纳情况表》和《开标一览表》，唱标人公布在电子投标截止时间前提交投标文件的投标人数量和名称。</w:t>
      </w:r>
    </w:p>
    <w:p>
      <w:pPr>
        <w:wordWrap w:val="0"/>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（4）唱标人检查《投标保证缴纳情况表》中各投标人所缴纳投标保证的金额、有效期是否符合招标文件规定。若不符合规定，该投标人的投标无效，并将有关情形在《投标保证缴纳情况表》“备注”栏中注明。</w:t>
      </w:r>
    </w:p>
    <w:p>
      <w:pPr>
        <w:wordWrap w:val="0"/>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（5）唱标人检查《开标一览表》中各投标人的投标总价、质量标准、工期是否符合招标文件规定。若不符合规定，招标代理机构应将有关情形在《开标一览表》“备注”栏中注明。</w:t>
      </w:r>
    </w:p>
    <w:p>
      <w:pPr>
        <w:wordWrap w:val="0"/>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（6）招标人代表、唱标人、记录人等有关人员在《投标保证缴纳情况表》以及《开标一览表》上签字确认。</w:t>
      </w:r>
    </w:p>
    <w:p>
      <w:pPr>
        <w:wordWrap w:val="0"/>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（7）主持人宣布有关注意事项后，宣布开标结束。</w:t>
      </w:r>
    </w:p>
    <w:p>
      <w:pPr>
        <w:wordWrap w:val="0"/>
        <w:adjustRightInd w:val="0"/>
        <w:snapToGrid w:val="0"/>
        <w:spacing w:line="460" w:lineRule="exact"/>
        <w:ind w:firstLine="482" w:firstLineChars="200"/>
        <w:rPr>
          <w:rFonts w:hint="eastAsia" w:ascii="宋体" w:hAnsi="宋体" w:cs="宋体"/>
          <w:snapToGrid w:val="0"/>
          <w:color w:val="000000"/>
          <w:kern w:val="0"/>
          <w:sz w:val="24"/>
          <w:szCs w:val="24"/>
          <w:highlight w:val="none"/>
        </w:rPr>
      </w:pPr>
      <w:r>
        <w:rPr>
          <w:rFonts w:hint="eastAsia" w:ascii="宋体" w:hAnsi="宋体" w:cs="宋体"/>
          <w:b/>
          <w:bCs/>
          <w:snapToGrid w:val="0"/>
          <w:color w:val="000000"/>
          <w:kern w:val="0"/>
          <w:sz w:val="24"/>
          <w:szCs w:val="24"/>
          <w:highlight w:val="none"/>
          <w:u w:val="single"/>
        </w:rPr>
        <w:t>注：因本工程采用全流程电子招标投标方式进行招标，以网上电子解密唱标信息为准。全流程电子招标投标采用线上评审，以电子投标文件为准。</w:t>
      </w:r>
      <w:bookmarkEnd w:id="80"/>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5.4 开标异议</w:t>
      </w:r>
    </w:p>
    <w:p>
      <w:pPr>
        <w:pStyle w:val="15"/>
        <w:spacing w:line="460" w:lineRule="exact"/>
        <w:ind w:firstLine="480"/>
        <w:rPr>
          <w:rFonts w:hAnsi="宋体" w:cs="宋体"/>
          <w:color w:val="000000"/>
          <w:kern w:val="2"/>
          <w:sz w:val="24"/>
          <w:szCs w:val="24"/>
          <w:highlight w:val="none"/>
        </w:rPr>
      </w:pPr>
      <w:r>
        <w:rPr>
          <w:rFonts w:hint="eastAsia" w:hAnsi="宋体" w:cs="宋体"/>
          <w:color w:val="000000"/>
          <w:kern w:val="2"/>
          <w:sz w:val="24"/>
          <w:szCs w:val="24"/>
          <w:highlight w:val="none"/>
        </w:rPr>
        <w:t>5.4.1 投标人对开标相关事项（如开标程序、唱标次序和内容等）有异议的，必须在开标期间和开标现场提出，招标人或其授权的招标代理机构应当场作出答复，并记录在案。对开标事项的异议未在开标期间和开标现场提出的，招标人不予受理。</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81" w:name="_bookmark56"/>
      <w:bookmarkEnd w:id="81"/>
      <w:bookmarkStart w:id="82" w:name="_Toc19741_WPSOffice_Level2"/>
      <w:r>
        <w:rPr>
          <w:rFonts w:hint="eastAsia" w:ascii="宋体" w:hAnsi="宋体" w:cs="宋体"/>
          <w:b/>
          <w:bCs/>
          <w:color w:val="000000"/>
          <w:kern w:val="0"/>
          <w:sz w:val="24"/>
          <w:szCs w:val="24"/>
          <w:highlight w:val="none"/>
        </w:rPr>
        <w:t>6.评标</w:t>
      </w:r>
      <w:bookmarkEnd w:id="82"/>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83" w:name="_bookmark57"/>
      <w:bookmarkEnd w:id="83"/>
      <w:r>
        <w:rPr>
          <w:rFonts w:hint="eastAsia" w:ascii="宋体" w:hAnsi="宋体" w:cs="宋体"/>
          <w:b/>
          <w:bCs/>
          <w:color w:val="000000"/>
          <w:kern w:val="0"/>
          <w:sz w:val="24"/>
          <w:szCs w:val="24"/>
          <w:highlight w:val="none"/>
        </w:rPr>
        <w:t>6.1 评标委员会</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6.1.2评标委员会成员有下列情形之一的，应当回避：</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（1）投标人或投标人主要负责人的近亲属；</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（2）项目主管部门或者行政监督部门的人员；</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（3）与投标人有经济利益关系，可能影响对投标公正评审的；</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（4）曾因在招标、评标以及其他与招标投标有关活动中从事违法行为而受过行政处罚或刑事处罚的；</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（5）与投标人有其他利害关系。</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6.1.3评标过程中，评标委员会成员有回避事由、擅离职守或者因健康等原因不能继续评标的，招标人有权更换。被更换的评标委员会成员作出的评审结论无效，由更换后的评标委员会成员重新进行评审。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84" w:name="_bookmark58"/>
      <w:bookmarkEnd w:id="84"/>
      <w:r>
        <w:rPr>
          <w:rFonts w:hint="eastAsia" w:ascii="宋体" w:hAnsi="宋体" w:cs="宋体"/>
          <w:b/>
          <w:bCs/>
          <w:color w:val="000000"/>
          <w:kern w:val="0"/>
          <w:sz w:val="24"/>
          <w:szCs w:val="24"/>
          <w:highlight w:val="none"/>
        </w:rPr>
        <w:t>6.2 评标原则</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评标活动遵循公平、公正、科学和择优的原则。</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85" w:name="_bookmark59"/>
      <w:bookmarkEnd w:id="85"/>
      <w:r>
        <w:rPr>
          <w:rFonts w:hint="eastAsia" w:ascii="宋体" w:hAnsi="宋体" w:cs="宋体"/>
          <w:b/>
          <w:bCs/>
          <w:color w:val="000000"/>
          <w:kern w:val="0"/>
          <w:sz w:val="24"/>
          <w:szCs w:val="24"/>
          <w:highlight w:val="none"/>
        </w:rPr>
        <w:t>6.3 评标</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6.3.1评标委员会按照第三章“评标标准和办法”规定的方法、评审因素、标准和程序对投标文件进行评审。第三章“评标标准和办法”没有规定的方法、评审因素和标准，不作为评标依据。</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6.3.2评标完成后，评标委员会应当向招标人提交书面评标报告和中标候选人名单。评标委员会推荐中标候选人的人数见投标人须知前附表。</w:t>
      </w:r>
    </w:p>
    <w:p>
      <w:pPr>
        <w:adjustRightInd w:val="0"/>
        <w:snapToGrid w:val="0"/>
        <w:spacing w:line="460" w:lineRule="exact"/>
        <w:ind w:firstLine="482" w:firstLineChars="200"/>
        <w:rPr>
          <w:rFonts w:hint="eastAsia" w:ascii="宋体" w:hAnsi="宋体" w:cs="宋体"/>
          <w:color w:val="000000"/>
          <w:sz w:val="24"/>
          <w:szCs w:val="24"/>
          <w:highlight w:val="none"/>
        </w:rPr>
      </w:pPr>
      <w:r>
        <w:rPr>
          <w:rFonts w:hint="eastAsia" w:ascii="宋体" w:hAnsi="宋体" w:cs="宋体"/>
          <w:b/>
          <w:bCs/>
          <w:snapToGrid w:val="0"/>
          <w:color w:val="000000"/>
          <w:kern w:val="0"/>
          <w:sz w:val="24"/>
          <w:szCs w:val="24"/>
          <w:highlight w:val="none"/>
          <w:u w:val="single"/>
        </w:rPr>
        <w:t>注：全流程电子招标投标采用线上评审，以电子投标文件为准。</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86" w:name="_bookmark60"/>
      <w:bookmarkEnd w:id="86"/>
      <w:bookmarkStart w:id="87" w:name="_Toc24198_WPSOffice_Level2"/>
      <w:r>
        <w:rPr>
          <w:rFonts w:hint="eastAsia" w:ascii="宋体" w:hAnsi="宋体" w:cs="宋体"/>
          <w:b/>
          <w:bCs/>
          <w:color w:val="000000"/>
          <w:kern w:val="0"/>
          <w:sz w:val="24"/>
          <w:szCs w:val="24"/>
          <w:highlight w:val="none"/>
        </w:rPr>
        <w:t>7.合同授予</w:t>
      </w:r>
      <w:bookmarkEnd w:id="87"/>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88" w:name="_bookmark61"/>
      <w:bookmarkEnd w:id="88"/>
      <w:r>
        <w:rPr>
          <w:rFonts w:hint="eastAsia" w:ascii="宋体" w:hAnsi="宋体" w:cs="宋体"/>
          <w:b/>
          <w:bCs/>
          <w:color w:val="000000"/>
          <w:kern w:val="0"/>
          <w:sz w:val="24"/>
          <w:szCs w:val="24"/>
          <w:highlight w:val="none"/>
        </w:rPr>
        <w:t>7.1 中标候选人公示</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招标人在收到评标报告之日起 3 日内，按照投标人须知前附表规定的公示媒介和期限公示中标候选人，公示期不得少于 3 天。</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89" w:name="_bookmark62"/>
      <w:bookmarkEnd w:id="89"/>
      <w:r>
        <w:rPr>
          <w:rFonts w:hint="eastAsia" w:ascii="宋体" w:hAnsi="宋体" w:cs="宋体"/>
          <w:b/>
          <w:bCs/>
          <w:color w:val="000000"/>
          <w:kern w:val="0"/>
          <w:sz w:val="24"/>
          <w:szCs w:val="24"/>
          <w:highlight w:val="none"/>
        </w:rPr>
        <w:t>7.2 评标结果异议</w:t>
      </w:r>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投标人或者其他利害关系人对评标结果有异议的，应当在中标候选人公示期间提出。招标人将在收到异议之日起 3 日内作出答复；作出答复前，将暂停招标投标活动。</w:t>
      </w:r>
    </w:p>
    <w:p>
      <w:pPr>
        <w:adjustRightInd w:val="0"/>
        <w:snapToGrid w:val="0"/>
        <w:spacing w:line="460" w:lineRule="exact"/>
        <w:rPr>
          <w:rFonts w:hint="eastAsia" w:ascii="宋体" w:hAnsi="宋体" w:cs="宋体"/>
          <w:b/>
          <w:bCs/>
          <w:color w:val="000000"/>
          <w:sz w:val="24"/>
          <w:szCs w:val="24"/>
          <w:highlight w:val="none"/>
        </w:rPr>
      </w:pPr>
      <w:bookmarkStart w:id="90" w:name="_bookmark64"/>
      <w:bookmarkEnd w:id="90"/>
      <w:bookmarkStart w:id="91" w:name="_bookmark63"/>
      <w:bookmarkEnd w:id="91"/>
      <w:r>
        <w:rPr>
          <w:rFonts w:hint="eastAsia" w:ascii="宋体" w:hAnsi="宋体" w:cs="宋体"/>
          <w:b/>
          <w:bCs/>
          <w:color w:val="000000"/>
          <w:sz w:val="24"/>
          <w:szCs w:val="24"/>
          <w:highlight w:val="none"/>
        </w:rPr>
        <w:t>7.3 中标候选人履约能力审查</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中标候选人的经营、财务状况发生较大变化或存在违法行为，招标人认为可能影响其履约能力的，将在发出中标通知书前提请原评标委员会按照招标文件规定的标准和方法进行审查认。</w:t>
      </w:r>
    </w:p>
    <w:p>
      <w:pPr>
        <w:adjustRightInd w:val="0"/>
        <w:snapToGrid w:val="0"/>
        <w:spacing w:line="46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7.4 定标</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按照投标人须知前附表的规定，招标人或招标人授权的评标委员会依法确定中标人。</w:t>
      </w:r>
    </w:p>
    <w:p>
      <w:pPr>
        <w:adjustRightInd w:val="0"/>
        <w:snapToGrid w:val="0"/>
        <w:spacing w:line="46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7.5 中标通知</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在本章第3.3款规定的投标有效期内，招标人以书面形式向中标人发出中标通知书，同时将中标结果通知未中标的投标人。</w:t>
      </w:r>
    </w:p>
    <w:p>
      <w:pPr>
        <w:adjustRightInd w:val="0"/>
        <w:snapToGrid w:val="0"/>
        <w:spacing w:line="46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7.6 履约保证金</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7.6.1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w:t>
      </w: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rPr>
        <w:t>%。</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7.6.2 中标人不能按本章第7.6.1项要求提交履约保证金的，视为放弃中标，其投标保证金不予退还，给招标人造成的损失超过投标保证金数额的，中标人还应当对超过部分予以赔偿。</w:t>
      </w:r>
    </w:p>
    <w:p>
      <w:pPr>
        <w:adjustRightInd w:val="0"/>
        <w:snapToGrid w:val="0"/>
        <w:spacing w:line="46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7.7 签订合同</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7.7.1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7.7.2 发出中标通知书后，招标人无正当理由拒签合同，或者在签订合同时向中标人提出附加条件的，招标人向中标人退还投标保证金；给中标人造成损失的，还应当赔偿损失。</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7.7.3联合体中标的，联合体各方应当共同与招标人签订合同，就中标项目向招标人承担连带责任。</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92" w:name="_Toc24348"/>
      <w:r>
        <w:rPr>
          <w:rFonts w:hint="eastAsia" w:ascii="宋体" w:hAnsi="宋体" w:cs="宋体"/>
          <w:b/>
          <w:bCs/>
          <w:color w:val="000000"/>
          <w:kern w:val="0"/>
          <w:sz w:val="24"/>
          <w:szCs w:val="24"/>
          <w:highlight w:val="none"/>
        </w:rPr>
        <w:t>8．重新招标和不再招标</w:t>
      </w:r>
      <w:bookmarkEnd w:id="92"/>
    </w:p>
    <w:p>
      <w:pPr>
        <w:adjustRightInd w:val="0"/>
        <w:snapToGrid w:val="0"/>
        <w:spacing w:line="460" w:lineRule="exact"/>
        <w:rPr>
          <w:rFonts w:hint="eastAsia" w:ascii="宋体" w:hAnsi="宋体" w:cs="宋体"/>
          <w:b/>
          <w:color w:val="000000"/>
          <w:sz w:val="24"/>
          <w:szCs w:val="24"/>
          <w:highlight w:val="none"/>
        </w:rPr>
      </w:pPr>
      <w:r>
        <w:rPr>
          <w:rFonts w:hint="eastAsia" w:ascii="宋体" w:hAnsi="宋体" w:cs="宋体"/>
          <w:b/>
          <w:color w:val="000000"/>
          <w:sz w:val="24"/>
          <w:szCs w:val="24"/>
          <w:highlight w:val="none"/>
        </w:rPr>
        <w:t>8.1 重新招标</w:t>
      </w:r>
    </w:p>
    <w:p>
      <w:pPr>
        <w:adjustRightInd w:val="0"/>
        <w:snapToGrid w:val="0"/>
        <w:spacing w:line="460" w:lineRule="exact"/>
        <w:ind w:firstLine="600" w:firstLineChars="250"/>
        <w:rPr>
          <w:rFonts w:hint="eastAsia" w:ascii="宋体" w:hAnsi="宋体" w:cs="宋体"/>
          <w:color w:val="000000"/>
          <w:sz w:val="24"/>
          <w:szCs w:val="24"/>
          <w:highlight w:val="none"/>
        </w:rPr>
      </w:pPr>
      <w:r>
        <w:rPr>
          <w:rFonts w:hint="eastAsia" w:ascii="宋体" w:hAnsi="宋体" w:cs="宋体"/>
          <w:color w:val="000000"/>
          <w:sz w:val="24"/>
          <w:szCs w:val="24"/>
          <w:highlight w:val="none"/>
        </w:rPr>
        <w:t>有下列情形之一的，招标人将重新招标：</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（1）投标截止时间止，投标人少于3个的；</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（2）经评标委员会资格评审后投标人少于3个的；</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（3）经评标委员会评审后否决所有投标的；</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（4）评标委员会否决不合格投标或者界定为废标后因有效投标不足3个使得投标明显缺乏竞争，评标委员会决定否决全部投标的；</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（5）同意延长投标有效期的投标人少于3个的；</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（6）中标候选人均未与招标人签订合同的。</w:t>
      </w:r>
    </w:p>
    <w:p>
      <w:pPr>
        <w:adjustRightInd w:val="0"/>
        <w:snapToGrid w:val="0"/>
        <w:spacing w:line="460" w:lineRule="exact"/>
        <w:rPr>
          <w:rFonts w:hint="eastAsia" w:ascii="宋体" w:hAnsi="宋体" w:cs="宋体"/>
          <w:b/>
          <w:color w:val="000000"/>
          <w:sz w:val="24"/>
          <w:szCs w:val="24"/>
          <w:highlight w:val="none"/>
        </w:rPr>
      </w:pPr>
      <w:r>
        <w:rPr>
          <w:rFonts w:hint="eastAsia" w:ascii="宋体" w:hAnsi="宋体" w:cs="宋体"/>
          <w:b/>
          <w:color w:val="000000"/>
          <w:sz w:val="24"/>
          <w:szCs w:val="24"/>
          <w:highlight w:val="none"/>
        </w:rPr>
        <w:t>8.2 不再招标</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重新招标后，仍出现本章第8.1条规定情形之一的，属于必须审批的工程建设项目，经原核准招标方式部门批准后不再进行招标。</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93" w:name="_Toc15985"/>
      <w:r>
        <w:rPr>
          <w:rFonts w:hint="eastAsia" w:ascii="宋体" w:hAnsi="宋体" w:cs="宋体"/>
          <w:b/>
          <w:bCs/>
          <w:color w:val="000000"/>
          <w:kern w:val="0"/>
          <w:sz w:val="24"/>
          <w:szCs w:val="24"/>
          <w:highlight w:val="none"/>
        </w:rPr>
        <w:t>9．纪律和监督</w:t>
      </w:r>
      <w:bookmarkEnd w:id="93"/>
    </w:p>
    <w:p>
      <w:pPr>
        <w:adjustRightInd w:val="0"/>
        <w:snapToGrid w:val="0"/>
        <w:spacing w:line="460" w:lineRule="exact"/>
        <w:rPr>
          <w:rFonts w:hint="eastAsia" w:ascii="宋体" w:hAnsi="宋体" w:cs="宋体"/>
          <w:color w:val="000000"/>
          <w:sz w:val="24"/>
          <w:szCs w:val="24"/>
          <w:highlight w:val="none"/>
        </w:rPr>
      </w:pPr>
      <w:r>
        <w:rPr>
          <w:rFonts w:hint="eastAsia" w:ascii="宋体" w:hAnsi="宋体" w:cs="宋体"/>
          <w:b/>
          <w:color w:val="000000"/>
          <w:sz w:val="24"/>
          <w:szCs w:val="24"/>
          <w:highlight w:val="none"/>
        </w:rPr>
        <w:t>9.1 对招标人的纪律要求</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招标人不得泄露招标投标活动中应当保密的情况和资料，不得与投标人串通损害国家利益、社会公共利益或者他人合法权益。</w:t>
      </w:r>
    </w:p>
    <w:p>
      <w:pPr>
        <w:adjustRightInd w:val="0"/>
        <w:snapToGrid w:val="0"/>
        <w:spacing w:line="460" w:lineRule="exact"/>
        <w:rPr>
          <w:rFonts w:hint="eastAsia" w:ascii="宋体" w:hAnsi="宋体" w:cs="宋体"/>
          <w:color w:val="000000"/>
          <w:sz w:val="24"/>
          <w:szCs w:val="24"/>
          <w:highlight w:val="none"/>
        </w:rPr>
      </w:pPr>
      <w:r>
        <w:rPr>
          <w:rFonts w:hint="eastAsia" w:ascii="宋体" w:hAnsi="宋体" w:cs="宋体"/>
          <w:b/>
          <w:bCs/>
          <w:color w:val="000000"/>
          <w:sz w:val="24"/>
          <w:szCs w:val="24"/>
          <w:highlight w:val="none"/>
        </w:rPr>
        <w:t>9.2 对投标人的纪律要求</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9.2.1 下列行为均属以他人名义投标：</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（1）投标人挂靠其他单位；</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（2）投标人从其它单位通过转让或租借的方式获取资格或资质证书；</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（3）有其它单位及法定代表人在自己编织的投标文件上加盖印章或签字的行为。</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9.2.2 下列行为视为允许他人以本单位名义承揽工程：</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（1）投标人的法定代表人的委托代理人不是投标人本单位人员；</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投标人本单位人员，必须同时满足以下条件：</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（1）聘任合同必须由投标单位与之签订；</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（2）与投标单位有合法的工资关系；</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（3）投标人单位为其办理社会保险关系，或具有其他有效证明其为本单位人员身份的文件。</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9.2.3 下列行为均属于投标人串通投标报价：</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（1）投标人之间相互约定抬高或压低投标报价；</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（2）投标人之间相互约定，在招标项目中分别以高、中、低价位报价；</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（3）投标人之间先进行内部竞价，内定中标人，然后再参加投标；</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（4）投标人之间其他串通投标报价的行为。</w:t>
      </w:r>
    </w:p>
    <w:p>
      <w:pPr>
        <w:adjustRightInd w:val="0"/>
        <w:snapToGrid w:val="0"/>
        <w:spacing w:line="460" w:lineRule="exact"/>
        <w:rPr>
          <w:rFonts w:hint="eastAsia" w:ascii="宋体" w:hAnsi="宋体" w:cs="宋体"/>
          <w:color w:val="000000"/>
          <w:sz w:val="24"/>
          <w:szCs w:val="24"/>
          <w:highlight w:val="none"/>
        </w:rPr>
      </w:pPr>
      <w:r>
        <w:rPr>
          <w:rFonts w:hint="eastAsia" w:ascii="宋体" w:hAnsi="宋体" w:cs="宋体"/>
          <w:b/>
          <w:color w:val="000000"/>
          <w:sz w:val="24"/>
          <w:szCs w:val="24"/>
          <w:highlight w:val="none"/>
        </w:rPr>
        <w:t>9.3 对评标委员会成员的纪律要求</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djustRightInd w:val="0"/>
        <w:snapToGrid w:val="0"/>
        <w:spacing w:line="460" w:lineRule="exact"/>
        <w:rPr>
          <w:rFonts w:hint="eastAsia" w:ascii="宋体" w:hAnsi="宋体" w:cs="宋体"/>
          <w:b/>
          <w:color w:val="000000"/>
          <w:sz w:val="24"/>
          <w:szCs w:val="24"/>
          <w:highlight w:val="none"/>
        </w:rPr>
      </w:pPr>
      <w:r>
        <w:rPr>
          <w:rFonts w:hint="eastAsia" w:ascii="宋体" w:hAnsi="宋体" w:cs="宋体"/>
          <w:b/>
          <w:color w:val="000000"/>
          <w:sz w:val="24"/>
          <w:szCs w:val="24"/>
          <w:highlight w:val="none"/>
        </w:rPr>
        <w:t>9.4 对与评标活动有关的工作人员的纪律要求</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djustRightInd w:val="0"/>
        <w:snapToGrid w:val="0"/>
        <w:spacing w:line="460" w:lineRule="exact"/>
        <w:rPr>
          <w:rFonts w:hint="eastAsia" w:ascii="宋体" w:hAnsi="宋体" w:cs="宋体"/>
          <w:b/>
          <w:color w:val="000000"/>
          <w:sz w:val="24"/>
          <w:szCs w:val="24"/>
          <w:highlight w:val="none"/>
        </w:rPr>
      </w:pPr>
      <w:r>
        <w:rPr>
          <w:rFonts w:hint="eastAsia" w:ascii="宋体" w:hAnsi="宋体" w:cs="宋体"/>
          <w:b/>
          <w:color w:val="000000"/>
          <w:sz w:val="24"/>
          <w:szCs w:val="24"/>
          <w:highlight w:val="none"/>
        </w:rPr>
        <w:t>9.5 投诉</w:t>
      </w:r>
    </w:p>
    <w:p>
      <w:pPr>
        <w:adjustRightInd w:val="0"/>
        <w:snapToGrid w:val="0"/>
        <w:spacing w:line="46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投标人和其他利害关系人认为本次招标活动违反法律、法规和规章规定的，有权向有关行政监督部门投诉。</w:t>
      </w:r>
    </w:p>
    <w:p>
      <w:pPr>
        <w:autoSpaceDE w:val="0"/>
        <w:autoSpaceDN w:val="0"/>
        <w:adjustRightInd w:val="0"/>
        <w:spacing w:line="460" w:lineRule="exact"/>
        <w:ind w:right="-1025" w:rightChars="-366"/>
        <w:jc w:val="left"/>
        <w:rPr>
          <w:rFonts w:hint="eastAsia" w:ascii="宋体" w:hAnsi="宋体" w:cs="宋体"/>
          <w:b/>
          <w:bCs/>
          <w:color w:val="000000"/>
          <w:kern w:val="0"/>
          <w:sz w:val="24"/>
          <w:szCs w:val="24"/>
          <w:highlight w:val="none"/>
        </w:rPr>
      </w:pPr>
      <w:bookmarkStart w:id="94" w:name="_Toc27589_WPSOffice_Level2"/>
      <w:r>
        <w:rPr>
          <w:rFonts w:hint="eastAsia" w:ascii="宋体" w:hAnsi="宋体" w:cs="宋体"/>
          <w:b/>
          <w:bCs/>
          <w:color w:val="000000"/>
          <w:kern w:val="0"/>
          <w:sz w:val="24"/>
          <w:szCs w:val="24"/>
          <w:highlight w:val="none"/>
        </w:rPr>
        <w:t>10.是否采用电子招标投标</w:t>
      </w:r>
      <w:bookmarkEnd w:id="94"/>
    </w:p>
    <w:p>
      <w:pPr>
        <w:pStyle w:val="15"/>
        <w:spacing w:line="460" w:lineRule="exact"/>
        <w:ind w:firstLine="480"/>
        <w:rPr>
          <w:rFonts w:hint="eastAsia" w:hAnsi="宋体" w:cs="宋体"/>
          <w:color w:val="000000"/>
          <w:sz w:val="24"/>
          <w:szCs w:val="24"/>
          <w:highlight w:val="none"/>
        </w:rPr>
      </w:pPr>
      <w:r>
        <w:rPr>
          <w:rFonts w:hint="eastAsia" w:hAnsi="宋体" w:cs="宋体"/>
          <w:color w:val="000000"/>
          <w:sz w:val="24"/>
          <w:szCs w:val="24"/>
          <w:highlight w:val="none"/>
        </w:rPr>
        <w:t>本招标项目是否采用电子招标投标方式，见投标人须知前附表。</w:t>
      </w:r>
    </w:p>
    <w:p>
      <w:pPr>
        <w:adjustRightInd w:val="0"/>
        <w:snapToGrid w:val="0"/>
        <w:spacing w:line="46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11. 需要补充的其他内容</w:t>
      </w:r>
    </w:p>
    <w:p>
      <w:pPr>
        <w:adjustRightInd w:val="0"/>
        <w:snapToGrid w:val="0"/>
        <w:spacing w:line="460" w:lineRule="exact"/>
        <w:ind w:firstLine="480" w:firstLineChars="200"/>
        <w:rPr>
          <w:rFonts w:hint="eastAsia" w:hAnsi="宋体" w:cs="宋体"/>
          <w:color w:val="000000"/>
          <w:sz w:val="21"/>
          <w:highlight w:val="none"/>
        </w:rPr>
      </w:pPr>
      <w:r>
        <w:rPr>
          <w:rFonts w:hint="eastAsia" w:ascii="宋体" w:hAnsi="宋体" w:cs="宋体"/>
          <w:color w:val="000000"/>
          <w:sz w:val="24"/>
          <w:szCs w:val="24"/>
          <w:highlight w:val="none"/>
        </w:rPr>
        <w:t>需要补充的其他内容：见投标人须知前附表。</w:t>
      </w:r>
    </w:p>
    <w:p>
      <w:pPr>
        <w:pStyle w:val="15"/>
        <w:spacing w:line="360" w:lineRule="auto"/>
        <w:ind w:firstLine="480"/>
        <w:rPr>
          <w:rFonts w:hint="eastAsia" w:hAnsi="宋体" w:cs="宋体"/>
          <w:color w:val="000000"/>
          <w:sz w:val="21"/>
          <w:highlight w:val="none"/>
        </w:rPr>
        <w:sectPr>
          <w:pgSz w:w="11905" w:h="16838"/>
          <w:pgMar w:top="1417" w:right="1417" w:bottom="1417" w:left="1417" w:header="850" w:footer="992" w:gutter="0"/>
          <w:cols w:space="720" w:num="1"/>
          <w:docGrid w:type="lines" w:linePitch="389" w:charSpace="0"/>
        </w:sectPr>
      </w:pPr>
    </w:p>
    <w:p>
      <w:pPr>
        <w:pStyle w:val="23"/>
        <w:spacing w:before="0" w:after="0" w:line="360" w:lineRule="auto"/>
        <w:rPr>
          <w:rFonts w:hint="eastAsia"/>
          <w:color w:val="000000"/>
          <w:highlight w:val="none"/>
        </w:rPr>
      </w:pPr>
      <w:bookmarkStart w:id="95" w:name="_Toc18775"/>
      <w:r>
        <w:rPr>
          <w:rFonts w:hint="eastAsia"/>
          <w:color w:val="000000"/>
          <w:highlight w:val="none"/>
        </w:rPr>
        <w:t>第三章</w:t>
      </w:r>
      <w:r>
        <w:rPr>
          <w:rFonts w:hint="eastAsia"/>
          <w:color w:val="000000"/>
          <w:highlight w:val="none"/>
          <w:lang w:val="en-US" w:eastAsia="zh-CN"/>
        </w:rPr>
        <w:t xml:space="preserve"> </w:t>
      </w:r>
      <w:r>
        <w:rPr>
          <w:rFonts w:hint="eastAsia"/>
          <w:color w:val="000000"/>
          <w:highlight w:val="none"/>
        </w:rPr>
        <w:t>评标标准和办法</w:t>
      </w:r>
      <w:bookmarkEnd w:id="95"/>
    </w:p>
    <w:p>
      <w:pPr>
        <w:spacing w:line="360" w:lineRule="auto"/>
        <w:rPr>
          <w:b/>
          <w:bCs/>
          <w:color w:val="000000"/>
          <w:sz w:val="24"/>
          <w:highlight w:val="none"/>
        </w:rPr>
      </w:pPr>
      <w:bookmarkStart w:id="96" w:name="_Toc21265995"/>
      <w:bookmarkStart w:id="97" w:name="_Toc4677_WPSOffice_Level2"/>
      <w:bookmarkStart w:id="98" w:name="_Toc7172122"/>
      <w:r>
        <w:rPr>
          <w:rFonts w:hint="eastAsia"/>
          <w:b/>
          <w:bCs/>
          <w:color w:val="000000"/>
          <w:sz w:val="24"/>
          <w:highlight w:val="none"/>
        </w:rPr>
        <w:t>一、评标办法前附表</w:t>
      </w:r>
      <w:bookmarkEnd w:id="96"/>
      <w:bookmarkEnd w:id="97"/>
      <w:bookmarkEnd w:id="98"/>
    </w:p>
    <w:tbl>
      <w:tblPr>
        <w:tblStyle w:val="27"/>
        <w:tblW w:w="9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8"/>
        <w:gridCol w:w="981"/>
        <w:gridCol w:w="1579"/>
        <w:gridCol w:w="6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1028" w:type="dxa"/>
            <w:noWrap w:val="0"/>
            <w:vAlign w:val="center"/>
          </w:tcPr>
          <w:p>
            <w:pPr>
              <w:pStyle w:val="74"/>
              <w:spacing w:line="240" w:lineRule="auto"/>
              <w:jc w:val="center"/>
              <w:rPr>
                <w:rFonts w:ascii="宋体" w:hAnsi="宋体" w:eastAsia="宋体" w:cs="宋体"/>
                <w:b/>
                <w:bCs/>
                <w:color w:val="000000"/>
                <w:sz w:val="24"/>
                <w:szCs w:val="24"/>
                <w:highlight w:val="none"/>
              </w:rPr>
            </w:pPr>
            <w:bookmarkStart w:id="99" w:name="_Toc23803_WPSOffice_Level2"/>
            <w:r>
              <w:rPr>
                <w:rFonts w:hint="eastAsia" w:ascii="宋体" w:hAnsi="宋体" w:eastAsia="宋体" w:cs="宋体"/>
                <w:b/>
                <w:bCs/>
                <w:color w:val="000000"/>
                <w:sz w:val="24"/>
                <w:szCs w:val="24"/>
                <w:highlight w:val="none"/>
              </w:rPr>
              <w:t>条款号</w:t>
            </w:r>
          </w:p>
        </w:tc>
        <w:tc>
          <w:tcPr>
            <w:tcW w:w="2560" w:type="dxa"/>
            <w:gridSpan w:val="2"/>
            <w:noWrap w:val="0"/>
            <w:vAlign w:val="center"/>
          </w:tcPr>
          <w:p>
            <w:pPr>
              <w:pStyle w:val="74"/>
              <w:spacing w:line="240" w:lineRule="auto"/>
              <w:jc w:val="center"/>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评审因素</w:t>
            </w:r>
          </w:p>
        </w:tc>
        <w:tc>
          <w:tcPr>
            <w:tcW w:w="6279" w:type="dxa"/>
            <w:noWrap w:val="0"/>
            <w:vAlign w:val="center"/>
          </w:tcPr>
          <w:p>
            <w:pPr>
              <w:pStyle w:val="74"/>
              <w:spacing w:line="240" w:lineRule="auto"/>
              <w:jc w:val="center"/>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028" w:type="dxa"/>
            <w:vMerge w:val="restart"/>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2.1.1</w:t>
            </w:r>
          </w:p>
        </w:tc>
        <w:tc>
          <w:tcPr>
            <w:tcW w:w="981" w:type="dxa"/>
            <w:vMerge w:val="restart"/>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形式评审标准</w:t>
            </w: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投标人名称</w:t>
            </w:r>
          </w:p>
        </w:tc>
        <w:tc>
          <w:tcPr>
            <w:tcW w:w="6279" w:type="dxa"/>
            <w:noWrap w:val="0"/>
            <w:vAlign w:val="center"/>
          </w:tcPr>
          <w:p>
            <w:pPr>
              <w:pStyle w:val="74"/>
              <w:spacing w:line="240" w:lineRule="auto"/>
              <w:ind w:firstLine="240" w:firstLineChars="100"/>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投标文件格式</w:t>
            </w:r>
          </w:p>
        </w:tc>
        <w:tc>
          <w:tcPr>
            <w:tcW w:w="6279" w:type="dxa"/>
            <w:noWrap w:val="0"/>
            <w:vAlign w:val="center"/>
          </w:tcPr>
          <w:p>
            <w:pPr>
              <w:pStyle w:val="74"/>
              <w:spacing w:line="240" w:lineRule="auto"/>
              <w:ind w:firstLine="240" w:firstLineChars="100"/>
              <w:rPr>
                <w:rFonts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zh-CN" w:eastAsia="zh-CN"/>
              </w:rPr>
              <w:t>符合第</w:t>
            </w:r>
            <w:r>
              <w:rPr>
                <w:rFonts w:hint="eastAsia" w:ascii="宋体" w:hAnsi="宋体" w:eastAsia="宋体" w:cs="宋体"/>
                <w:color w:val="000000"/>
                <w:sz w:val="24"/>
                <w:szCs w:val="24"/>
                <w:highlight w:val="none"/>
                <w:lang w:eastAsia="zh-CN"/>
              </w:rPr>
              <w:t>六</w:t>
            </w:r>
            <w:r>
              <w:rPr>
                <w:rFonts w:hint="eastAsia" w:ascii="宋体" w:hAnsi="宋体" w:eastAsia="宋体" w:cs="宋体"/>
                <w:color w:val="000000"/>
                <w:sz w:val="24"/>
                <w:szCs w:val="24"/>
                <w:highlight w:val="none"/>
                <w:lang w:val="zh-CN" w:eastAsia="zh-CN"/>
              </w:rPr>
              <w:t>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zh-CN"/>
              </w:rPr>
              <w:t>签字盖章</w:t>
            </w:r>
          </w:p>
        </w:tc>
        <w:tc>
          <w:tcPr>
            <w:tcW w:w="6279" w:type="dxa"/>
            <w:noWrap w:val="0"/>
            <w:vAlign w:val="center"/>
          </w:tcPr>
          <w:p>
            <w:pPr>
              <w:pStyle w:val="74"/>
              <w:spacing w:line="240" w:lineRule="auto"/>
              <w:ind w:firstLine="240" w:firstLineChars="100"/>
              <w:rPr>
                <w:rFonts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zh-CN" w:eastAsia="zh-CN"/>
              </w:rPr>
              <w:t>符合第二章“投标人须知”第3.7.3款规定。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1028" w:type="dxa"/>
            <w:vMerge w:val="restart"/>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2.1.2</w:t>
            </w:r>
          </w:p>
        </w:tc>
        <w:tc>
          <w:tcPr>
            <w:tcW w:w="981" w:type="dxa"/>
            <w:vMerge w:val="restart"/>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资格评审标准</w:t>
            </w:r>
          </w:p>
        </w:tc>
        <w:tc>
          <w:tcPr>
            <w:tcW w:w="1579" w:type="dxa"/>
            <w:noWrap w:val="0"/>
            <w:vAlign w:val="center"/>
          </w:tcPr>
          <w:p>
            <w:pPr>
              <w:pStyle w:val="74"/>
              <w:spacing w:line="240" w:lineRule="auto"/>
              <w:jc w:val="center"/>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营业执照</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kern w:val="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资质要求</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符合第二章“投标人须知”第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kern w:val="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其他要求</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符合第二章“投标人须知”第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kern w:val="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zh-CN" w:eastAsia="zh-CN"/>
              </w:rPr>
              <w:t>不存在禁止投标的情形</w:t>
            </w:r>
          </w:p>
        </w:tc>
        <w:tc>
          <w:tcPr>
            <w:tcW w:w="6279" w:type="dxa"/>
            <w:noWrap w:val="0"/>
            <w:vAlign w:val="center"/>
          </w:tcPr>
          <w:p>
            <w:pPr>
              <w:pStyle w:val="74"/>
              <w:spacing w:line="240" w:lineRule="auto"/>
              <w:ind w:firstLine="240" w:firstLineChars="100"/>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zh-CN" w:eastAsia="zh-CN"/>
              </w:rPr>
              <w:t>不存在第二章“投标人须知”第 1.4.3 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1028" w:type="dxa"/>
            <w:vMerge w:val="restart"/>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2.1.3</w:t>
            </w:r>
          </w:p>
        </w:tc>
        <w:tc>
          <w:tcPr>
            <w:tcW w:w="981" w:type="dxa"/>
            <w:vMerge w:val="restart"/>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响应性评审标准</w:t>
            </w: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投标报价</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符合第二章“投标人须知”第 3.2款规定。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8"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w:t>
            </w:r>
            <w:r>
              <w:rPr>
                <w:rFonts w:hint="eastAsia" w:ascii="宋体" w:hAnsi="宋体" w:eastAsia="宋体" w:cs="宋体"/>
                <w:color w:val="000000"/>
                <w:sz w:val="24"/>
                <w:szCs w:val="24"/>
                <w:highlight w:val="none"/>
                <w:lang w:eastAsia="zh-CN"/>
              </w:rPr>
              <w:t>范围</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符合第二章“投标人须知”第 1.3.1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sz w:val="24"/>
                <w:szCs w:val="24"/>
                <w:highlight w:val="none"/>
              </w:rPr>
            </w:pPr>
          </w:p>
        </w:tc>
        <w:tc>
          <w:tcPr>
            <w:tcW w:w="1579" w:type="dxa"/>
            <w:noWrap w:val="0"/>
            <w:vAlign w:val="center"/>
          </w:tcPr>
          <w:p>
            <w:pPr>
              <w:pStyle w:val="74"/>
              <w:spacing w:line="24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供货期</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符合第二章“投标人须知”第 1.3.2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质量标准</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符合第二章“投标人须知”第 1.3.3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投标有效期</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符合第二章“投标人须知”第 3.3.1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1028" w:type="dxa"/>
            <w:vMerge w:val="continue"/>
            <w:noWrap w:val="0"/>
            <w:vAlign w:val="center"/>
          </w:tcPr>
          <w:p>
            <w:pPr>
              <w:spacing w:line="240" w:lineRule="auto"/>
              <w:jc w:val="center"/>
              <w:rPr>
                <w:rFonts w:ascii="宋体" w:hAnsi="宋体" w:cs="宋体"/>
                <w:color w:val="000000"/>
                <w:sz w:val="24"/>
                <w:szCs w:val="24"/>
                <w:highlight w:val="none"/>
              </w:rPr>
            </w:pPr>
          </w:p>
        </w:tc>
        <w:tc>
          <w:tcPr>
            <w:tcW w:w="981" w:type="dxa"/>
            <w:vMerge w:val="continue"/>
            <w:noWrap w:val="0"/>
            <w:vAlign w:val="center"/>
          </w:tcPr>
          <w:p>
            <w:pPr>
              <w:spacing w:line="240" w:lineRule="auto"/>
              <w:jc w:val="center"/>
              <w:rPr>
                <w:rFonts w:ascii="宋体" w:hAnsi="宋体" w:cs="宋体"/>
                <w:color w:val="000000"/>
                <w:sz w:val="24"/>
                <w:szCs w:val="24"/>
                <w:highlight w:val="none"/>
              </w:rPr>
            </w:pPr>
          </w:p>
        </w:tc>
        <w:tc>
          <w:tcPr>
            <w:tcW w:w="1579" w:type="dxa"/>
            <w:noWrap w:val="0"/>
            <w:vAlign w:val="center"/>
          </w:tcPr>
          <w:p>
            <w:pPr>
              <w:pStyle w:val="74"/>
              <w:spacing w:line="240" w:lineRule="auto"/>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投标保证金</w:t>
            </w:r>
          </w:p>
        </w:tc>
        <w:tc>
          <w:tcPr>
            <w:tcW w:w="6279" w:type="dxa"/>
            <w:noWrap w:val="0"/>
            <w:vAlign w:val="center"/>
          </w:tcPr>
          <w:p>
            <w:pPr>
              <w:pStyle w:val="74"/>
              <w:spacing w:line="240" w:lineRule="auto"/>
              <w:ind w:firstLine="240" w:firstLineChars="100"/>
              <w:jc w:val="both"/>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符合第二章“投标人须知”第 3.4.1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200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r>
              <w:rPr>
                <w:rFonts w:ascii="宋体" w:hAnsi="宋体" w:cs="宋体"/>
                <w:color w:val="000000"/>
                <w:sz w:val="24"/>
                <w:szCs w:val="24"/>
                <w:highlight w:val="none"/>
              </w:rPr>
              <w:t>2.2.1</w:t>
            </w: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ascii="宋体" w:hAnsi="宋体" w:cs="宋体"/>
                <w:color w:val="000000"/>
                <w:sz w:val="24"/>
                <w:szCs w:val="24"/>
                <w:highlight w:val="none"/>
              </w:rPr>
            </w:pPr>
            <w:r>
              <w:rPr>
                <w:rFonts w:ascii="宋体" w:hAnsi="宋体" w:cs="宋体"/>
                <w:color w:val="000000"/>
                <w:sz w:val="24"/>
                <w:szCs w:val="24"/>
                <w:highlight w:val="none"/>
              </w:rPr>
              <w:t>分值构成(总分100分)</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both"/>
              <w:textAlignment w:val="auto"/>
              <w:rPr>
                <w:rFonts w:ascii="宋体" w:hAnsi="宋体" w:cs="宋体"/>
                <w:color w:val="000000"/>
                <w:sz w:val="24"/>
                <w:szCs w:val="24"/>
                <w:highlight w:val="none"/>
              </w:rPr>
            </w:pPr>
            <w:r>
              <w:rPr>
                <w:rFonts w:hint="eastAsia" w:ascii="宋体" w:hAnsi="宋体" w:eastAsia="宋体" w:cs="宋体"/>
                <w:color w:val="000000"/>
                <w:sz w:val="24"/>
                <w:szCs w:val="24"/>
                <w:highlight w:val="none"/>
                <w:lang w:val="en-US" w:eastAsia="zh-CN"/>
              </w:rPr>
              <w:t>商务</w:t>
            </w:r>
            <w:r>
              <w:rPr>
                <w:rFonts w:ascii="宋体" w:hAnsi="宋体" w:cs="宋体"/>
                <w:color w:val="000000"/>
                <w:sz w:val="24"/>
                <w:szCs w:val="24"/>
                <w:highlight w:val="none"/>
              </w:rPr>
              <w:t>部分：</w:t>
            </w:r>
            <w:r>
              <w:rPr>
                <w:rFonts w:hint="eastAsia" w:ascii="宋体" w:hAnsi="宋体" w:cs="宋体"/>
                <w:color w:val="000000"/>
                <w:sz w:val="24"/>
                <w:szCs w:val="24"/>
                <w:highlight w:val="none"/>
                <w:u w:val="single"/>
                <w:lang w:val="en-US" w:eastAsia="zh-CN"/>
              </w:rPr>
              <w:t xml:space="preserve"> 20 </w:t>
            </w:r>
            <w:r>
              <w:rPr>
                <w:rFonts w:ascii="宋体" w:hAnsi="宋体" w:cs="宋体"/>
                <w:color w:val="000000"/>
                <w:sz w:val="24"/>
                <w:szCs w:val="24"/>
                <w:highlight w:val="none"/>
              </w:rPr>
              <w:t>分</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both"/>
              <w:textAlignment w:val="auto"/>
              <w:rPr>
                <w:rFonts w:ascii="宋体" w:hAnsi="宋体" w:cs="宋体"/>
                <w:color w:val="000000"/>
                <w:sz w:val="24"/>
                <w:szCs w:val="24"/>
                <w:highlight w:val="none"/>
              </w:rPr>
            </w:pPr>
            <w:r>
              <w:rPr>
                <w:rFonts w:hint="eastAsia" w:ascii="宋体" w:hAnsi="宋体" w:eastAsia="宋体" w:cs="宋体"/>
                <w:color w:val="000000"/>
                <w:sz w:val="24"/>
                <w:szCs w:val="24"/>
                <w:highlight w:val="none"/>
                <w:lang w:val="en-US" w:eastAsia="zh-CN"/>
              </w:rPr>
              <w:t>技术部分</w:t>
            </w:r>
            <w:r>
              <w:rPr>
                <w:rFonts w:ascii="宋体" w:hAnsi="宋体" w:cs="宋体"/>
                <w:color w:val="000000"/>
                <w:sz w:val="24"/>
                <w:szCs w:val="24"/>
                <w:highlight w:val="none"/>
              </w:rPr>
              <w:t>：</w:t>
            </w:r>
            <w:r>
              <w:rPr>
                <w:rFonts w:hint="eastAsia" w:ascii="宋体" w:hAnsi="宋体" w:cs="宋体"/>
                <w:color w:val="000000"/>
                <w:sz w:val="24"/>
                <w:szCs w:val="24"/>
                <w:highlight w:val="none"/>
                <w:u w:val="single"/>
                <w:lang w:val="en-US" w:eastAsia="zh-CN"/>
              </w:rPr>
              <w:t xml:space="preserve"> 50 </w:t>
            </w:r>
            <w:r>
              <w:rPr>
                <w:rFonts w:ascii="宋体" w:hAnsi="宋体" w:cs="宋体"/>
                <w:color w:val="000000"/>
                <w:sz w:val="24"/>
                <w:szCs w:val="24"/>
                <w:highlight w:val="none"/>
              </w:rPr>
              <w:t>分</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both"/>
              <w:textAlignment w:val="auto"/>
              <w:rPr>
                <w:rFonts w:ascii="宋体" w:hAnsi="宋体" w:cs="宋体"/>
                <w:color w:val="000000"/>
                <w:sz w:val="24"/>
                <w:szCs w:val="24"/>
                <w:highlight w:val="none"/>
              </w:rPr>
            </w:pPr>
            <w:r>
              <w:rPr>
                <w:rFonts w:ascii="宋体" w:hAnsi="宋体" w:cs="宋体"/>
                <w:color w:val="000000"/>
                <w:sz w:val="24"/>
                <w:szCs w:val="24"/>
                <w:highlight w:val="none"/>
              </w:rPr>
              <w:t>投标报价：</w:t>
            </w:r>
            <w:r>
              <w:rPr>
                <w:rFonts w:hint="eastAsia" w:ascii="宋体" w:hAnsi="宋体" w:eastAsia="宋体" w:cs="宋体"/>
                <w:color w:val="000000"/>
                <w:sz w:val="24"/>
                <w:szCs w:val="24"/>
                <w:highlight w:val="none"/>
                <w:u w:val="single"/>
                <w:lang w:val="en-US" w:eastAsia="zh-CN"/>
              </w:rPr>
              <w:t xml:space="preserve"> 30 </w:t>
            </w:r>
            <w:r>
              <w:rPr>
                <w:rFonts w:ascii="宋体" w:hAnsi="宋体" w:cs="宋体"/>
                <w:color w:val="00000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028" w:type="dxa"/>
            <w:vMerge w:val="restart"/>
            <w:tcBorders>
              <w:top w:val="single" w:color="auto" w:sz="4" w:space="0"/>
              <w:left w:val="single" w:color="auto" w:sz="4" w:space="0"/>
              <w:right w:val="single" w:color="auto" w:sz="4" w:space="0"/>
              <w:tl2br w:val="nil"/>
              <w:tr2bl w:val="nil"/>
            </w:tcBorders>
            <w:noWrap w:val="0"/>
            <w:vAlign w:val="center"/>
          </w:tcPr>
          <w:p>
            <w:pPr>
              <w:pStyle w:val="74"/>
              <w:overflowPunct w:val="0"/>
              <w:spacing w:line="240" w:lineRule="auto"/>
              <w:jc w:val="center"/>
              <w:rPr>
                <w:rFonts w:hint="eastAsia" w:ascii="宋体" w:hAnsi="宋体" w:eastAsia="宋体" w:cs="宋体"/>
                <w:color w:val="000000"/>
                <w:sz w:val="24"/>
                <w:szCs w:val="24"/>
                <w:highlight w:val="none"/>
                <w:lang w:eastAsia="zh-CN"/>
              </w:rPr>
            </w:pPr>
            <w:r>
              <w:rPr>
                <w:rFonts w:ascii="宋体" w:hAnsi="宋体" w:cs="宋体"/>
                <w:color w:val="000000"/>
                <w:sz w:val="24"/>
                <w:szCs w:val="24"/>
                <w:highlight w:val="none"/>
              </w:rPr>
              <w:t>2.2.</w:t>
            </w:r>
            <w:r>
              <w:rPr>
                <w:rFonts w:hint="eastAsia" w:ascii="宋体" w:hAnsi="宋体" w:cs="宋体"/>
                <w:color w:val="000000"/>
                <w:sz w:val="24"/>
                <w:szCs w:val="24"/>
                <w:highlight w:val="none"/>
                <w:lang w:val="en-US" w:eastAsia="zh-CN"/>
              </w:rPr>
              <w:t>2</w:t>
            </w:r>
          </w:p>
          <w:p>
            <w:pPr>
              <w:pStyle w:val="74"/>
              <w:overflowPunct w:val="0"/>
              <w:spacing w:line="240" w:lineRule="auto"/>
              <w:jc w:val="center"/>
              <w:rPr>
                <w:rFonts w:ascii="宋体" w:hAnsi="宋体" w:cs="宋体"/>
                <w:color w:val="000000"/>
                <w:sz w:val="24"/>
                <w:szCs w:val="24"/>
                <w:highlight w:val="none"/>
              </w:rPr>
            </w:pPr>
            <w:r>
              <w:rPr>
                <w:rFonts w:ascii="宋体" w:hAnsi="宋体" w:cs="宋体"/>
                <w:color w:val="000000"/>
                <w:sz w:val="24"/>
                <w:szCs w:val="24"/>
                <w:highlight w:val="none"/>
              </w:rPr>
              <w:t>（1）</w:t>
            </w:r>
          </w:p>
        </w:tc>
        <w:tc>
          <w:tcPr>
            <w:tcW w:w="981" w:type="dxa"/>
            <w:vMerge w:val="restart"/>
            <w:tcBorders>
              <w:top w:val="single" w:color="auto" w:sz="4" w:space="0"/>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r>
              <w:rPr>
                <w:rFonts w:hint="eastAsia" w:ascii="宋体" w:hAnsi="宋体" w:eastAsia="宋体" w:cs="宋体"/>
                <w:color w:val="000000"/>
                <w:sz w:val="24"/>
                <w:szCs w:val="24"/>
                <w:highlight w:val="none"/>
                <w:lang w:val="en-US" w:eastAsia="zh-CN"/>
              </w:rPr>
              <w:t>商务部分</w:t>
            </w:r>
            <w:r>
              <w:rPr>
                <w:rFonts w:ascii="宋体" w:hAnsi="宋体" w:cs="宋体"/>
                <w:color w:val="000000"/>
                <w:sz w:val="24"/>
                <w:szCs w:val="24"/>
                <w:highlight w:val="none"/>
              </w:rPr>
              <w:t>（</w:t>
            </w:r>
            <w:r>
              <w:rPr>
                <w:rFonts w:hint="eastAsia" w:ascii="宋体" w:hAnsi="宋体" w:cs="宋体"/>
                <w:color w:val="000000"/>
                <w:sz w:val="24"/>
                <w:szCs w:val="24"/>
                <w:highlight w:val="none"/>
                <w:lang w:val="en-US" w:eastAsia="zh-CN"/>
              </w:rPr>
              <w:t>20</w:t>
            </w:r>
            <w:r>
              <w:rPr>
                <w:rFonts w:hint="eastAsia" w:ascii="宋体" w:hAnsi="宋体" w:cs="宋体"/>
                <w:color w:val="000000"/>
                <w:sz w:val="24"/>
                <w:szCs w:val="24"/>
                <w:highlight w:val="none"/>
              </w:rPr>
              <w:t>分）</w:t>
            </w: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管理体系认证</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（4分）</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numPr>
                <w:ilvl w:val="0"/>
                <w:numId w:val="0"/>
              </w:numPr>
              <w:kinsoku/>
              <w:wordWrap/>
              <w:topLinePunct w:val="0"/>
              <w:autoSpaceDE w:val="0"/>
              <w:autoSpaceDN w:val="0"/>
              <w:bidi w:val="0"/>
              <w:adjustRightInd w:val="0"/>
              <w:snapToGrid/>
              <w:spacing w:line="240" w:lineRule="auto"/>
              <w:ind w:firstLine="0" w:firstLineChars="0"/>
              <w:jc w:val="left"/>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cs="宋体"/>
                <w:color w:val="000000"/>
                <w:kern w:val="0"/>
                <w:sz w:val="24"/>
                <w:szCs w:val="24"/>
                <w:highlight w:val="none"/>
                <w:lang w:val="en-US" w:eastAsia="zh-CN" w:bidi="ar-SA"/>
              </w:rPr>
              <w:t>投标人</w:t>
            </w:r>
            <w:r>
              <w:rPr>
                <w:rFonts w:hint="eastAsia" w:ascii="宋体" w:hAnsi="宋体" w:eastAsia="宋体" w:cs="宋体"/>
                <w:color w:val="000000"/>
                <w:kern w:val="0"/>
                <w:sz w:val="24"/>
                <w:szCs w:val="24"/>
                <w:highlight w:val="none"/>
                <w:lang w:val="en-US" w:eastAsia="zh-CN" w:bidi="ar-SA"/>
              </w:rPr>
              <w:t>具有以下有效认证证书的，每项得1分，最高得4分。1、质量管理体系认证；</w:t>
            </w:r>
          </w:p>
          <w:p>
            <w:pPr>
              <w:keepNext w:val="0"/>
              <w:keepLines w:val="0"/>
              <w:pageBreakBefore w:val="0"/>
              <w:widowControl/>
              <w:numPr>
                <w:ilvl w:val="0"/>
                <w:numId w:val="0"/>
              </w:numPr>
              <w:kinsoku/>
              <w:wordWrap/>
              <w:topLinePunct w:val="0"/>
              <w:autoSpaceDE w:val="0"/>
              <w:autoSpaceDN w:val="0"/>
              <w:bidi w:val="0"/>
              <w:adjustRightInd w:val="0"/>
              <w:snapToGrid/>
              <w:spacing w:line="240" w:lineRule="auto"/>
              <w:ind w:firstLine="0" w:firstLineChars="0"/>
              <w:jc w:val="left"/>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2、职业健康管理体系认证</w:t>
            </w:r>
            <w:r>
              <w:rPr>
                <w:rFonts w:hint="eastAsia" w:ascii="宋体" w:hAnsi="宋体" w:cs="宋体"/>
                <w:color w:val="000000"/>
                <w:kern w:val="0"/>
                <w:sz w:val="24"/>
                <w:szCs w:val="24"/>
                <w:highlight w:val="none"/>
                <w:lang w:val="en-US" w:eastAsia="zh-CN" w:bidi="ar-SA"/>
              </w:rPr>
              <w:t>；</w:t>
            </w:r>
          </w:p>
          <w:p>
            <w:pPr>
              <w:keepNext w:val="0"/>
              <w:keepLines w:val="0"/>
              <w:pageBreakBefore w:val="0"/>
              <w:widowControl/>
              <w:numPr>
                <w:ilvl w:val="0"/>
                <w:numId w:val="0"/>
              </w:numPr>
              <w:kinsoku/>
              <w:wordWrap/>
              <w:topLinePunct w:val="0"/>
              <w:autoSpaceDE w:val="0"/>
              <w:autoSpaceDN w:val="0"/>
              <w:bidi w:val="0"/>
              <w:adjustRightInd w:val="0"/>
              <w:snapToGrid/>
              <w:spacing w:line="240" w:lineRule="auto"/>
              <w:ind w:firstLine="0" w:firstLineChars="0"/>
              <w:jc w:val="left"/>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3、环境管理体系认证；</w:t>
            </w:r>
          </w:p>
          <w:p>
            <w:pPr>
              <w:keepNext w:val="0"/>
              <w:keepLines w:val="0"/>
              <w:pageBreakBefore w:val="0"/>
              <w:widowControl/>
              <w:numPr>
                <w:ilvl w:val="0"/>
                <w:numId w:val="0"/>
              </w:numPr>
              <w:kinsoku/>
              <w:wordWrap/>
              <w:topLinePunct w:val="0"/>
              <w:autoSpaceDE w:val="0"/>
              <w:autoSpaceDN w:val="0"/>
              <w:bidi w:val="0"/>
              <w:adjustRightInd w:val="0"/>
              <w:snapToGrid/>
              <w:spacing w:line="240" w:lineRule="auto"/>
              <w:ind w:firstLine="0" w:firstLineChars="0"/>
              <w:jc w:val="left"/>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4、知识产权管理体系认证。</w:t>
            </w:r>
          </w:p>
          <w:p>
            <w:pPr>
              <w:keepNext w:val="0"/>
              <w:keepLines w:val="0"/>
              <w:pageBreakBefore w:val="0"/>
              <w:widowControl/>
              <w:kinsoku/>
              <w:wordWrap/>
              <w:topLinePunct w:val="0"/>
              <w:autoSpaceDE w:val="0"/>
              <w:autoSpaceDN w:val="0"/>
              <w:bidi w:val="0"/>
              <w:adjustRightInd w:val="0"/>
              <w:snapToGrid/>
              <w:spacing w:line="240" w:lineRule="auto"/>
              <w:ind w:firstLine="480" w:firstLineChars="200"/>
              <w:jc w:val="left"/>
              <w:textAlignment w:val="auto"/>
              <w:rPr>
                <w:color w:val="000000"/>
                <w:sz w:val="24"/>
                <w:szCs w:val="24"/>
                <w:highlight w:val="none"/>
              </w:rPr>
            </w:pPr>
            <w:r>
              <w:rPr>
                <w:rFonts w:hint="eastAsia" w:ascii="宋体" w:hAnsi="宋体" w:eastAsia="宋体" w:cs="宋体"/>
                <w:color w:val="000000"/>
                <w:kern w:val="0"/>
                <w:sz w:val="24"/>
                <w:szCs w:val="24"/>
                <w:highlight w:val="none"/>
                <w:lang w:val="en-US" w:eastAsia="zh-CN" w:bidi="ar-SA"/>
              </w:rPr>
              <w:t>注：提供有效期内证书复印件或扫描件，及在国家认证认可监督管理委员会官网（http://www.cnca.gov.cn/)查询截图，未提供不得分。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28"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综合实力</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rPr>
              <w:t>（</w:t>
            </w:r>
            <w:r>
              <w:rPr>
                <w:rFonts w:hint="default" w:ascii="宋体" w:hAnsi="宋体" w:cs="宋体"/>
                <w:color w:val="000000"/>
                <w:sz w:val="24"/>
                <w:szCs w:val="24"/>
                <w:highlight w:val="none"/>
                <w:lang w:val="en-US" w:eastAsia="zh-CN"/>
              </w:rPr>
              <w:t>9</w:t>
            </w:r>
            <w:r>
              <w:rPr>
                <w:rFonts w:hint="eastAsia" w:ascii="宋体" w:hAnsi="宋体" w:cs="宋体"/>
                <w:color w:val="000000"/>
                <w:sz w:val="24"/>
                <w:szCs w:val="24"/>
                <w:highlight w:val="none"/>
              </w:rPr>
              <w:t>分）</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74"/>
              <w:keepNext w:val="0"/>
              <w:keepLines w:val="0"/>
              <w:pageBreakBefore w:val="0"/>
              <w:kinsoku/>
              <w:wordWrap/>
              <w:overflowPunct w:val="0"/>
              <w:topLinePunct w:val="0"/>
              <w:autoSpaceDE w:val="0"/>
              <w:autoSpaceDN w:val="0"/>
              <w:bidi w:val="0"/>
              <w:adjustRightInd w:val="0"/>
              <w:snapToGrid/>
              <w:spacing w:line="240" w:lineRule="auto"/>
              <w:jc w:val="both"/>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投标人2015年至今获得过以下证书：</w:t>
            </w:r>
          </w:p>
          <w:p>
            <w:pPr>
              <w:pStyle w:val="74"/>
              <w:keepNext w:val="0"/>
              <w:keepLines w:val="0"/>
              <w:pageBreakBefore w:val="0"/>
              <w:kinsoku/>
              <w:wordWrap/>
              <w:overflowPunct w:val="0"/>
              <w:topLinePunct w:val="0"/>
              <w:autoSpaceDE w:val="0"/>
              <w:autoSpaceDN w:val="0"/>
              <w:bidi w:val="0"/>
              <w:adjustRightInd w:val="0"/>
              <w:snapToGrid/>
              <w:spacing w:line="240" w:lineRule="auto"/>
              <w:jc w:val="both"/>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1、煤粉制备设备或工艺相关专利证书，每项得1分，本小项最高得4分；</w:t>
            </w:r>
          </w:p>
          <w:p>
            <w:pPr>
              <w:pStyle w:val="74"/>
              <w:keepNext w:val="0"/>
              <w:keepLines w:val="0"/>
              <w:pageBreakBefore w:val="0"/>
              <w:numPr>
                <w:ilvl w:val="0"/>
                <w:numId w:val="3"/>
              </w:numPr>
              <w:kinsoku/>
              <w:wordWrap/>
              <w:overflowPunct w:val="0"/>
              <w:topLinePunct w:val="0"/>
              <w:autoSpaceDE w:val="0"/>
              <w:autoSpaceDN w:val="0"/>
              <w:bidi w:val="0"/>
              <w:adjustRightInd w:val="0"/>
              <w:snapToGrid/>
              <w:spacing w:line="240" w:lineRule="auto"/>
              <w:jc w:val="both"/>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国家级荣誉证书，每项得1分，本小项最高得4分；</w:t>
            </w:r>
          </w:p>
          <w:p>
            <w:pPr>
              <w:pStyle w:val="74"/>
              <w:keepNext w:val="0"/>
              <w:keepLines w:val="0"/>
              <w:pageBreakBefore w:val="0"/>
              <w:numPr>
                <w:ilvl w:val="0"/>
                <w:numId w:val="3"/>
              </w:numPr>
              <w:kinsoku/>
              <w:wordWrap/>
              <w:overflowPunct w:val="0"/>
              <w:topLinePunct w:val="0"/>
              <w:autoSpaceDE w:val="0"/>
              <w:autoSpaceDN w:val="0"/>
              <w:bidi w:val="0"/>
              <w:adjustRightInd w:val="0"/>
              <w:snapToGrid/>
              <w:spacing w:line="240" w:lineRule="auto"/>
              <w:jc w:val="both"/>
              <w:textAlignment w:val="auto"/>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煤粉制备设备或工艺的科技进步奖，市级及以上级别每项得1分，本小项最高得4分；</w:t>
            </w:r>
          </w:p>
          <w:p>
            <w:pPr>
              <w:pStyle w:val="74"/>
              <w:keepNext w:val="0"/>
              <w:keepLines w:val="0"/>
              <w:pageBreakBefore w:val="0"/>
              <w:numPr>
                <w:ilvl w:val="0"/>
                <w:numId w:val="3"/>
              </w:numPr>
              <w:kinsoku/>
              <w:wordWrap/>
              <w:overflowPunct w:val="0"/>
              <w:topLinePunct w:val="0"/>
              <w:autoSpaceDE w:val="0"/>
              <w:autoSpaceDN w:val="0"/>
              <w:bidi w:val="0"/>
              <w:adjustRightInd w:val="0"/>
              <w:snapToGrid/>
              <w:spacing w:line="240" w:lineRule="auto"/>
              <w:jc w:val="both"/>
              <w:textAlignment w:val="auto"/>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有效期内的AAA信用等级证书，得1分。</w:t>
            </w:r>
          </w:p>
          <w:p>
            <w:pPr>
              <w:pStyle w:val="74"/>
              <w:keepNext w:val="0"/>
              <w:keepLines w:val="0"/>
              <w:pageBreakBefore w:val="0"/>
              <w:numPr>
                <w:ilvl w:val="0"/>
                <w:numId w:val="0"/>
              </w:numPr>
              <w:kinsoku/>
              <w:wordWrap/>
              <w:overflowPunct w:val="0"/>
              <w:topLinePunct w:val="0"/>
              <w:autoSpaceDE w:val="0"/>
              <w:autoSpaceDN w:val="0"/>
              <w:bidi w:val="0"/>
              <w:adjustRightInd w:val="0"/>
              <w:snapToGrid/>
              <w:spacing w:line="240" w:lineRule="auto"/>
              <w:jc w:val="both"/>
              <w:textAlignment w:val="auto"/>
              <w:rPr>
                <w:rFonts w:hint="default" w:ascii="宋体" w:hAnsi="宋体" w:cs="宋体"/>
                <w:color w:val="000000"/>
                <w:sz w:val="24"/>
                <w:szCs w:val="24"/>
                <w:highlight w:val="none"/>
                <w:lang w:val="en-US"/>
              </w:rPr>
            </w:pPr>
            <w:r>
              <w:rPr>
                <w:rFonts w:hint="eastAsia" w:ascii="宋体" w:hAnsi="宋体" w:cs="宋体"/>
                <w:color w:val="000000"/>
                <w:sz w:val="24"/>
                <w:szCs w:val="24"/>
                <w:highlight w:val="none"/>
                <w:lang w:val="en-US" w:eastAsia="zh-CN"/>
              </w:rPr>
              <w:t>本项合计最高得</w:t>
            </w:r>
            <w:r>
              <w:rPr>
                <w:rFonts w:hint="default" w:ascii="宋体" w:hAnsi="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分。</w:t>
            </w:r>
          </w:p>
          <w:p>
            <w:pPr>
              <w:pStyle w:val="74"/>
              <w:keepNext w:val="0"/>
              <w:keepLines w:val="0"/>
              <w:pageBreakBefore w:val="0"/>
              <w:kinsoku/>
              <w:wordWrap/>
              <w:overflowPunct w:val="0"/>
              <w:topLinePunct w:val="0"/>
              <w:autoSpaceDE w:val="0"/>
              <w:autoSpaceDN w:val="0"/>
              <w:bidi w:val="0"/>
              <w:adjustRightInd w:val="0"/>
              <w:snapToGrid/>
              <w:spacing w:line="240" w:lineRule="auto"/>
              <w:jc w:val="both"/>
              <w:textAlignment w:val="auto"/>
              <w:rPr>
                <w:rFonts w:hint="eastAsia" w:ascii="宋体" w:hAnsi="宋体" w:eastAsia="宋体" w:cs="宋体"/>
                <w:color w:val="000000"/>
                <w:sz w:val="24"/>
                <w:szCs w:val="24"/>
                <w:highlight w:val="none"/>
                <w:lang w:val="en-US" w:eastAsia="zh-CN"/>
              </w:rPr>
            </w:pPr>
            <w:r>
              <w:rPr>
                <w:rFonts w:ascii="宋体" w:hAnsi="宋体" w:cs="宋体"/>
                <w:color w:val="000000"/>
                <w:sz w:val="24"/>
                <w:szCs w:val="24"/>
                <w:highlight w:val="none"/>
              </w:rPr>
              <w:t>注：</w:t>
            </w:r>
            <w:r>
              <w:rPr>
                <w:rFonts w:hint="eastAsia" w:ascii="宋体" w:hAnsi="宋体" w:eastAsia="宋体" w:cs="宋体"/>
                <w:color w:val="000000"/>
                <w:sz w:val="24"/>
                <w:szCs w:val="24"/>
                <w:highlight w:val="none"/>
              </w:rPr>
              <w:t>提供证书复印件</w:t>
            </w:r>
            <w:r>
              <w:rPr>
                <w:rFonts w:hint="eastAsia" w:ascii="宋体" w:hAnsi="宋体" w:eastAsia="宋体" w:cs="宋体"/>
                <w:color w:val="000000"/>
                <w:sz w:val="24"/>
                <w:szCs w:val="24"/>
                <w:highlight w:val="none"/>
                <w:lang w:eastAsia="zh-CN"/>
              </w:rPr>
              <w:t>，时间以证书颁发时间为准。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028"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rPr>
              <w:t>同类业绩</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r>
              <w:rPr>
                <w:rFonts w:hint="default"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val="en-US" w:eastAsia="zh-CN"/>
              </w:rPr>
              <w:t>分</w:t>
            </w:r>
            <w:r>
              <w:rPr>
                <w:rFonts w:hint="eastAsia" w:ascii="宋体" w:hAnsi="宋体" w:eastAsia="宋体" w:cs="宋体"/>
                <w:color w:val="000000"/>
                <w:sz w:val="24"/>
                <w:szCs w:val="24"/>
                <w:highlight w:val="none"/>
                <w:lang w:eastAsia="zh-CN"/>
              </w:rPr>
              <w:t>）</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74"/>
              <w:keepNext w:val="0"/>
              <w:keepLines w:val="0"/>
              <w:pageBreakBefore w:val="0"/>
              <w:kinsoku/>
              <w:wordWrap/>
              <w:overflowPunct w:val="0"/>
              <w:topLinePunct w:val="0"/>
              <w:autoSpaceDE w:val="0"/>
              <w:autoSpaceDN w:val="0"/>
              <w:bidi w:val="0"/>
              <w:adjustRightInd w:val="0"/>
              <w:snapToGrid/>
              <w:spacing w:line="240" w:lineRule="auto"/>
              <w:jc w:val="both"/>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投标人提供</w:t>
            </w:r>
            <w:r>
              <w:rPr>
                <w:rFonts w:hint="eastAsia" w:ascii="宋体" w:hAnsi="宋体" w:cs="宋体"/>
                <w:color w:val="000000"/>
                <w:sz w:val="24"/>
                <w:szCs w:val="24"/>
                <w:highlight w:val="none"/>
              </w:rPr>
              <w:t>2022年1月1日至今</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以合同签订时间为准</w:t>
            </w:r>
            <w:r>
              <w:rPr>
                <w:rFonts w:hint="eastAsia" w:ascii="宋体" w:hAnsi="宋体" w:eastAsia="宋体" w:cs="宋体"/>
                <w:color w:val="000000"/>
                <w:sz w:val="24"/>
                <w:szCs w:val="24"/>
                <w:highlight w:val="none"/>
                <w:lang w:eastAsia="zh-CN"/>
              </w:rPr>
              <w:t>）</w:t>
            </w:r>
            <w:r>
              <w:rPr>
                <w:rFonts w:hint="eastAsia" w:ascii="宋体" w:hAnsi="宋体" w:cs="宋体"/>
                <w:color w:val="000000"/>
                <w:sz w:val="24"/>
                <w:szCs w:val="24"/>
                <w:highlight w:val="none"/>
              </w:rPr>
              <w:t>粉煤制备或粉煤喷吹成套设备</w:t>
            </w:r>
            <w:r>
              <w:rPr>
                <w:rFonts w:hint="eastAsia" w:ascii="宋体" w:hAnsi="宋体" w:eastAsia="宋体" w:cs="宋体"/>
                <w:color w:val="000000"/>
                <w:sz w:val="24"/>
                <w:szCs w:val="24"/>
                <w:highlight w:val="none"/>
                <w:lang w:val="en-US" w:eastAsia="zh-CN"/>
              </w:rPr>
              <w:t>供货</w:t>
            </w:r>
            <w:r>
              <w:rPr>
                <w:rFonts w:hint="eastAsia" w:ascii="宋体" w:hAnsi="宋体" w:cs="宋体"/>
                <w:color w:val="000000"/>
                <w:sz w:val="24"/>
                <w:szCs w:val="24"/>
                <w:highlight w:val="none"/>
              </w:rPr>
              <w:t>业绩</w:t>
            </w:r>
            <w:r>
              <w:rPr>
                <w:rFonts w:hint="eastAsia" w:ascii="宋体" w:hAnsi="宋体" w:eastAsia="宋体" w:cs="宋体"/>
                <w:color w:val="000000"/>
                <w:sz w:val="24"/>
                <w:szCs w:val="24"/>
                <w:highlight w:val="none"/>
                <w:lang w:eastAsia="zh-CN"/>
              </w:rPr>
              <w:t>。</w:t>
            </w:r>
          </w:p>
          <w:p>
            <w:pPr>
              <w:pStyle w:val="74"/>
              <w:keepNext w:val="0"/>
              <w:keepLines w:val="0"/>
              <w:pageBreakBefore w:val="0"/>
              <w:kinsoku/>
              <w:wordWrap/>
              <w:overflowPunct w:val="0"/>
              <w:topLinePunct w:val="0"/>
              <w:autoSpaceDE w:val="0"/>
              <w:autoSpaceDN w:val="0"/>
              <w:bidi w:val="0"/>
              <w:adjustRightInd w:val="0"/>
              <w:snapToGrid/>
              <w:spacing w:line="240" w:lineRule="auto"/>
              <w:jc w:val="both"/>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rPr>
              <w:t>一个业绩得1分，最高</w:t>
            </w:r>
            <w:r>
              <w:rPr>
                <w:rFonts w:hint="eastAsia" w:ascii="宋体" w:hAnsi="宋体" w:eastAsia="宋体" w:cs="宋体"/>
                <w:color w:val="000000"/>
                <w:sz w:val="24"/>
                <w:szCs w:val="24"/>
                <w:highlight w:val="none"/>
                <w:lang w:val="en-US" w:eastAsia="zh-CN"/>
              </w:rPr>
              <w:t>得</w:t>
            </w:r>
            <w:r>
              <w:rPr>
                <w:rFonts w:hint="default" w:ascii="宋体" w:hAnsi="宋体" w:eastAsia="宋体" w:cs="宋体"/>
                <w:color w:val="000000"/>
                <w:sz w:val="24"/>
                <w:szCs w:val="24"/>
                <w:highlight w:val="none"/>
                <w:lang w:val="en-US" w:eastAsia="zh-CN"/>
              </w:rPr>
              <w:t>7</w:t>
            </w:r>
            <w:r>
              <w:rPr>
                <w:rFonts w:hint="eastAsia" w:ascii="宋体" w:hAnsi="宋体" w:cs="宋体"/>
                <w:color w:val="000000"/>
                <w:sz w:val="24"/>
                <w:szCs w:val="24"/>
                <w:highlight w:val="none"/>
              </w:rPr>
              <w:t>分</w:t>
            </w:r>
            <w:r>
              <w:rPr>
                <w:rFonts w:hint="eastAsia" w:ascii="宋体" w:hAnsi="宋体" w:eastAsia="宋体" w:cs="宋体"/>
                <w:color w:val="000000"/>
                <w:sz w:val="24"/>
                <w:szCs w:val="24"/>
                <w:highlight w:val="none"/>
                <w:lang w:eastAsia="zh-CN"/>
              </w:rPr>
              <w:t>。</w:t>
            </w:r>
          </w:p>
          <w:p>
            <w:pPr>
              <w:pStyle w:val="74"/>
              <w:keepNext w:val="0"/>
              <w:keepLines w:val="0"/>
              <w:pageBreakBefore w:val="0"/>
              <w:kinsoku/>
              <w:wordWrap/>
              <w:overflowPunct w:val="0"/>
              <w:topLinePunct w:val="0"/>
              <w:autoSpaceDE w:val="0"/>
              <w:autoSpaceDN w:val="0"/>
              <w:bidi w:val="0"/>
              <w:adjustRightInd w:val="0"/>
              <w:snapToGrid/>
              <w:spacing w:line="240" w:lineRule="auto"/>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注：同时</w:t>
            </w:r>
            <w:r>
              <w:rPr>
                <w:rFonts w:hint="eastAsia" w:ascii="宋体" w:hAnsi="宋体" w:cs="宋体"/>
                <w:color w:val="000000"/>
                <w:sz w:val="24"/>
                <w:szCs w:val="24"/>
                <w:highlight w:val="none"/>
              </w:rPr>
              <w:t>提供合同关键页复印件（不得涂改报价）</w:t>
            </w:r>
            <w:r>
              <w:rPr>
                <w:rFonts w:hint="eastAsia" w:ascii="宋体" w:hAnsi="宋体" w:eastAsia="宋体" w:cs="宋体"/>
                <w:color w:val="000000"/>
                <w:sz w:val="24"/>
                <w:szCs w:val="24"/>
                <w:highlight w:val="none"/>
                <w:lang w:eastAsia="zh-CN"/>
              </w:rPr>
              <w:t>、</w:t>
            </w:r>
            <w:r>
              <w:rPr>
                <w:rFonts w:hint="eastAsia" w:ascii="宋体" w:hAnsi="宋体" w:cs="宋体"/>
                <w:color w:val="000000"/>
                <w:sz w:val="24"/>
                <w:szCs w:val="24"/>
                <w:highlight w:val="none"/>
              </w:rPr>
              <w:t>发票及验收报告并加盖公章（</w:t>
            </w:r>
            <w:r>
              <w:rPr>
                <w:rFonts w:hint="eastAsia" w:ascii="宋体" w:hAnsi="宋体" w:eastAsia="宋体" w:cs="宋体"/>
                <w:color w:val="000000"/>
                <w:sz w:val="24"/>
                <w:szCs w:val="24"/>
                <w:highlight w:val="none"/>
                <w:lang w:eastAsia="zh-CN"/>
              </w:rPr>
              <w:t>不提供</w:t>
            </w:r>
            <w:r>
              <w:rPr>
                <w:rFonts w:hint="eastAsia" w:ascii="宋体" w:hAnsi="宋体" w:cs="宋体"/>
                <w:color w:val="000000"/>
                <w:sz w:val="24"/>
                <w:szCs w:val="24"/>
                <w:highlight w:val="none"/>
              </w:rPr>
              <w:t>不得分）</w:t>
            </w:r>
            <w:r>
              <w:rPr>
                <w:rFonts w:hint="eastAsia" w:ascii="宋体" w:hAnsi="宋体" w:eastAsia="宋体" w:cs="宋体"/>
                <w:color w:val="00000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restart"/>
            <w:tcBorders>
              <w:top w:val="single" w:color="auto" w:sz="4" w:space="0"/>
              <w:left w:val="single" w:color="auto" w:sz="4" w:space="0"/>
              <w:right w:val="single" w:color="auto" w:sz="4" w:space="0"/>
              <w:tl2br w:val="nil"/>
              <w:tr2bl w:val="nil"/>
            </w:tcBorders>
            <w:noWrap w:val="0"/>
            <w:vAlign w:val="center"/>
          </w:tcPr>
          <w:p>
            <w:pPr>
              <w:pStyle w:val="74"/>
              <w:overflowPunct w:val="0"/>
              <w:spacing w:line="240" w:lineRule="auto"/>
              <w:jc w:val="center"/>
              <w:rPr>
                <w:rFonts w:hint="eastAsia" w:ascii="宋体" w:hAnsi="宋体" w:eastAsia="宋体" w:cs="宋体"/>
                <w:color w:val="000000"/>
                <w:sz w:val="24"/>
                <w:szCs w:val="24"/>
                <w:highlight w:val="none"/>
                <w:lang w:eastAsia="zh-CN"/>
              </w:rPr>
            </w:pPr>
            <w:r>
              <w:rPr>
                <w:rFonts w:ascii="宋体" w:hAnsi="宋体" w:cs="宋体"/>
                <w:color w:val="000000"/>
                <w:sz w:val="24"/>
                <w:szCs w:val="24"/>
                <w:highlight w:val="none"/>
              </w:rPr>
              <w:t>2.2.</w:t>
            </w:r>
            <w:r>
              <w:rPr>
                <w:rFonts w:hint="eastAsia" w:ascii="宋体" w:hAnsi="宋体" w:cs="宋体"/>
                <w:color w:val="000000"/>
                <w:sz w:val="24"/>
                <w:szCs w:val="24"/>
                <w:highlight w:val="none"/>
                <w:lang w:val="en-US" w:eastAsia="zh-CN"/>
              </w:rPr>
              <w:t>2</w:t>
            </w:r>
          </w:p>
          <w:p>
            <w:pPr>
              <w:pStyle w:val="74"/>
              <w:overflowPunct w:val="0"/>
              <w:spacing w:line="240" w:lineRule="auto"/>
              <w:jc w:val="center"/>
              <w:rPr>
                <w:rFonts w:hint="eastAsia" w:ascii="宋体" w:hAnsi="宋体" w:cs="宋体"/>
                <w:color w:val="000000"/>
                <w:sz w:val="24"/>
                <w:szCs w:val="24"/>
                <w:highlight w:val="none"/>
              </w:rPr>
            </w:pPr>
            <w:r>
              <w:rPr>
                <w:rFonts w:ascii="宋体" w:hAnsi="宋体" w:cs="宋体"/>
                <w:color w:val="000000"/>
                <w:sz w:val="24"/>
                <w:szCs w:val="24"/>
                <w:highlight w:val="none"/>
              </w:rPr>
              <w:t>（2）</w:t>
            </w:r>
          </w:p>
        </w:tc>
        <w:tc>
          <w:tcPr>
            <w:tcW w:w="981" w:type="dxa"/>
            <w:vMerge w:val="restart"/>
            <w:tcBorders>
              <w:top w:val="single" w:color="auto" w:sz="4" w:space="0"/>
              <w:left w:val="single" w:color="auto" w:sz="4" w:space="0"/>
              <w:right w:val="single" w:color="auto" w:sz="4" w:space="0"/>
              <w:tl2br w:val="nil"/>
              <w:tr2bl w:val="nil"/>
            </w:tcBorders>
            <w:noWrap w:val="0"/>
            <w:vAlign w:val="center"/>
          </w:tcPr>
          <w:p>
            <w:pPr>
              <w:pStyle w:val="74"/>
              <w:overflowPunct w:val="0"/>
              <w:spacing w:line="240" w:lineRule="auto"/>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技术部分（50分）</w:t>
            </w:r>
          </w:p>
        </w:tc>
        <w:tc>
          <w:tcPr>
            <w:tcW w:w="1579" w:type="dxa"/>
            <w:vMerge w:val="restart"/>
            <w:tcBorders>
              <w:top w:val="single" w:color="auto" w:sz="4" w:space="0"/>
              <w:left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rPr>
              <w:t>产品技术经济性能</w:t>
            </w:r>
            <w:r>
              <w:rPr>
                <w:rFonts w:ascii="宋体" w:hAnsi="宋体" w:cs="宋体"/>
                <w:color w:val="000000"/>
                <w:sz w:val="24"/>
                <w:szCs w:val="24"/>
                <w:highlight w:val="none"/>
              </w:rPr>
              <w:t>（</w:t>
            </w:r>
            <w:r>
              <w:rPr>
                <w:rFonts w:hint="eastAsia" w:ascii="宋体" w:hAnsi="宋体" w:cs="宋体"/>
                <w:color w:val="000000"/>
                <w:sz w:val="24"/>
                <w:szCs w:val="24"/>
                <w:highlight w:val="none"/>
                <w:lang w:val="en-US" w:eastAsia="zh-CN"/>
              </w:rPr>
              <w:t>17</w:t>
            </w:r>
            <w:r>
              <w:rPr>
                <w:rFonts w:hint="eastAsia" w:ascii="宋体" w:hAnsi="宋体" w:cs="宋体"/>
                <w:color w:val="000000"/>
                <w:sz w:val="24"/>
                <w:szCs w:val="24"/>
                <w:highlight w:val="none"/>
              </w:rPr>
              <w:t>分）</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center"/>
          </w:tcPr>
          <w:p>
            <w:pPr>
              <w:bidi w:val="0"/>
              <w:rPr>
                <w:rFonts w:hint="eastAsia"/>
                <w:sz w:val="24"/>
                <w:szCs w:val="22"/>
                <w:lang w:val="en-US" w:eastAsia="zh-CN"/>
              </w:rPr>
            </w:pPr>
            <w:r>
              <w:rPr>
                <w:rFonts w:hint="eastAsia"/>
                <w:sz w:val="24"/>
                <w:szCs w:val="22"/>
                <w:lang w:val="en-US" w:eastAsia="zh-CN"/>
              </w:rPr>
              <w:t>产品的先进性（6分）：</w:t>
            </w:r>
          </w:p>
          <w:p>
            <w:pPr>
              <w:bidi w:val="0"/>
              <w:rPr>
                <w:rFonts w:hint="eastAsia"/>
                <w:sz w:val="24"/>
                <w:szCs w:val="22"/>
                <w:lang w:val="en-US" w:eastAsia="zh-CN"/>
              </w:rPr>
            </w:pPr>
            <w:r>
              <w:rPr>
                <w:rFonts w:hint="eastAsia"/>
                <w:sz w:val="24"/>
                <w:szCs w:val="22"/>
                <w:lang w:val="en-US" w:eastAsia="zh-CN"/>
              </w:rPr>
              <w:t>根据投标人所提供的产品品牌、技术含量、产品质量等在国内同行业中所处地位等因素进行综合评审打分。</w:t>
            </w:r>
          </w:p>
          <w:p>
            <w:pPr>
              <w:bidi w:val="0"/>
              <w:rPr>
                <w:rFonts w:hint="eastAsia"/>
                <w:sz w:val="24"/>
                <w:szCs w:val="22"/>
              </w:rPr>
            </w:pPr>
            <w:r>
              <w:rPr>
                <w:rFonts w:hint="eastAsia"/>
                <w:sz w:val="24"/>
                <w:szCs w:val="22"/>
              </w:rPr>
              <w:t>【优】得该项评分因素分值的85%～100%（含85%）；</w:t>
            </w:r>
          </w:p>
          <w:p>
            <w:pPr>
              <w:bidi w:val="0"/>
              <w:rPr>
                <w:rFonts w:hint="eastAsia"/>
                <w:sz w:val="24"/>
                <w:szCs w:val="22"/>
              </w:rPr>
            </w:pPr>
            <w:r>
              <w:rPr>
                <w:rFonts w:hint="eastAsia"/>
                <w:sz w:val="24"/>
                <w:szCs w:val="22"/>
              </w:rPr>
              <w:t>【良】得该项评分因素分值的70%～85%（含70%）；</w:t>
            </w:r>
          </w:p>
          <w:p>
            <w:pPr>
              <w:bidi w:val="0"/>
              <w:rPr>
                <w:rFonts w:hint="eastAsia"/>
                <w:sz w:val="24"/>
                <w:szCs w:val="22"/>
              </w:rPr>
            </w:pPr>
            <w:r>
              <w:rPr>
                <w:rFonts w:hint="eastAsia"/>
                <w:sz w:val="24"/>
                <w:szCs w:val="22"/>
              </w:rPr>
              <w:t>【中】得该项评分因素分值的60%～70%（含60%）；</w:t>
            </w:r>
          </w:p>
          <w:p>
            <w:pPr>
              <w:bidi w:val="0"/>
              <w:rPr>
                <w:rFonts w:hint="eastAsia"/>
                <w:sz w:val="24"/>
                <w:szCs w:val="22"/>
              </w:rPr>
            </w:pPr>
            <w:r>
              <w:rPr>
                <w:rFonts w:hint="eastAsia"/>
                <w:sz w:val="24"/>
                <w:szCs w:val="22"/>
              </w:rPr>
              <w:t>【差】得该项评分因素分值的0～60%（含0分）。</w:t>
            </w:r>
          </w:p>
          <w:p>
            <w:pPr>
              <w:bidi w:val="0"/>
              <w:rPr>
                <w:rFonts w:hint="default"/>
                <w:sz w:val="24"/>
                <w:szCs w:val="22"/>
                <w:lang w:val="en-US" w:eastAsia="zh-CN"/>
              </w:rPr>
            </w:pPr>
            <w:r>
              <w:rPr>
                <w:rFonts w:hint="eastAsia"/>
                <w:sz w:val="24"/>
                <w:szCs w:val="22"/>
              </w:rPr>
              <w:t>无该项描述得0分。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8"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hint="eastAsia" w:ascii="宋体" w:hAnsi="宋体" w:cs="宋体"/>
                <w:color w:val="000000"/>
                <w:sz w:val="24"/>
                <w:szCs w:val="24"/>
                <w:highlight w:val="none"/>
              </w:rPr>
            </w:pPr>
          </w:p>
        </w:tc>
        <w:tc>
          <w:tcPr>
            <w:tcW w:w="1579" w:type="dxa"/>
            <w:vMerge w:val="continue"/>
            <w:tcBorders>
              <w:left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cs="宋体"/>
                <w:color w:val="000000"/>
                <w:sz w:val="24"/>
                <w:szCs w:val="24"/>
                <w:highlight w:val="none"/>
              </w:rPr>
            </w:pP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center"/>
          </w:tcPr>
          <w:p>
            <w:pPr>
              <w:bidi w:val="0"/>
              <w:rPr>
                <w:rFonts w:hint="eastAsia"/>
                <w:sz w:val="24"/>
                <w:szCs w:val="22"/>
                <w:lang w:val="en-US" w:eastAsia="zh-CN"/>
              </w:rPr>
            </w:pPr>
            <w:r>
              <w:rPr>
                <w:rFonts w:hint="eastAsia"/>
                <w:sz w:val="24"/>
                <w:szCs w:val="22"/>
                <w:lang w:val="en-US" w:eastAsia="zh-CN"/>
              </w:rPr>
              <w:t>产品的经济性（5分）：</w:t>
            </w:r>
          </w:p>
          <w:p>
            <w:pPr>
              <w:bidi w:val="0"/>
              <w:rPr>
                <w:rFonts w:hint="eastAsia"/>
                <w:sz w:val="24"/>
                <w:szCs w:val="22"/>
                <w:lang w:val="en-US" w:eastAsia="zh-CN"/>
              </w:rPr>
            </w:pPr>
            <w:r>
              <w:rPr>
                <w:rFonts w:hint="eastAsia"/>
                <w:sz w:val="24"/>
                <w:szCs w:val="22"/>
                <w:lang w:val="en-US" w:eastAsia="zh-CN"/>
              </w:rPr>
              <w:t>根据投标人所提供产品（含易损件）的寿命周期、维修周期、检修维护方便性及备品备件的价格及供应、运行及维护费用等因素进行综合评审打分：</w:t>
            </w:r>
          </w:p>
          <w:p>
            <w:pPr>
              <w:bidi w:val="0"/>
              <w:rPr>
                <w:rFonts w:hint="eastAsia"/>
                <w:sz w:val="24"/>
                <w:szCs w:val="22"/>
              </w:rPr>
            </w:pPr>
            <w:r>
              <w:rPr>
                <w:rFonts w:hint="eastAsia"/>
                <w:sz w:val="24"/>
                <w:szCs w:val="22"/>
              </w:rPr>
              <w:t>【优】得该项评分因素分值的85%～100%（含85%）；</w:t>
            </w:r>
          </w:p>
          <w:p>
            <w:pPr>
              <w:bidi w:val="0"/>
              <w:rPr>
                <w:rFonts w:hint="eastAsia"/>
                <w:sz w:val="24"/>
                <w:szCs w:val="22"/>
              </w:rPr>
            </w:pPr>
            <w:r>
              <w:rPr>
                <w:rFonts w:hint="eastAsia"/>
                <w:sz w:val="24"/>
                <w:szCs w:val="22"/>
              </w:rPr>
              <w:t>【良】得该项评分因素分值的70%～85%（含70%）；</w:t>
            </w:r>
          </w:p>
          <w:p>
            <w:pPr>
              <w:bidi w:val="0"/>
              <w:rPr>
                <w:rFonts w:hint="eastAsia"/>
                <w:sz w:val="24"/>
                <w:szCs w:val="22"/>
              </w:rPr>
            </w:pPr>
            <w:r>
              <w:rPr>
                <w:rFonts w:hint="eastAsia"/>
                <w:sz w:val="24"/>
                <w:szCs w:val="22"/>
              </w:rPr>
              <w:t>【中】得该项评分因素分值的60%～70%（含60%）；</w:t>
            </w:r>
          </w:p>
          <w:p>
            <w:pPr>
              <w:bidi w:val="0"/>
              <w:rPr>
                <w:rFonts w:hint="eastAsia"/>
                <w:sz w:val="24"/>
                <w:szCs w:val="22"/>
              </w:rPr>
            </w:pPr>
            <w:r>
              <w:rPr>
                <w:rFonts w:hint="eastAsia"/>
                <w:sz w:val="24"/>
                <w:szCs w:val="22"/>
              </w:rPr>
              <w:t>【差】得该项评分因素分值的0～60%（含0分）。</w:t>
            </w:r>
          </w:p>
          <w:p>
            <w:pPr>
              <w:bidi w:val="0"/>
              <w:rPr>
                <w:rFonts w:hint="eastAsia"/>
                <w:sz w:val="24"/>
                <w:szCs w:val="22"/>
                <w:lang w:val="en-US" w:eastAsia="zh-CN"/>
              </w:rPr>
            </w:pPr>
            <w:r>
              <w:rPr>
                <w:rFonts w:hint="eastAsia"/>
                <w:sz w:val="24"/>
                <w:szCs w:val="22"/>
              </w:rPr>
              <w:t>无该项描述得0分。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hint="eastAsia" w:ascii="宋体" w:hAnsi="宋体" w:cs="宋体"/>
                <w:color w:val="000000"/>
                <w:sz w:val="24"/>
                <w:szCs w:val="24"/>
                <w:highlight w:val="none"/>
              </w:rPr>
            </w:pPr>
          </w:p>
        </w:tc>
        <w:tc>
          <w:tcPr>
            <w:tcW w:w="1579" w:type="dxa"/>
            <w:vMerge w:val="continue"/>
            <w:tcBorders>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cs="宋体"/>
                <w:color w:val="000000"/>
                <w:sz w:val="24"/>
                <w:szCs w:val="24"/>
                <w:highlight w:val="none"/>
              </w:rPr>
            </w:pP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center"/>
          </w:tcPr>
          <w:p>
            <w:pPr>
              <w:bidi w:val="0"/>
              <w:rPr>
                <w:rFonts w:hint="eastAsia"/>
                <w:sz w:val="24"/>
                <w:szCs w:val="22"/>
                <w:lang w:val="en-US" w:eastAsia="zh-CN"/>
              </w:rPr>
            </w:pPr>
            <w:r>
              <w:rPr>
                <w:rFonts w:hint="eastAsia"/>
                <w:sz w:val="24"/>
                <w:szCs w:val="22"/>
                <w:lang w:val="en-US" w:eastAsia="zh-CN"/>
              </w:rPr>
              <w:t>供货产品的安全性（6分）：</w:t>
            </w:r>
          </w:p>
          <w:p>
            <w:pPr>
              <w:bidi w:val="0"/>
              <w:rPr>
                <w:rFonts w:hint="eastAsia"/>
                <w:sz w:val="24"/>
                <w:szCs w:val="22"/>
                <w:lang w:val="en-US" w:eastAsia="zh-CN"/>
              </w:rPr>
            </w:pPr>
            <w:r>
              <w:rPr>
                <w:rFonts w:hint="eastAsia"/>
                <w:sz w:val="24"/>
                <w:szCs w:val="22"/>
                <w:lang w:val="en-US" w:eastAsia="zh-CN"/>
              </w:rPr>
              <w:t>根据投标人所提供产品的专项安全技术影响及对所供产品安全防护设施配置情况进行综合评审打分：</w:t>
            </w:r>
          </w:p>
          <w:p>
            <w:pPr>
              <w:bidi w:val="0"/>
              <w:rPr>
                <w:rFonts w:hint="eastAsia"/>
                <w:sz w:val="24"/>
                <w:szCs w:val="22"/>
              </w:rPr>
            </w:pPr>
            <w:r>
              <w:rPr>
                <w:rFonts w:hint="eastAsia"/>
                <w:sz w:val="24"/>
                <w:szCs w:val="22"/>
              </w:rPr>
              <w:t>【优】得该项评分因素分值的85%～100%（含85%）；</w:t>
            </w:r>
          </w:p>
          <w:p>
            <w:pPr>
              <w:bidi w:val="0"/>
              <w:rPr>
                <w:rFonts w:hint="eastAsia"/>
                <w:sz w:val="24"/>
                <w:szCs w:val="22"/>
              </w:rPr>
            </w:pPr>
            <w:r>
              <w:rPr>
                <w:rFonts w:hint="eastAsia"/>
                <w:sz w:val="24"/>
                <w:szCs w:val="22"/>
              </w:rPr>
              <w:t>【良】得该项评分因素分值的70%～85%（含70%）；</w:t>
            </w:r>
          </w:p>
          <w:p>
            <w:pPr>
              <w:bidi w:val="0"/>
              <w:rPr>
                <w:rFonts w:hint="eastAsia"/>
                <w:sz w:val="24"/>
                <w:szCs w:val="22"/>
              </w:rPr>
            </w:pPr>
            <w:r>
              <w:rPr>
                <w:rFonts w:hint="eastAsia"/>
                <w:sz w:val="24"/>
                <w:szCs w:val="22"/>
              </w:rPr>
              <w:t>【中】得该项评分因素分值的60%～70%（含60%）；</w:t>
            </w:r>
          </w:p>
          <w:p>
            <w:pPr>
              <w:bidi w:val="0"/>
              <w:rPr>
                <w:rFonts w:hint="eastAsia"/>
                <w:sz w:val="24"/>
                <w:szCs w:val="22"/>
              </w:rPr>
            </w:pPr>
            <w:r>
              <w:rPr>
                <w:rFonts w:hint="eastAsia"/>
                <w:sz w:val="24"/>
                <w:szCs w:val="22"/>
              </w:rPr>
              <w:t>【差】得该项评分因素分值的0～60%（含0分）。</w:t>
            </w:r>
          </w:p>
          <w:p>
            <w:pPr>
              <w:bidi w:val="0"/>
              <w:rPr>
                <w:rFonts w:hint="eastAsia"/>
                <w:sz w:val="24"/>
                <w:szCs w:val="22"/>
                <w:lang w:val="en-US" w:eastAsia="zh-CN"/>
              </w:rPr>
            </w:pPr>
            <w:r>
              <w:rPr>
                <w:rFonts w:hint="eastAsia"/>
                <w:sz w:val="24"/>
                <w:szCs w:val="22"/>
              </w:rPr>
              <w:t>无该项描述得0分。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center"/>
          </w:tcPr>
          <w:p>
            <w:pPr>
              <w:pStyle w:val="74"/>
              <w:overflowPunct w:val="0"/>
              <w:spacing w:line="240" w:lineRule="auto"/>
              <w:jc w:val="center"/>
              <w:rPr>
                <w:rFonts w:ascii="宋体" w:hAnsi="宋体" w:cs="宋体"/>
                <w:color w:val="000000"/>
                <w:sz w:val="24"/>
                <w:szCs w:val="24"/>
                <w:highlight w:val="none"/>
              </w:rPr>
            </w:pP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产品的设计及技术资料的完整性及合理性评价</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（7分）</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center"/>
          </w:tcPr>
          <w:p>
            <w:pPr>
              <w:bidi w:val="0"/>
              <w:rPr>
                <w:rFonts w:hint="eastAsia"/>
                <w:sz w:val="24"/>
                <w:szCs w:val="22"/>
                <w:lang w:val="en-US" w:eastAsia="zh-CN"/>
              </w:rPr>
            </w:pPr>
            <w:r>
              <w:rPr>
                <w:rFonts w:hint="eastAsia"/>
                <w:sz w:val="24"/>
                <w:szCs w:val="22"/>
                <w:lang w:val="en-US" w:eastAsia="zh-CN"/>
              </w:rPr>
              <w:t>对投标人提供的磨煤机及工艺的可靠性、先进性、设计方案以及所</w:t>
            </w:r>
            <w:r>
              <w:rPr>
                <w:rFonts w:hint="eastAsia"/>
                <w:sz w:val="24"/>
                <w:szCs w:val="22"/>
              </w:rPr>
              <w:t>提供技术资料的完整性和深度</w:t>
            </w:r>
            <w:r>
              <w:rPr>
                <w:rFonts w:hint="eastAsia"/>
                <w:sz w:val="24"/>
                <w:szCs w:val="22"/>
                <w:lang w:val="en-US" w:eastAsia="zh-CN"/>
              </w:rPr>
              <w:t>进行综合评审打分。</w:t>
            </w:r>
          </w:p>
          <w:p>
            <w:pPr>
              <w:bidi w:val="0"/>
              <w:rPr>
                <w:rFonts w:hint="eastAsia"/>
                <w:sz w:val="24"/>
                <w:szCs w:val="22"/>
              </w:rPr>
            </w:pPr>
            <w:r>
              <w:rPr>
                <w:rFonts w:hint="eastAsia"/>
                <w:sz w:val="24"/>
                <w:szCs w:val="22"/>
              </w:rPr>
              <w:t>【优】得该项评分因素分值的85%～100%（含85%）；</w:t>
            </w:r>
          </w:p>
          <w:p>
            <w:pPr>
              <w:bidi w:val="0"/>
              <w:rPr>
                <w:rFonts w:hint="eastAsia"/>
                <w:sz w:val="24"/>
                <w:szCs w:val="22"/>
              </w:rPr>
            </w:pPr>
            <w:r>
              <w:rPr>
                <w:rFonts w:hint="eastAsia"/>
                <w:sz w:val="24"/>
                <w:szCs w:val="22"/>
              </w:rPr>
              <w:t>【良】得该项评分因素分值的70%～85%（含70%）；</w:t>
            </w:r>
          </w:p>
          <w:p>
            <w:pPr>
              <w:bidi w:val="0"/>
              <w:rPr>
                <w:rFonts w:hint="eastAsia"/>
                <w:sz w:val="24"/>
                <w:szCs w:val="22"/>
              </w:rPr>
            </w:pPr>
            <w:r>
              <w:rPr>
                <w:rFonts w:hint="eastAsia"/>
                <w:sz w:val="24"/>
                <w:szCs w:val="22"/>
              </w:rPr>
              <w:t>【中】得该项评分因素分值的60%～70%（含60%）；</w:t>
            </w:r>
          </w:p>
          <w:p>
            <w:pPr>
              <w:bidi w:val="0"/>
              <w:rPr>
                <w:rFonts w:hint="eastAsia"/>
                <w:sz w:val="24"/>
                <w:szCs w:val="22"/>
              </w:rPr>
            </w:pPr>
            <w:r>
              <w:rPr>
                <w:rFonts w:hint="eastAsia"/>
                <w:sz w:val="24"/>
                <w:szCs w:val="22"/>
              </w:rPr>
              <w:t>【差】得该项评分因素分值的0～60%（含0分）。</w:t>
            </w:r>
          </w:p>
          <w:p>
            <w:pPr>
              <w:bidi w:val="0"/>
              <w:rPr>
                <w:rFonts w:hint="eastAsia"/>
                <w:sz w:val="24"/>
                <w:szCs w:val="22"/>
                <w:lang w:val="en-US" w:eastAsia="zh-CN"/>
              </w:rPr>
            </w:pPr>
            <w:r>
              <w:rPr>
                <w:rFonts w:hint="eastAsia"/>
                <w:sz w:val="24"/>
                <w:szCs w:val="22"/>
              </w:rPr>
              <w:t>无该项描述得0分。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tcBorders>
              <w:left w:val="single" w:color="auto" w:sz="4" w:space="0"/>
              <w:right w:val="single" w:color="auto" w:sz="4" w:space="0"/>
              <w:tl2br w:val="nil"/>
              <w:tr2bl w:val="nil"/>
            </w:tcBorders>
            <w:noWrap w:val="0"/>
            <w:vAlign w:val="top"/>
          </w:tcPr>
          <w:p>
            <w:pPr>
              <w:pStyle w:val="74"/>
              <w:overflowPunct w:val="0"/>
              <w:spacing w:line="240" w:lineRule="auto"/>
              <w:jc w:val="center"/>
              <w:rPr>
                <w:rFonts w:hint="eastAsia"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top"/>
          </w:tcPr>
          <w:p>
            <w:pPr>
              <w:pStyle w:val="74"/>
              <w:overflowPunct w:val="0"/>
              <w:spacing w:line="240" w:lineRule="auto"/>
              <w:jc w:val="center"/>
              <w:rPr>
                <w:rFonts w:hint="eastAsia" w:ascii="宋体" w:hAnsi="宋体" w:cs="宋体"/>
                <w:color w:val="000000"/>
                <w:sz w:val="24"/>
                <w:szCs w:val="24"/>
                <w:highlight w:val="none"/>
              </w:rPr>
            </w:pPr>
          </w:p>
        </w:tc>
        <w:tc>
          <w:tcPr>
            <w:tcW w:w="1579" w:type="dxa"/>
            <w:vMerge w:val="restart"/>
            <w:tcBorders>
              <w:top w:val="single" w:color="auto" w:sz="4" w:space="0"/>
              <w:left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产品制造的质量保证措施及安装调试方案</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(最高1</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分）</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top"/>
          </w:tcPr>
          <w:p>
            <w:pPr>
              <w:bidi w:val="0"/>
              <w:rPr>
                <w:rFonts w:hint="eastAsia" w:eastAsia="宋体"/>
                <w:sz w:val="24"/>
                <w:szCs w:val="22"/>
                <w:lang w:val="en-US" w:eastAsia="zh-CN"/>
              </w:rPr>
            </w:pPr>
            <w:r>
              <w:rPr>
                <w:rFonts w:hint="eastAsia" w:ascii="宋体" w:hAnsi="宋体" w:eastAsia="宋体" w:cs="宋体"/>
                <w:color w:val="000000"/>
                <w:sz w:val="24"/>
                <w:szCs w:val="24"/>
                <w:highlight w:val="none"/>
              </w:rPr>
              <w:t>质量保证措施及安装调试方案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2</w:t>
            </w:r>
            <w:r>
              <w:rPr>
                <w:rFonts w:hint="eastAsia" w:ascii="宋体" w:hAnsi="宋体" w:eastAsia="宋体" w:cs="宋体"/>
                <w:color w:val="000000"/>
                <w:sz w:val="24"/>
                <w:szCs w:val="24"/>
                <w:highlight w:val="none"/>
                <w:lang w:val="en-US" w:eastAsia="zh-CN"/>
              </w:rPr>
              <w:t>分</w:t>
            </w:r>
            <w:r>
              <w:rPr>
                <w:rFonts w:hint="eastAsia" w:ascii="宋体" w:hAnsi="宋体" w:eastAsia="宋体" w:cs="宋体"/>
                <w:color w:val="000000"/>
                <w:sz w:val="24"/>
                <w:szCs w:val="24"/>
                <w:highlight w:val="none"/>
                <w:lang w:eastAsia="zh-CN"/>
              </w:rPr>
              <w:t>）：</w:t>
            </w:r>
          </w:p>
          <w:p>
            <w:pPr>
              <w:bidi w:val="0"/>
              <w:rPr>
                <w:rFonts w:hint="eastAsia"/>
                <w:sz w:val="24"/>
                <w:szCs w:val="22"/>
                <w:lang w:val="en-US" w:eastAsia="zh-CN"/>
              </w:rPr>
            </w:pPr>
            <w:r>
              <w:rPr>
                <w:rFonts w:hint="eastAsia"/>
                <w:sz w:val="24"/>
                <w:szCs w:val="22"/>
                <w:lang w:val="en-US" w:eastAsia="zh-CN"/>
              </w:rPr>
              <w:t>包括但不限于1、投标人</w:t>
            </w:r>
            <w:r>
              <w:rPr>
                <w:rFonts w:hint="eastAsia"/>
                <w:sz w:val="24"/>
                <w:szCs w:val="22"/>
              </w:rPr>
              <w:t>制造设备的装备、制造能力</w:t>
            </w:r>
            <w:r>
              <w:rPr>
                <w:rFonts w:hint="eastAsia"/>
                <w:sz w:val="24"/>
                <w:szCs w:val="22"/>
                <w:lang w:eastAsia="zh-CN"/>
              </w:rPr>
              <w:t>；</w:t>
            </w:r>
            <w:r>
              <w:rPr>
                <w:rFonts w:hint="eastAsia"/>
                <w:sz w:val="24"/>
                <w:szCs w:val="22"/>
                <w:lang w:val="en-US" w:eastAsia="zh-CN"/>
              </w:rPr>
              <w:t>2、</w:t>
            </w:r>
            <w:r>
              <w:rPr>
                <w:rFonts w:hint="eastAsia"/>
                <w:sz w:val="24"/>
                <w:szCs w:val="22"/>
              </w:rPr>
              <w:t>技术人员数量及研发能力</w:t>
            </w:r>
            <w:r>
              <w:rPr>
                <w:rFonts w:hint="eastAsia"/>
                <w:sz w:val="24"/>
                <w:szCs w:val="22"/>
                <w:lang w:eastAsia="zh-CN"/>
              </w:rPr>
              <w:t>；</w:t>
            </w:r>
            <w:r>
              <w:rPr>
                <w:rFonts w:hint="eastAsia"/>
                <w:sz w:val="24"/>
                <w:szCs w:val="22"/>
                <w:lang w:val="en-US" w:eastAsia="zh-CN"/>
              </w:rPr>
              <w:t>3、</w:t>
            </w:r>
            <w:r>
              <w:rPr>
                <w:rFonts w:hint="eastAsia"/>
                <w:sz w:val="24"/>
                <w:szCs w:val="22"/>
              </w:rPr>
              <w:t>质量保证措施</w:t>
            </w:r>
            <w:r>
              <w:rPr>
                <w:rFonts w:hint="eastAsia"/>
                <w:sz w:val="24"/>
                <w:szCs w:val="22"/>
                <w:lang w:eastAsia="zh-CN"/>
              </w:rPr>
              <w:t>；</w:t>
            </w:r>
            <w:r>
              <w:rPr>
                <w:rFonts w:hint="eastAsia"/>
                <w:sz w:val="24"/>
                <w:szCs w:val="22"/>
                <w:lang w:val="en-US" w:eastAsia="zh-CN"/>
              </w:rPr>
              <w:t>4、</w:t>
            </w:r>
            <w:r>
              <w:rPr>
                <w:rFonts w:hint="eastAsia"/>
                <w:sz w:val="24"/>
                <w:szCs w:val="22"/>
              </w:rPr>
              <w:t>安装调试方案及设计、安装、调试、检验人员的配给</w:t>
            </w:r>
            <w:r>
              <w:rPr>
                <w:rFonts w:hint="eastAsia"/>
                <w:sz w:val="24"/>
                <w:szCs w:val="22"/>
                <w:lang w:eastAsia="zh-CN"/>
              </w:rPr>
              <w:t>；</w:t>
            </w:r>
            <w:r>
              <w:rPr>
                <w:rFonts w:hint="eastAsia"/>
                <w:sz w:val="24"/>
                <w:szCs w:val="22"/>
                <w:lang w:val="en-US" w:eastAsia="zh-CN"/>
              </w:rPr>
              <w:t>5、</w:t>
            </w:r>
            <w:r>
              <w:rPr>
                <w:rFonts w:hint="eastAsia"/>
                <w:sz w:val="24"/>
                <w:szCs w:val="22"/>
              </w:rPr>
              <w:t>提供的原、辅材料的来源、产地情况，对原、辅材料的技术性能及对产品本身的质量保证程度</w:t>
            </w:r>
            <w:r>
              <w:rPr>
                <w:rFonts w:hint="eastAsia"/>
                <w:sz w:val="24"/>
                <w:szCs w:val="22"/>
                <w:lang w:val="en-US" w:eastAsia="zh-CN"/>
              </w:rPr>
              <w:t>等。</w:t>
            </w:r>
          </w:p>
          <w:p>
            <w:pPr>
              <w:bidi w:val="0"/>
              <w:rPr>
                <w:rFonts w:hint="eastAsia"/>
                <w:sz w:val="24"/>
                <w:szCs w:val="22"/>
              </w:rPr>
            </w:pPr>
            <w:r>
              <w:rPr>
                <w:rFonts w:hint="eastAsia"/>
                <w:sz w:val="24"/>
                <w:szCs w:val="22"/>
              </w:rPr>
              <w:t>【优】得该项评分因素分值的85%～100%（含85%）；</w:t>
            </w:r>
          </w:p>
          <w:p>
            <w:pPr>
              <w:bidi w:val="0"/>
              <w:rPr>
                <w:rFonts w:hint="eastAsia"/>
                <w:sz w:val="24"/>
                <w:szCs w:val="22"/>
              </w:rPr>
            </w:pPr>
            <w:r>
              <w:rPr>
                <w:rFonts w:hint="eastAsia"/>
                <w:sz w:val="24"/>
                <w:szCs w:val="22"/>
              </w:rPr>
              <w:t>【良】得该项评分因素分值的70%～85%（含70%）；</w:t>
            </w:r>
          </w:p>
          <w:p>
            <w:pPr>
              <w:bidi w:val="0"/>
              <w:rPr>
                <w:rFonts w:hint="eastAsia"/>
                <w:sz w:val="24"/>
                <w:szCs w:val="22"/>
              </w:rPr>
            </w:pPr>
            <w:r>
              <w:rPr>
                <w:rFonts w:hint="eastAsia"/>
                <w:sz w:val="24"/>
                <w:szCs w:val="22"/>
              </w:rPr>
              <w:t>【中】得该项评分因素分值的60%～70%（含60%）；</w:t>
            </w:r>
          </w:p>
          <w:p>
            <w:pPr>
              <w:bidi w:val="0"/>
              <w:rPr>
                <w:rFonts w:hint="eastAsia"/>
                <w:sz w:val="24"/>
                <w:szCs w:val="22"/>
              </w:rPr>
            </w:pPr>
            <w:r>
              <w:rPr>
                <w:rFonts w:hint="eastAsia"/>
                <w:sz w:val="24"/>
                <w:szCs w:val="22"/>
              </w:rPr>
              <w:t>【差】得该项评分因素分值的0～60%（含0分）。</w:t>
            </w:r>
          </w:p>
          <w:p>
            <w:pPr>
              <w:bidi w:val="0"/>
              <w:rPr>
                <w:rFonts w:hint="eastAsia"/>
                <w:sz w:val="24"/>
                <w:szCs w:val="22"/>
              </w:rPr>
            </w:pPr>
            <w:r>
              <w:rPr>
                <w:rFonts w:hint="eastAsia"/>
                <w:sz w:val="24"/>
                <w:szCs w:val="22"/>
              </w:rPr>
              <w:t>无该项描述得0分。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tcBorders>
              <w:left w:val="single" w:color="auto" w:sz="4" w:space="0"/>
              <w:right w:val="single" w:color="auto" w:sz="4" w:space="0"/>
              <w:tl2br w:val="nil"/>
              <w:tr2bl w:val="nil"/>
            </w:tcBorders>
            <w:noWrap w:val="0"/>
            <w:vAlign w:val="top"/>
          </w:tcPr>
          <w:p>
            <w:pPr>
              <w:pStyle w:val="74"/>
              <w:overflowPunct w:val="0"/>
              <w:spacing w:line="240" w:lineRule="auto"/>
              <w:jc w:val="center"/>
              <w:rPr>
                <w:rFonts w:hint="eastAsia"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top"/>
          </w:tcPr>
          <w:p>
            <w:pPr>
              <w:pStyle w:val="74"/>
              <w:overflowPunct w:val="0"/>
              <w:spacing w:line="240" w:lineRule="auto"/>
              <w:jc w:val="center"/>
              <w:rPr>
                <w:rFonts w:hint="eastAsia" w:ascii="宋体" w:hAnsi="宋体" w:cs="宋体"/>
                <w:color w:val="000000"/>
                <w:sz w:val="24"/>
                <w:szCs w:val="24"/>
                <w:highlight w:val="none"/>
              </w:rPr>
            </w:pPr>
          </w:p>
        </w:tc>
        <w:tc>
          <w:tcPr>
            <w:tcW w:w="1579" w:type="dxa"/>
            <w:vMerge w:val="continue"/>
            <w:tcBorders>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rPr>
            </w:pP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top"/>
          </w:tcPr>
          <w:p>
            <w:pPr>
              <w:bidi w:val="0"/>
              <w:rPr>
                <w:rFonts w:hint="eastAsia" w:eastAsia="宋体"/>
                <w:sz w:val="24"/>
                <w:szCs w:val="22"/>
                <w:lang w:eastAsia="zh-CN"/>
              </w:rPr>
            </w:pPr>
            <w:r>
              <w:rPr>
                <w:rFonts w:hint="eastAsia"/>
                <w:sz w:val="24"/>
                <w:szCs w:val="22"/>
              </w:rPr>
              <w:t>产品生产工艺流程中各环节的检测手段和质量管理水平</w:t>
            </w:r>
            <w:r>
              <w:rPr>
                <w:rFonts w:hint="eastAsia"/>
                <w:sz w:val="24"/>
                <w:szCs w:val="22"/>
                <w:lang w:eastAsia="zh-CN"/>
              </w:rPr>
              <w:t>（</w:t>
            </w:r>
            <w:r>
              <w:rPr>
                <w:rFonts w:hint="eastAsia"/>
                <w:sz w:val="24"/>
                <w:szCs w:val="22"/>
                <w:lang w:val="en-US" w:eastAsia="zh-CN"/>
              </w:rPr>
              <w:t>5分</w:t>
            </w:r>
            <w:r>
              <w:rPr>
                <w:rFonts w:hint="eastAsia"/>
                <w:sz w:val="24"/>
                <w:szCs w:val="22"/>
                <w:lang w:eastAsia="zh-CN"/>
              </w:rPr>
              <w:t>）：</w:t>
            </w:r>
          </w:p>
          <w:p>
            <w:pPr>
              <w:bidi w:val="0"/>
              <w:rPr>
                <w:rFonts w:hint="eastAsia" w:eastAsia="宋体"/>
                <w:sz w:val="24"/>
                <w:szCs w:val="22"/>
                <w:lang w:val="en-US" w:eastAsia="zh-CN"/>
              </w:rPr>
            </w:pPr>
            <w:r>
              <w:rPr>
                <w:rFonts w:hint="eastAsia"/>
                <w:sz w:val="24"/>
                <w:szCs w:val="22"/>
                <w:lang w:val="en-US" w:eastAsia="zh-CN"/>
              </w:rPr>
              <w:t>包括</w:t>
            </w:r>
            <w:r>
              <w:rPr>
                <w:rFonts w:hint="eastAsia"/>
                <w:sz w:val="24"/>
                <w:szCs w:val="22"/>
              </w:rPr>
              <w:t>质量管理系统平台</w:t>
            </w:r>
            <w:r>
              <w:rPr>
                <w:rFonts w:hint="eastAsia"/>
                <w:sz w:val="24"/>
                <w:szCs w:val="22"/>
                <w:lang w:val="en-US" w:eastAsia="zh-CN"/>
              </w:rPr>
              <w:t>、</w:t>
            </w:r>
            <w:r>
              <w:rPr>
                <w:rFonts w:hint="eastAsia"/>
                <w:sz w:val="24"/>
                <w:szCs w:val="22"/>
              </w:rPr>
              <w:t>质检系统</w:t>
            </w:r>
            <w:r>
              <w:rPr>
                <w:rFonts w:hint="eastAsia"/>
                <w:sz w:val="24"/>
                <w:szCs w:val="22"/>
                <w:lang w:val="en-US" w:eastAsia="zh-CN"/>
              </w:rPr>
              <w:t>等</w:t>
            </w:r>
          </w:p>
          <w:p>
            <w:pPr>
              <w:bidi w:val="0"/>
              <w:rPr>
                <w:rFonts w:hint="eastAsia"/>
                <w:sz w:val="24"/>
                <w:szCs w:val="22"/>
              </w:rPr>
            </w:pPr>
            <w:r>
              <w:rPr>
                <w:rFonts w:hint="eastAsia"/>
                <w:sz w:val="24"/>
                <w:szCs w:val="22"/>
              </w:rPr>
              <w:t>【优】得该项评分因素分值的85%～100%（含85%）；</w:t>
            </w:r>
          </w:p>
          <w:p>
            <w:pPr>
              <w:bidi w:val="0"/>
              <w:rPr>
                <w:rFonts w:hint="eastAsia"/>
                <w:sz w:val="24"/>
                <w:szCs w:val="22"/>
              </w:rPr>
            </w:pPr>
            <w:r>
              <w:rPr>
                <w:rFonts w:hint="eastAsia"/>
                <w:sz w:val="24"/>
                <w:szCs w:val="22"/>
              </w:rPr>
              <w:t>【良】得该项评分因素分值的70%～85%（含70%）；</w:t>
            </w:r>
          </w:p>
          <w:p>
            <w:pPr>
              <w:bidi w:val="0"/>
              <w:rPr>
                <w:rFonts w:hint="eastAsia"/>
                <w:sz w:val="24"/>
                <w:szCs w:val="22"/>
              </w:rPr>
            </w:pPr>
            <w:r>
              <w:rPr>
                <w:rFonts w:hint="eastAsia"/>
                <w:sz w:val="24"/>
                <w:szCs w:val="22"/>
              </w:rPr>
              <w:t>【中】得该项评分因素分值的60%～70%（含60%）；</w:t>
            </w:r>
          </w:p>
          <w:p>
            <w:pPr>
              <w:bidi w:val="0"/>
              <w:rPr>
                <w:rFonts w:hint="eastAsia"/>
                <w:sz w:val="24"/>
                <w:szCs w:val="22"/>
              </w:rPr>
            </w:pPr>
            <w:r>
              <w:rPr>
                <w:rFonts w:hint="eastAsia"/>
                <w:sz w:val="24"/>
                <w:szCs w:val="22"/>
              </w:rPr>
              <w:t>【差】得该项评分因素分值的0～60%（含0分）。</w:t>
            </w:r>
          </w:p>
          <w:p>
            <w:pPr>
              <w:bidi w:val="0"/>
              <w:rPr>
                <w:rFonts w:hint="eastAsia"/>
                <w:sz w:val="24"/>
                <w:szCs w:val="22"/>
                <w:lang w:val="en-US" w:eastAsia="zh-CN"/>
              </w:rPr>
            </w:pPr>
            <w:r>
              <w:rPr>
                <w:rFonts w:hint="eastAsia"/>
                <w:sz w:val="24"/>
                <w:szCs w:val="22"/>
              </w:rPr>
              <w:t>无该项描述得0分。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tcBorders>
              <w:left w:val="single" w:color="auto" w:sz="4" w:space="0"/>
              <w:right w:val="single" w:color="auto" w:sz="4" w:space="0"/>
              <w:tl2br w:val="nil"/>
              <w:tr2bl w:val="nil"/>
            </w:tcBorders>
            <w:noWrap w:val="0"/>
            <w:vAlign w:val="top"/>
          </w:tcPr>
          <w:p>
            <w:pPr>
              <w:pStyle w:val="74"/>
              <w:overflowPunct w:val="0"/>
              <w:spacing w:line="240" w:lineRule="auto"/>
              <w:jc w:val="center"/>
              <w:rPr>
                <w:rFonts w:hint="eastAsia"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top"/>
          </w:tcPr>
          <w:p>
            <w:pPr>
              <w:pStyle w:val="74"/>
              <w:overflowPunct w:val="0"/>
              <w:spacing w:line="240" w:lineRule="auto"/>
              <w:jc w:val="center"/>
              <w:rPr>
                <w:rFonts w:hint="eastAsia" w:ascii="宋体" w:hAnsi="宋体" w:cs="宋体"/>
                <w:color w:val="000000"/>
                <w:sz w:val="24"/>
                <w:szCs w:val="24"/>
                <w:highlight w:val="none"/>
              </w:rPr>
            </w:pP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产品制造进度计划及控制措施</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3分</w:t>
            </w:r>
            <w:r>
              <w:rPr>
                <w:rFonts w:hint="eastAsia" w:ascii="宋体" w:hAnsi="宋体" w:eastAsia="宋体" w:cs="宋体"/>
                <w:color w:val="000000"/>
                <w:sz w:val="24"/>
                <w:szCs w:val="24"/>
                <w:highlight w:val="none"/>
                <w:lang w:eastAsia="zh-CN"/>
              </w:rPr>
              <w:t>）</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top"/>
          </w:tcPr>
          <w:p>
            <w:pPr>
              <w:bidi w:val="0"/>
              <w:rPr>
                <w:rFonts w:hint="eastAsia"/>
                <w:sz w:val="24"/>
                <w:szCs w:val="22"/>
                <w:lang w:eastAsia="zh-CN"/>
              </w:rPr>
            </w:pPr>
            <w:r>
              <w:rPr>
                <w:rFonts w:hint="eastAsia"/>
                <w:sz w:val="24"/>
                <w:szCs w:val="22"/>
              </w:rPr>
              <w:t>有详细制造进度计划，控制措施科学、合理、可行</w:t>
            </w:r>
            <w:r>
              <w:rPr>
                <w:rFonts w:hint="eastAsia"/>
                <w:sz w:val="24"/>
                <w:szCs w:val="22"/>
                <w:lang w:eastAsia="zh-CN"/>
              </w:rPr>
              <w:t>。</w:t>
            </w:r>
          </w:p>
          <w:p>
            <w:pPr>
              <w:bidi w:val="0"/>
              <w:rPr>
                <w:rFonts w:hint="eastAsia"/>
                <w:sz w:val="24"/>
                <w:szCs w:val="22"/>
              </w:rPr>
            </w:pPr>
            <w:r>
              <w:rPr>
                <w:rFonts w:hint="eastAsia"/>
                <w:sz w:val="24"/>
                <w:szCs w:val="22"/>
              </w:rPr>
              <w:t>【优】得该项评分因素分值的85%～100%（含85%）；</w:t>
            </w:r>
          </w:p>
          <w:p>
            <w:pPr>
              <w:bidi w:val="0"/>
              <w:rPr>
                <w:rFonts w:hint="eastAsia"/>
                <w:sz w:val="24"/>
                <w:szCs w:val="22"/>
              </w:rPr>
            </w:pPr>
            <w:r>
              <w:rPr>
                <w:rFonts w:hint="eastAsia"/>
                <w:sz w:val="24"/>
                <w:szCs w:val="22"/>
              </w:rPr>
              <w:t>【良】得该项评分因素分值的70%～85%（含70%）；</w:t>
            </w:r>
          </w:p>
          <w:p>
            <w:pPr>
              <w:bidi w:val="0"/>
              <w:rPr>
                <w:rFonts w:hint="eastAsia"/>
                <w:sz w:val="24"/>
                <w:szCs w:val="22"/>
              </w:rPr>
            </w:pPr>
            <w:r>
              <w:rPr>
                <w:rFonts w:hint="eastAsia"/>
                <w:sz w:val="24"/>
                <w:szCs w:val="22"/>
              </w:rPr>
              <w:t>【中】得该项评分因素分值的60%～70%（含60%）；</w:t>
            </w:r>
          </w:p>
          <w:p>
            <w:pPr>
              <w:bidi w:val="0"/>
              <w:rPr>
                <w:rFonts w:hint="eastAsia"/>
                <w:sz w:val="24"/>
                <w:szCs w:val="22"/>
              </w:rPr>
            </w:pPr>
            <w:r>
              <w:rPr>
                <w:rFonts w:hint="eastAsia"/>
                <w:sz w:val="24"/>
                <w:szCs w:val="22"/>
              </w:rPr>
              <w:t>【差】得该项评分因素分值的0～60%（含0分）。</w:t>
            </w:r>
          </w:p>
          <w:p>
            <w:pPr>
              <w:bidi w:val="0"/>
              <w:rPr>
                <w:rFonts w:hint="default" w:eastAsia="宋体"/>
                <w:sz w:val="24"/>
                <w:szCs w:val="22"/>
                <w:lang w:val="en-US" w:eastAsia="zh-CN"/>
              </w:rPr>
            </w:pPr>
            <w:r>
              <w:rPr>
                <w:rFonts w:hint="eastAsia"/>
                <w:sz w:val="24"/>
                <w:szCs w:val="22"/>
              </w:rPr>
              <w:t>无该项描述得0分。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tcBorders>
              <w:left w:val="single" w:color="auto" w:sz="4" w:space="0"/>
              <w:right w:val="single" w:color="auto" w:sz="4" w:space="0"/>
              <w:tl2br w:val="nil"/>
              <w:tr2bl w:val="nil"/>
            </w:tcBorders>
            <w:noWrap w:val="0"/>
            <w:vAlign w:val="top"/>
          </w:tcPr>
          <w:p>
            <w:pPr>
              <w:pStyle w:val="74"/>
              <w:overflowPunct w:val="0"/>
              <w:spacing w:line="240" w:lineRule="auto"/>
              <w:jc w:val="center"/>
              <w:rPr>
                <w:rFonts w:hint="eastAsia" w:ascii="宋体" w:hAnsi="宋体" w:cs="宋体"/>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top"/>
          </w:tcPr>
          <w:p>
            <w:pPr>
              <w:pStyle w:val="74"/>
              <w:overflowPunct w:val="0"/>
              <w:spacing w:line="240" w:lineRule="auto"/>
              <w:jc w:val="center"/>
              <w:rPr>
                <w:rFonts w:hint="eastAsia" w:ascii="宋体" w:hAnsi="宋体" w:cs="宋体"/>
                <w:color w:val="000000"/>
                <w:sz w:val="24"/>
                <w:szCs w:val="24"/>
                <w:highlight w:val="none"/>
              </w:rPr>
            </w:pP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售后服务体系及承诺</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center"/>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6分</w:t>
            </w:r>
            <w:r>
              <w:rPr>
                <w:rFonts w:hint="eastAsia" w:ascii="宋体" w:hAnsi="宋体" w:eastAsia="宋体" w:cs="宋体"/>
                <w:color w:val="000000"/>
                <w:sz w:val="24"/>
                <w:szCs w:val="24"/>
                <w:highlight w:val="none"/>
                <w:lang w:eastAsia="zh-CN"/>
              </w:rPr>
              <w:t>）</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top"/>
          </w:tcPr>
          <w:p>
            <w:pPr>
              <w:bidi w:val="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有完整的售后服务体系，售后服务承诺积极</w:t>
            </w:r>
            <w:r>
              <w:rPr>
                <w:rFonts w:hint="eastAsia" w:ascii="宋体" w:hAnsi="宋体" w:eastAsia="宋体" w:cs="宋体"/>
                <w:color w:val="000000"/>
                <w:sz w:val="24"/>
                <w:szCs w:val="24"/>
                <w:highlight w:val="none"/>
                <w:lang w:eastAsia="zh-CN"/>
              </w:rPr>
              <w:t>。</w:t>
            </w:r>
          </w:p>
          <w:p>
            <w:pPr>
              <w:bidi w:val="0"/>
              <w:rPr>
                <w:rFonts w:hint="eastAsia"/>
                <w:sz w:val="24"/>
                <w:szCs w:val="22"/>
              </w:rPr>
            </w:pPr>
            <w:r>
              <w:rPr>
                <w:rFonts w:hint="eastAsia"/>
                <w:sz w:val="24"/>
                <w:szCs w:val="22"/>
              </w:rPr>
              <w:t>【优】得该项评分因素分值的85%～100%（含85%）；</w:t>
            </w:r>
          </w:p>
          <w:p>
            <w:pPr>
              <w:bidi w:val="0"/>
              <w:rPr>
                <w:rFonts w:hint="eastAsia"/>
                <w:sz w:val="24"/>
                <w:szCs w:val="22"/>
              </w:rPr>
            </w:pPr>
            <w:r>
              <w:rPr>
                <w:rFonts w:hint="eastAsia"/>
                <w:sz w:val="24"/>
                <w:szCs w:val="22"/>
              </w:rPr>
              <w:t>【良】得该项评分因素分值的70%～85%（含70%）；</w:t>
            </w:r>
          </w:p>
          <w:p>
            <w:pPr>
              <w:bidi w:val="0"/>
              <w:rPr>
                <w:rFonts w:hint="eastAsia"/>
                <w:sz w:val="24"/>
                <w:szCs w:val="22"/>
              </w:rPr>
            </w:pPr>
            <w:r>
              <w:rPr>
                <w:rFonts w:hint="eastAsia"/>
                <w:sz w:val="24"/>
                <w:szCs w:val="22"/>
              </w:rPr>
              <w:t>【中】得该项评分因素分值的60%～70%（含60%）；</w:t>
            </w:r>
          </w:p>
          <w:p>
            <w:pPr>
              <w:bidi w:val="0"/>
              <w:rPr>
                <w:rFonts w:hint="eastAsia"/>
                <w:sz w:val="24"/>
                <w:szCs w:val="22"/>
              </w:rPr>
            </w:pPr>
            <w:r>
              <w:rPr>
                <w:rFonts w:hint="eastAsia"/>
                <w:sz w:val="24"/>
                <w:szCs w:val="22"/>
              </w:rPr>
              <w:t>【差】得该项评分因素分值的0～60%（含0分）。</w:t>
            </w:r>
          </w:p>
          <w:p>
            <w:pPr>
              <w:pStyle w:val="74"/>
              <w:keepNext w:val="0"/>
              <w:keepLines w:val="0"/>
              <w:pageBreakBefore w:val="0"/>
              <w:widowControl w:val="0"/>
              <w:kinsoku/>
              <w:wordWrap/>
              <w:overflowPunct w:val="0"/>
              <w:topLinePunct w:val="0"/>
              <w:autoSpaceDE w:val="0"/>
              <w:autoSpaceDN w:val="0"/>
              <w:bidi w:val="0"/>
              <w:adjustRightInd w:val="0"/>
              <w:snapToGrid/>
              <w:spacing w:line="240" w:lineRule="auto"/>
              <w:jc w:val="left"/>
              <w:textAlignment w:val="auto"/>
              <w:rPr>
                <w:rFonts w:hint="eastAsia" w:ascii="宋体" w:hAnsi="宋体" w:eastAsia="宋体" w:cs="宋体"/>
                <w:color w:val="000000"/>
                <w:sz w:val="24"/>
                <w:szCs w:val="24"/>
                <w:highlight w:val="none"/>
              </w:rPr>
            </w:pPr>
            <w:r>
              <w:rPr>
                <w:rFonts w:hint="eastAsia"/>
                <w:sz w:val="24"/>
                <w:szCs w:val="22"/>
              </w:rPr>
              <w:t>无该项描述得</w:t>
            </w:r>
            <w:r>
              <w:rPr>
                <w:rFonts w:hint="eastAsia" w:ascii="宋体" w:hAnsi="宋体" w:eastAsia="宋体" w:cs="宋体"/>
                <w:sz w:val="24"/>
                <w:szCs w:val="22"/>
              </w:rPr>
              <w:t>0</w:t>
            </w:r>
            <w:r>
              <w:rPr>
                <w:rFonts w:hint="eastAsia"/>
                <w:sz w:val="24"/>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1028" w:type="dxa"/>
            <w:vMerge w:val="restart"/>
            <w:tcBorders>
              <w:top w:val="single" w:color="auto" w:sz="4" w:space="0"/>
              <w:left w:val="single" w:color="auto" w:sz="4" w:space="0"/>
              <w:right w:val="single" w:color="auto" w:sz="4" w:space="0"/>
              <w:tl2br w:val="nil"/>
              <w:tr2bl w:val="nil"/>
            </w:tcBorders>
            <w:noWrap w:val="0"/>
            <w:vAlign w:val="center"/>
          </w:tcPr>
          <w:p>
            <w:pPr>
              <w:pStyle w:val="74"/>
              <w:keepNext w:val="0"/>
              <w:keepLines w:val="0"/>
              <w:pageBreakBefore w:val="0"/>
              <w:kinsoku/>
              <w:wordWrap/>
              <w:overflowPunct w:val="0"/>
              <w:topLinePunct w:val="0"/>
              <w:autoSpaceDE w:val="0"/>
              <w:autoSpaceDN w:val="0"/>
              <w:bidi w:val="0"/>
              <w:adjustRightInd w:val="0"/>
              <w:spacing w:line="240" w:lineRule="auto"/>
              <w:jc w:val="center"/>
              <w:textAlignment w:val="auto"/>
              <w:rPr>
                <w:rFonts w:hint="eastAsia" w:ascii="宋体" w:hAnsi="宋体" w:eastAsia="宋体" w:cs="宋体"/>
                <w:color w:val="000000"/>
                <w:sz w:val="24"/>
                <w:szCs w:val="24"/>
                <w:highlight w:val="none"/>
                <w:lang w:eastAsia="zh-CN"/>
              </w:rPr>
            </w:pPr>
            <w:r>
              <w:rPr>
                <w:rFonts w:ascii="宋体" w:hAnsi="宋体" w:cs="宋体"/>
                <w:color w:val="000000"/>
                <w:sz w:val="24"/>
                <w:szCs w:val="24"/>
                <w:highlight w:val="none"/>
              </w:rPr>
              <w:t>2.2.</w:t>
            </w:r>
            <w:r>
              <w:rPr>
                <w:rFonts w:hint="eastAsia" w:ascii="宋体" w:hAnsi="宋体" w:cs="宋体"/>
                <w:color w:val="000000"/>
                <w:sz w:val="24"/>
                <w:szCs w:val="24"/>
                <w:highlight w:val="none"/>
                <w:lang w:val="en-US" w:eastAsia="zh-CN"/>
              </w:rPr>
              <w:t>2</w:t>
            </w:r>
          </w:p>
          <w:p>
            <w:pPr>
              <w:pStyle w:val="74"/>
              <w:keepNext w:val="0"/>
              <w:keepLines w:val="0"/>
              <w:pageBreakBefore w:val="0"/>
              <w:kinsoku/>
              <w:wordWrap/>
              <w:overflowPunct w:val="0"/>
              <w:topLinePunct w:val="0"/>
              <w:autoSpaceDE w:val="0"/>
              <w:autoSpaceDN w:val="0"/>
              <w:bidi w:val="0"/>
              <w:adjustRightInd w:val="0"/>
              <w:spacing w:line="240" w:lineRule="auto"/>
              <w:jc w:val="center"/>
              <w:textAlignment w:val="auto"/>
              <w:rPr>
                <w:rFonts w:ascii="宋体" w:hAnsi="宋体" w:cs="宋体"/>
                <w:color w:val="000000"/>
                <w:sz w:val="24"/>
                <w:szCs w:val="24"/>
                <w:highlight w:val="none"/>
              </w:rPr>
            </w:pPr>
            <w:r>
              <w:rPr>
                <w:rFonts w:ascii="宋体" w:hAnsi="宋体" w:cs="宋体"/>
                <w:color w:val="000000"/>
                <w:sz w:val="24"/>
                <w:szCs w:val="24"/>
                <w:highlight w:val="none"/>
              </w:rPr>
              <w:t>（3）</w:t>
            </w:r>
          </w:p>
        </w:tc>
        <w:tc>
          <w:tcPr>
            <w:tcW w:w="981" w:type="dxa"/>
            <w:vMerge w:val="restart"/>
            <w:tcBorders>
              <w:top w:val="single" w:color="auto" w:sz="4" w:space="0"/>
              <w:left w:val="single" w:color="auto" w:sz="4" w:space="0"/>
              <w:right w:val="single" w:color="auto" w:sz="4" w:space="0"/>
              <w:tl2br w:val="nil"/>
              <w:tr2bl w:val="nil"/>
            </w:tcBorders>
            <w:noWrap w:val="0"/>
            <w:vAlign w:val="center"/>
          </w:tcPr>
          <w:p>
            <w:pPr>
              <w:pStyle w:val="74"/>
              <w:keepNext w:val="0"/>
              <w:keepLines w:val="0"/>
              <w:pageBreakBefore w:val="0"/>
              <w:kinsoku/>
              <w:wordWrap/>
              <w:overflowPunct w:val="0"/>
              <w:topLinePunct w:val="0"/>
              <w:autoSpaceDE w:val="0"/>
              <w:autoSpaceDN w:val="0"/>
              <w:bidi w:val="0"/>
              <w:adjustRightInd w:val="0"/>
              <w:spacing w:line="240" w:lineRule="auto"/>
              <w:jc w:val="center"/>
              <w:textAlignment w:val="auto"/>
              <w:rPr>
                <w:rFonts w:ascii="宋体" w:hAnsi="宋体" w:cs="宋体"/>
                <w:color w:val="000000"/>
                <w:sz w:val="24"/>
                <w:szCs w:val="24"/>
                <w:highlight w:val="none"/>
              </w:rPr>
            </w:pPr>
            <w:r>
              <w:rPr>
                <w:rFonts w:ascii="宋体" w:hAnsi="宋体" w:cs="宋体"/>
                <w:color w:val="000000"/>
                <w:sz w:val="24"/>
                <w:szCs w:val="24"/>
                <w:highlight w:val="none"/>
              </w:rPr>
              <w:t>投标报价（</w:t>
            </w:r>
            <w:r>
              <w:rPr>
                <w:rFonts w:hint="eastAsia" w:ascii="宋体" w:hAnsi="宋体" w:eastAsia="宋体" w:cs="宋体"/>
                <w:color w:val="000000"/>
                <w:sz w:val="24"/>
                <w:szCs w:val="24"/>
                <w:highlight w:val="none"/>
                <w:lang w:val="en-US" w:eastAsia="zh-CN"/>
              </w:rPr>
              <w:t>30</w:t>
            </w:r>
            <w:r>
              <w:rPr>
                <w:rFonts w:hint="eastAsia" w:ascii="宋体" w:hAnsi="宋体" w:cs="宋体"/>
                <w:color w:val="000000"/>
                <w:sz w:val="24"/>
                <w:szCs w:val="24"/>
                <w:highlight w:val="none"/>
              </w:rPr>
              <w:t>分）</w:t>
            </w: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snapToGrid w:val="0"/>
              <w:spacing w:line="240" w:lineRule="auto"/>
              <w:ind w:right="-120" w:rightChars="0"/>
              <w:jc w:val="center"/>
              <w:rPr>
                <w:rFonts w:ascii="宋体"/>
                <w:color w:val="000000"/>
                <w:sz w:val="24"/>
                <w:szCs w:val="24"/>
                <w:highlight w:val="none"/>
              </w:rPr>
            </w:pPr>
            <w:r>
              <w:rPr>
                <w:rFonts w:hint="eastAsia" w:ascii="宋体" w:hAnsi="宋体" w:cs="宋体"/>
                <w:color w:val="000000"/>
                <w:kern w:val="0"/>
                <w:sz w:val="24"/>
                <w:szCs w:val="24"/>
                <w:highlight w:val="none"/>
              </w:rPr>
              <w:t>有效投标报价</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74"/>
              <w:spacing w:line="24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投标人的投标总价不得高于最高投标限价，也不得低于成本，投标人的投标总价含13%增值税</w:t>
            </w:r>
          </w:p>
          <w:p>
            <w:pPr>
              <w:pStyle w:val="74"/>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投标人投标报价小于7469630.00元时（招标控制价×85%），又未提供相应书面说明和佐证材料或提供的书面说明和佐证材料不能充分证明其产品成本合理性的，评标委员会应认定其以低于成本的价格竞标，并否决其投标。评标委员会接受该投标人的投标总价而未否决其投标的，应在评标报告中说明判断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1028" w:type="dxa"/>
            <w:vMerge w:val="continue"/>
            <w:tcBorders>
              <w:left w:val="single" w:color="auto" w:sz="4" w:space="0"/>
              <w:right w:val="single" w:color="auto" w:sz="4" w:space="0"/>
              <w:tl2br w:val="nil"/>
              <w:tr2bl w:val="nil"/>
            </w:tcBorders>
            <w:noWrap w:val="0"/>
            <w:vAlign w:val="center"/>
          </w:tcPr>
          <w:p>
            <w:pPr>
              <w:pStyle w:val="89"/>
              <w:keepNext w:val="0"/>
              <w:keepLines w:val="0"/>
              <w:pageBreakBefore w:val="0"/>
              <w:kinsoku/>
              <w:wordWrap/>
              <w:topLinePunct w:val="0"/>
              <w:autoSpaceDE w:val="0"/>
              <w:autoSpaceDN w:val="0"/>
              <w:bidi w:val="0"/>
              <w:adjustRightInd w:val="0"/>
              <w:spacing w:line="240" w:lineRule="auto"/>
              <w:ind w:right="-57"/>
              <w:textAlignment w:val="auto"/>
              <w:rPr>
                <w:color w:val="000000"/>
                <w:sz w:val="24"/>
                <w:szCs w:val="24"/>
                <w:highlight w:val="none"/>
              </w:rPr>
            </w:pPr>
          </w:p>
        </w:tc>
        <w:tc>
          <w:tcPr>
            <w:tcW w:w="981" w:type="dxa"/>
            <w:vMerge w:val="continue"/>
            <w:tcBorders>
              <w:left w:val="single" w:color="auto" w:sz="4" w:space="0"/>
              <w:right w:val="single" w:color="auto" w:sz="4" w:space="0"/>
              <w:tl2br w:val="nil"/>
              <w:tr2bl w:val="nil"/>
            </w:tcBorders>
            <w:noWrap w:val="0"/>
            <w:vAlign w:val="center"/>
          </w:tcPr>
          <w:p>
            <w:pPr>
              <w:pStyle w:val="89"/>
              <w:keepNext w:val="0"/>
              <w:keepLines w:val="0"/>
              <w:pageBreakBefore w:val="0"/>
              <w:kinsoku/>
              <w:wordWrap/>
              <w:topLinePunct w:val="0"/>
              <w:autoSpaceDE w:val="0"/>
              <w:autoSpaceDN w:val="0"/>
              <w:bidi w:val="0"/>
              <w:adjustRightInd w:val="0"/>
              <w:spacing w:line="240" w:lineRule="auto"/>
              <w:ind w:right="-57"/>
              <w:textAlignment w:val="auto"/>
              <w:rPr>
                <w:color w:val="000000"/>
                <w:sz w:val="24"/>
                <w:szCs w:val="24"/>
                <w:highlight w:val="none"/>
              </w:rPr>
            </w:pPr>
          </w:p>
        </w:tc>
        <w:tc>
          <w:tcPr>
            <w:tcW w:w="157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240" w:lineRule="auto"/>
              <w:jc w:val="center"/>
              <w:rPr>
                <w:color w:val="000000"/>
                <w:sz w:val="24"/>
                <w:szCs w:val="24"/>
                <w:highlight w:val="none"/>
              </w:rPr>
            </w:pPr>
            <w:r>
              <w:rPr>
                <w:rFonts w:hint="eastAsia" w:ascii="宋体" w:hAnsi="宋体" w:eastAsia="宋体" w:cs="宋体"/>
                <w:color w:val="000000"/>
                <w:sz w:val="24"/>
                <w:szCs w:val="24"/>
                <w:highlight w:val="none"/>
                <w:lang w:eastAsia="zh-CN"/>
              </w:rPr>
              <w:t>投标报价评审</w:t>
            </w:r>
          </w:p>
        </w:tc>
        <w:tc>
          <w:tcPr>
            <w:tcW w:w="6279" w:type="dxa"/>
            <w:tcBorders>
              <w:top w:val="single" w:color="auto" w:sz="4" w:space="0"/>
              <w:left w:val="single" w:color="auto" w:sz="4" w:space="0"/>
              <w:bottom w:val="single" w:color="auto" w:sz="4" w:space="0"/>
              <w:right w:val="single" w:color="auto" w:sz="4" w:space="0"/>
              <w:tl2br w:val="nil"/>
              <w:tr2bl w:val="nil"/>
            </w:tcBorders>
            <w:noWrap w:val="0"/>
            <w:vAlign w:val="top"/>
          </w:tcPr>
          <w:p>
            <w:pPr>
              <w:pStyle w:val="74"/>
              <w:spacing w:line="240" w:lineRule="auto"/>
              <w:rPr>
                <w:rFonts w:hint="eastAsia" w:ascii="宋体" w:hAnsi="宋体"/>
                <w:color w:val="000000"/>
                <w:kern w:val="0"/>
                <w:sz w:val="24"/>
                <w:szCs w:val="24"/>
                <w:highlight w:val="none"/>
              </w:rPr>
            </w:pPr>
            <w:r>
              <w:rPr>
                <w:rFonts w:hint="eastAsia" w:ascii="宋体" w:hAnsi="宋体"/>
                <w:color w:val="000000"/>
                <w:kern w:val="0"/>
                <w:sz w:val="24"/>
                <w:szCs w:val="24"/>
                <w:highlight w:val="none"/>
              </w:rPr>
              <w:t>（一）评标基准</w:t>
            </w:r>
            <w:r>
              <w:rPr>
                <w:rFonts w:hint="eastAsia" w:ascii="宋体" w:hAnsi="宋体" w:eastAsia="宋体"/>
                <w:color w:val="000000"/>
                <w:kern w:val="0"/>
                <w:sz w:val="24"/>
                <w:szCs w:val="24"/>
                <w:highlight w:val="none"/>
                <w:lang w:val="en-US" w:eastAsia="zh-CN"/>
              </w:rPr>
              <w:t>价</w:t>
            </w:r>
            <w:r>
              <w:rPr>
                <w:rFonts w:hint="eastAsia" w:ascii="宋体" w:hAnsi="宋体"/>
                <w:color w:val="000000"/>
                <w:kern w:val="0"/>
                <w:sz w:val="24"/>
                <w:szCs w:val="24"/>
                <w:highlight w:val="none"/>
              </w:rPr>
              <w:t>计算：当有效报价的个数</w:t>
            </w:r>
            <w:r>
              <w:rPr>
                <w:rFonts w:hint="eastAsia" w:ascii="宋体" w:hAnsi="宋体" w:eastAsia="宋体" w:cs="宋体"/>
                <w:color w:val="000000"/>
                <w:kern w:val="0"/>
                <w:sz w:val="24"/>
                <w:szCs w:val="24"/>
                <w:highlight w:val="none"/>
              </w:rPr>
              <w:t>≥</w:t>
            </w:r>
            <w:r>
              <w:rPr>
                <w:rFonts w:hint="eastAsia" w:ascii="宋体" w:hAnsi="宋体"/>
                <w:color w:val="000000"/>
                <w:kern w:val="0"/>
                <w:sz w:val="24"/>
                <w:szCs w:val="24"/>
                <w:highlight w:val="none"/>
              </w:rPr>
              <w:t>5</w:t>
            </w:r>
            <w:r>
              <w:rPr>
                <w:rFonts w:hint="eastAsia" w:ascii="宋体" w:hAnsi="宋体" w:eastAsia="宋体"/>
                <w:color w:val="000000"/>
                <w:kern w:val="0"/>
                <w:sz w:val="24"/>
                <w:szCs w:val="24"/>
                <w:highlight w:val="none"/>
                <w:lang w:val="en-US" w:eastAsia="zh-CN"/>
              </w:rPr>
              <w:t>时，</w:t>
            </w:r>
            <w:r>
              <w:rPr>
                <w:rFonts w:hint="eastAsia" w:ascii="宋体" w:hAnsi="宋体"/>
                <w:color w:val="000000"/>
                <w:kern w:val="0"/>
                <w:sz w:val="24"/>
                <w:szCs w:val="24"/>
                <w:highlight w:val="none"/>
              </w:rPr>
              <w:t>评标基准</w:t>
            </w:r>
            <w:r>
              <w:rPr>
                <w:rFonts w:hint="eastAsia" w:ascii="宋体" w:hAnsi="宋体" w:eastAsia="宋体"/>
                <w:color w:val="000000"/>
                <w:kern w:val="0"/>
                <w:sz w:val="24"/>
                <w:szCs w:val="24"/>
                <w:highlight w:val="none"/>
                <w:lang w:val="en-US" w:eastAsia="zh-CN"/>
              </w:rPr>
              <w:t>价=</w:t>
            </w:r>
            <w:r>
              <w:rPr>
                <w:rFonts w:hint="eastAsia" w:ascii="宋体" w:hAnsi="宋体"/>
                <w:color w:val="000000"/>
                <w:kern w:val="0"/>
                <w:sz w:val="24"/>
                <w:szCs w:val="24"/>
                <w:highlight w:val="none"/>
              </w:rPr>
              <w:t>去掉一个最高值和一个最低值的算术平均值；有效报价的个数＜5，评标基准</w:t>
            </w:r>
            <w:r>
              <w:rPr>
                <w:rFonts w:hint="eastAsia" w:ascii="宋体" w:hAnsi="宋体" w:eastAsia="宋体"/>
                <w:color w:val="000000"/>
                <w:kern w:val="0"/>
                <w:sz w:val="24"/>
                <w:szCs w:val="24"/>
                <w:highlight w:val="none"/>
                <w:lang w:val="en-US" w:eastAsia="zh-CN"/>
              </w:rPr>
              <w:t>价=</w:t>
            </w:r>
            <w:r>
              <w:rPr>
                <w:rFonts w:hint="eastAsia" w:ascii="宋体" w:hAnsi="宋体"/>
                <w:color w:val="000000"/>
                <w:kern w:val="0"/>
                <w:sz w:val="24"/>
                <w:szCs w:val="24"/>
                <w:highlight w:val="none"/>
              </w:rPr>
              <w:t>所有有效投标报价的算术平均值。</w:t>
            </w:r>
          </w:p>
          <w:p>
            <w:pPr>
              <w:pStyle w:val="74"/>
              <w:spacing w:line="240" w:lineRule="auto"/>
              <w:rPr>
                <w:rFonts w:hint="eastAsia" w:ascii="宋体" w:hAnsi="宋体"/>
                <w:color w:val="000000"/>
                <w:kern w:val="0"/>
                <w:sz w:val="24"/>
                <w:szCs w:val="24"/>
                <w:highlight w:val="none"/>
              </w:rPr>
            </w:pPr>
            <w:r>
              <w:rPr>
                <w:rFonts w:hint="eastAsia" w:ascii="宋体" w:hAnsi="宋体"/>
                <w:color w:val="000000"/>
                <w:kern w:val="0"/>
                <w:sz w:val="24"/>
                <w:szCs w:val="24"/>
                <w:highlight w:val="none"/>
              </w:rPr>
              <w:t>（二）采用内插法计算某投标人的投标报价得分，即当投标人的投标总价等于评标基准价时得30分，每高于评标基准价一个百分点扣0.5分,每低于评标基准价一个百分点扣0.3分，扣完为止。公式如下：</w:t>
            </w:r>
          </w:p>
          <w:p>
            <w:pPr>
              <w:pStyle w:val="74"/>
              <w:spacing w:line="240" w:lineRule="auto"/>
              <w:rPr>
                <w:rFonts w:hint="eastAsia" w:ascii="宋体" w:hAnsi="宋体"/>
                <w:color w:val="000000"/>
                <w:kern w:val="0"/>
                <w:sz w:val="24"/>
                <w:szCs w:val="24"/>
                <w:highlight w:val="none"/>
              </w:rPr>
            </w:pPr>
            <w:r>
              <w:rPr>
                <w:rFonts w:hint="eastAsia" w:ascii="宋体" w:hAnsi="宋体"/>
                <w:color w:val="000000"/>
                <w:kern w:val="0"/>
                <w:sz w:val="24"/>
                <w:szCs w:val="24"/>
                <w:highlight w:val="none"/>
              </w:rPr>
              <w:t>投标报价得分</w:t>
            </w:r>
            <w:r>
              <w:rPr>
                <w:rFonts w:hint="eastAsia" w:ascii="宋体" w:hAnsi="宋体" w:eastAsia="宋体"/>
                <w:color w:val="000000"/>
                <w:kern w:val="0"/>
                <w:sz w:val="24"/>
                <w:szCs w:val="24"/>
                <w:highlight w:val="none"/>
                <w:lang w:val="en-US" w:eastAsia="zh-CN"/>
              </w:rPr>
              <w:t>C</w:t>
            </w:r>
            <w:r>
              <w:rPr>
                <w:rFonts w:hint="eastAsia" w:ascii="宋体" w:hAnsi="宋体"/>
                <w:color w:val="000000"/>
                <w:kern w:val="0"/>
                <w:sz w:val="24"/>
                <w:szCs w:val="24"/>
                <w:highlight w:val="none"/>
              </w:rPr>
              <w:t>＝30－（|Di－D|÷D）×100×E</w:t>
            </w:r>
          </w:p>
          <w:p>
            <w:pPr>
              <w:pStyle w:val="74"/>
              <w:spacing w:line="240" w:lineRule="auto"/>
              <w:rPr>
                <w:rFonts w:hint="eastAsia" w:ascii="宋体" w:hAnsi="宋体" w:eastAsia="宋体" w:cs="宋体"/>
                <w:color w:val="000000"/>
                <w:sz w:val="24"/>
                <w:szCs w:val="24"/>
                <w:highlight w:val="none"/>
                <w:lang w:eastAsia="zh-CN"/>
              </w:rPr>
            </w:pPr>
            <w:r>
              <w:rPr>
                <w:rFonts w:hint="eastAsia" w:ascii="宋体" w:hAnsi="宋体"/>
                <w:color w:val="000000"/>
                <w:kern w:val="0"/>
                <w:sz w:val="24"/>
                <w:szCs w:val="24"/>
                <w:highlight w:val="none"/>
              </w:rPr>
              <w:t>式中：D为评标基准价；Di为某投标人的投标总价；E为扣分因子，当Di＞D时，E＝0.5；当Di＜D时，E＝0.3。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1028" w:type="dxa"/>
            <w:tcBorders>
              <w:left w:val="single" w:color="auto" w:sz="4" w:space="0"/>
              <w:bottom w:val="single" w:color="auto" w:sz="4" w:space="0"/>
              <w:right w:val="single" w:color="auto" w:sz="4" w:space="0"/>
              <w:tl2br w:val="nil"/>
              <w:tr2bl w:val="nil"/>
            </w:tcBorders>
            <w:noWrap w:val="0"/>
            <w:vAlign w:val="center"/>
          </w:tcPr>
          <w:p>
            <w:pPr>
              <w:spacing w:line="240" w:lineRule="auto"/>
              <w:jc w:val="center"/>
              <w:rPr>
                <w:color w:val="000000"/>
                <w:sz w:val="24"/>
                <w:szCs w:val="24"/>
                <w:highlight w:val="none"/>
              </w:rPr>
            </w:pPr>
            <w:r>
              <w:rPr>
                <w:rFonts w:hint="eastAsia" w:ascii="宋体" w:hAnsi="宋体" w:cs="宋体"/>
                <w:color w:val="000000"/>
                <w:sz w:val="24"/>
                <w:szCs w:val="24"/>
                <w:highlight w:val="none"/>
              </w:rPr>
              <w:t>合计</w:t>
            </w:r>
          </w:p>
        </w:tc>
        <w:tc>
          <w:tcPr>
            <w:tcW w:w="8839" w:type="dxa"/>
            <w:gridSpan w:val="3"/>
            <w:tcBorders>
              <w:left w:val="single" w:color="auto" w:sz="4" w:space="0"/>
              <w:bottom w:val="single" w:color="auto" w:sz="4" w:space="0"/>
              <w:right w:val="single" w:color="auto" w:sz="4" w:space="0"/>
              <w:tl2br w:val="nil"/>
              <w:tr2bl w:val="nil"/>
            </w:tcBorders>
            <w:noWrap w:val="0"/>
            <w:vAlign w:val="center"/>
          </w:tcPr>
          <w:p>
            <w:pPr>
              <w:pStyle w:val="74"/>
              <w:spacing w:line="240" w:lineRule="auto"/>
              <w:jc w:val="left"/>
              <w:rPr>
                <w:rFonts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zh-CN" w:eastAsia="zh-CN"/>
              </w:rPr>
              <w:t>投标人总得分=</w:t>
            </w:r>
            <w:r>
              <w:rPr>
                <w:rFonts w:hint="eastAsia" w:ascii="宋体" w:hAnsi="宋体" w:eastAsia="宋体" w:cs="宋体"/>
                <w:color w:val="000000"/>
                <w:sz w:val="24"/>
                <w:szCs w:val="24"/>
                <w:highlight w:val="none"/>
                <w:lang w:eastAsia="zh-CN"/>
              </w:rPr>
              <w:t>商务部分得分A+</w:t>
            </w:r>
            <w:r>
              <w:rPr>
                <w:rFonts w:hint="eastAsia" w:ascii="宋体" w:hAnsi="宋体" w:eastAsia="宋体" w:cs="宋体"/>
                <w:color w:val="000000"/>
                <w:sz w:val="24"/>
                <w:szCs w:val="24"/>
                <w:highlight w:val="none"/>
                <w:lang w:val="en-US" w:eastAsia="zh-CN"/>
              </w:rPr>
              <w:t>技术</w:t>
            </w:r>
            <w:r>
              <w:rPr>
                <w:rFonts w:hint="eastAsia" w:ascii="宋体" w:hAnsi="宋体" w:eastAsia="宋体" w:cs="宋体"/>
                <w:color w:val="000000"/>
                <w:sz w:val="24"/>
                <w:szCs w:val="24"/>
                <w:highlight w:val="none"/>
                <w:lang w:eastAsia="zh-CN"/>
              </w:rPr>
              <w:t>部分得分B+投标报价部分得分C</w:t>
            </w:r>
          </w:p>
          <w:p>
            <w:pPr>
              <w:pStyle w:val="7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sz w:val="24"/>
                <w:szCs w:val="24"/>
                <w:highlight w:val="none"/>
                <w:lang w:eastAsia="zh-CN"/>
              </w:rPr>
            </w:pPr>
            <w:r>
              <w:rPr>
                <w:rFonts w:hint="eastAsia" w:ascii="宋体" w:hAnsi="宋体" w:cs="宋体"/>
                <w:b/>
                <w:bCs/>
                <w:color w:val="000000"/>
                <w:sz w:val="24"/>
                <w:szCs w:val="24"/>
                <w:highlight w:val="none"/>
                <w:lang w:val="en-US" w:eastAsia="zh-CN" w:bidi="zh-CN"/>
              </w:rPr>
              <w:t>计算技术部分得分B时，</w:t>
            </w:r>
            <w:r>
              <w:rPr>
                <w:rFonts w:hint="eastAsia" w:ascii="宋体" w:hAnsi="宋体" w:cs="宋体"/>
                <w:b/>
                <w:bCs/>
                <w:color w:val="000000"/>
                <w:sz w:val="24"/>
                <w:szCs w:val="24"/>
                <w:highlight w:val="none"/>
                <w:lang w:val="zh-CN" w:eastAsia="zh-CN" w:bidi="zh-CN"/>
              </w:rPr>
              <w:t>将评标委员会所有成员的技术评分去掉一个最高分和一个最低分后，取算术平均值，即为某投标人的</w:t>
            </w:r>
            <w:r>
              <w:rPr>
                <w:rFonts w:hint="eastAsia" w:ascii="宋体" w:hAnsi="宋体" w:cs="宋体"/>
                <w:b/>
                <w:bCs/>
                <w:color w:val="000000"/>
                <w:sz w:val="24"/>
                <w:szCs w:val="24"/>
                <w:highlight w:val="none"/>
                <w:lang w:val="en-US" w:eastAsia="zh-CN" w:bidi="zh-CN"/>
              </w:rPr>
              <w:t>技术部分得分B</w:t>
            </w:r>
            <w:r>
              <w:rPr>
                <w:rFonts w:hint="eastAsia" w:ascii="宋体" w:hAnsi="宋体" w:cs="宋体"/>
                <w:b/>
                <w:bCs/>
                <w:color w:val="000000"/>
                <w:sz w:val="24"/>
                <w:szCs w:val="24"/>
                <w:highlight w:val="none"/>
                <w:lang w:val="zh-CN" w:eastAsia="zh-CN" w:bidi="zh-CN"/>
              </w:rPr>
              <w:t>。</w:t>
            </w:r>
          </w:p>
        </w:tc>
      </w:tr>
    </w:tbl>
    <w:p>
      <w:pPr>
        <w:autoSpaceDE w:val="0"/>
        <w:autoSpaceDN w:val="0"/>
        <w:adjustRightInd w:val="0"/>
        <w:spacing w:line="360" w:lineRule="auto"/>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br w:type="page"/>
      </w:r>
      <w:r>
        <w:rPr>
          <w:rFonts w:hint="eastAsia" w:ascii="宋体" w:hAnsi="宋体" w:cs="宋体"/>
          <w:b/>
          <w:bCs/>
          <w:color w:val="000000"/>
          <w:kern w:val="0"/>
          <w:sz w:val="24"/>
          <w:szCs w:val="24"/>
          <w:highlight w:val="none"/>
        </w:rPr>
        <w:t>1、评标方法</w:t>
      </w:r>
      <w:bookmarkEnd w:id="99"/>
    </w:p>
    <w:p>
      <w:pPr>
        <w:pStyle w:val="3"/>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本次评标采用综合评估法。评标委员会对满足招标文件实质性要求的投标文件，按照本章第2.2.1款规定的评分标准进行打分，并按得分由高到低顺序推荐中标候选人，或根据招标人授权直接确定中标人，但投标报价低于其成本的除外。综合评分相等时，以投标报价</w:t>
      </w:r>
      <w:r>
        <w:rPr>
          <w:rFonts w:hint="eastAsia" w:ascii="宋体" w:hAnsi="宋体" w:cs="宋体"/>
          <w:color w:val="000000"/>
          <w:sz w:val="24"/>
          <w:szCs w:val="24"/>
          <w:highlight w:val="none"/>
          <w:lang w:val="en-US" w:eastAsia="zh-CN"/>
        </w:rPr>
        <w:t>低</w:t>
      </w:r>
      <w:r>
        <w:rPr>
          <w:rFonts w:hint="eastAsia" w:ascii="宋体" w:hAnsi="宋体" w:cs="宋体"/>
          <w:color w:val="000000"/>
          <w:sz w:val="24"/>
          <w:szCs w:val="24"/>
          <w:highlight w:val="none"/>
        </w:rPr>
        <w:t>的优先；投标报价也相等的，以</w:t>
      </w:r>
      <w:r>
        <w:rPr>
          <w:rFonts w:hint="eastAsia" w:ascii="宋体" w:hAnsi="宋体" w:cs="宋体"/>
          <w:color w:val="000000"/>
          <w:sz w:val="24"/>
          <w:szCs w:val="24"/>
          <w:highlight w:val="none"/>
          <w:lang w:val="en-US" w:eastAsia="zh-CN"/>
        </w:rPr>
        <w:t>技术部分</w:t>
      </w:r>
      <w:r>
        <w:rPr>
          <w:rFonts w:hint="eastAsia" w:ascii="宋体" w:hAnsi="宋体" w:cs="宋体"/>
          <w:color w:val="000000"/>
          <w:sz w:val="24"/>
          <w:szCs w:val="24"/>
          <w:highlight w:val="none"/>
        </w:rPr>
        <w:t>得分高的优先；如果</w:t>
      </w:r>
      <w:r>
        <w:rPr>
          <w:rFonts w:hint="eastAsia" w:ascii="宋体" w:hAnsi="宋体" w:cs="宋体"/>
          <w:color w:val="000000"/>
          <w:sz w:val="24"/>
          <w:szCs w:val="24"/>
          <w:highlight w:val="none"/>
          <w:lang w:val="en-US" w:eastAsia="zh-CN"/>
        </w:rPr>
        <w:t>技术部分</w:t>
      </w:r>
      <w:r>
        <w:rPr>
          <w:rFonts w:hint="eastAsia" w:ascii="宋体" w:hAnsi="宋体" w:cs="宋体"/>
          <w:color w:val="000000"/>
          <w:sz w:val="24"/>
          <w:szCs w:val="24"/>
          <w:highlight w:val="none"/>
        </w:rPr>
        <w:t>得分也相等，则由评标委员会按照少数服从多数的原则投票决定中标候选顺序。</w:t>
      </w:r>
    </w:p>
    <w:p>
      <w:pPr>
        <w:autoSpaceDE w:val="0"/>
        <w:autoSpaceDN w:val="0"/>
        <w:adjustRightInd w:val="0"/>
        <w:spacing w:before="389" w:beforeLines="100" w:after="194" w:afterLines="50" w:line="360" w:lineRule="auto"/>
        <w:jc w:val="left"/>
        <w:rPr>
          <w:rFonts w:hint="eastAsia" w:ascii="宋体" w:hAnsi="宋体" w:cs="宋体"/>
          <w:b/>
          <w:bCs/>
          <w:color w:val="000000"/>
          <w:kern w:val="0"/>
          <w:sz w:val="24"/>
          <w:szCs w:val="24"/>
          <w:highlight w:val="none"/>
        </w:rPr>
      </w:pPr>
      <w:bookmarkStart w:id="100" w:name="_bookmark85"/>
      <w:bookmarkEnd w:id="100"/>
      <w:bookmarkStart w:id="101" w:name="_Toc3273_WPSOffice_Level2"/>
      <w:r>
        <w:rPr>
          <w:rFonts w:hint="eastAsia" w:ascii="宋体" w:hAnsi="宋体" w:cs="宋体"/>
          <w:b/>
          <w:bCs/>
          <w:color w:val="000000"/>
          <w:kern w:val="0"/>
          <w:sz w:val="24"/>
          <w:szCs w:val="24"/>
          <w:highlight w:val="none"/>
        </w:rPr>
        <w:t>2、评审标准</w:t>
      </w:r>
      <w:bookmarkEnd w:id="101"/>
    </w:p>
    <w:p>
      <w:pPr>
        <w:autoSpaceDE w:val="0"/>
        <w:autoSpaceDN w:val="0"/>
        <w:adjustRightInd w:val="0"/>
        <w:spacing w:line="500" w:lineRule="exact"/>
        <w:ind w:right="-1025" w:rightChars="-366"/>
        <w:jc w:val="left"/>
        <w:rPr>
          <w:rFonts w:hint="eastAsia" w:ascii="宋体" w:hAnsi="宋体" w:cs="宋体"/>
          <w:b/>
          <w:bCs/>
          <w:color w:val="000000"/>
          <w:kern w:val="0"/>
          <w:sz w:val="24"/>
          <w:szCs w:val="24"/>
          <w:highlight w:val="none"/>
        </w:rPr>
      </w:pPr>
      <w:bookmarkStart w:id="102" w:name="_bookmark86"/>
      <w:bookmarkEnd w:id="102"/>
      <w:r>
        <w:rPr>
          <w:rFonts w:hint="eastAsia" w:ascii="宋体" w:hAnsi="宋体" w:cs="宋体"/>
          <w:b/>
          <w:bCs/>
          <w:color w:val="000000"/>
          <w:kern w:val="0"/>
          <w:sz w:val="24"/>
          <w:szCs w:val="24"/>
          <w:highlight w:val="none"/>
        </w:rPr>
        <w:t>2.1 初步评审标准</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2.1.1形式评审标准：见评标办法前附表。</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2.1.2资格评审标准：见评标办法前附表。</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2.1.3响应性评审标准：见评标办法前附表。</w:t>
      </w:r>
    </w:p>
    <w:p>
      <w:pPr>
        <w:autoSpaceDE w:val="0"/>
        <w:autoSpaceDN w:val="0"/>
        <w:adjustRightInd w:val="0"/>
        <w:spacing w:line="500" w:lineRule="exact"/>
        <w:ind w:right="-1025" w:rightChars="-366"/>
        <w:jc w:val="left"/>
        <w:rPr>
          <w:rFonts w:hint="eastAsia" w:ascii="宋体" w:hAnsi="宋体" w:cs="宋体"/>
          <w:b/>
          <w:bCs/>
          <w:color w:val="000000"/>
          <w:kern w:val="0"/>
          <w:sz w:val="24"/>
          <w:szCs w:val="24"/>
          <w:highlight w:val="none"/>
        </w:rPr>
      </w:pPr>
      <w:bookmarkStart w:id="103" w:name="_bookmark87"/>
      <w:bookmarkEnd w:id="103"/>
      <w:r>
        <w:rPr>
          <w:rFonts w:hint="eastAsia" w:ascii="宋体" w:hAnsi="宋体" w:cs="宋体"/>
          <w:b/>
          <w:bCs/>
          <w:color w:val="000000"/>
          <w:kern w:val="0"/>
          <w:sz w:val="24"/>
          <w:szCs w:val="24"/>
          <w:highlight w:val="none"/>
        </w:rPr>
        <w:t>2.2 分值构成与评分标准</w:t>
      </w:r>
    </w:p>
    <w:p>
      <w:pPr>
        <w:autoSpaceDE w:val="0"/>
        <w:autoSpaceDN w:val="0"/>
        <w:adjustRightInd w:val="0"/>
        <w:spacing w:line="500" w:lineRule="exact"/>
        <w:ind w:right="-1025" w:rightChars="-366"/>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2.2.1 分值构成</w:t>
      </w:r>
    </w:p>
    <w:p>
      <w:pPr>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（1）商务部分：见评标办法前附表；</w:t>
      </w:r>
    </w:p>
    <w:p>
      <w:pPr>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技术部分</w:t>
      </w:r>
      <w:r>
        <w:rPr>
          <w:rFonts w:hint="eastAsia" w:ascii="宋体" w:hAnsi="宋体" w:eastAsia="宋体" w:cs="宋体"/>
          <w:color w:val="000000"/>
          <w:sz w:val="24"/>
          <w:szCs w:val="24"/>
          <w:highlight w:val="none"/>
        </w:rPr>
        <w:t>：见评标办法前附表；</w:t>
      </w:r>
    </w:p>
    <w:p>
      <w:pPr>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（3）投标报价部分：见评标办法前附表；</w:t>
      </w:r>
    </w:p>
    <w:p>
      <w:pPr>
        <w:autoSpaceDE w:val="0"/>
        <w:autoSpaceDN w:val="0"/>
        <w:adjustRightInd w:val="0"/>
        <w:spacing w:line="500" w:lineRule="exact"/>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2.2.2 评分标准</w:t>
      </w:r>
    </w:p>
    <w:p>
      <w:pPr>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（1）商务部分：见评标办法前附表；</w:t>
      </w:r>
    </w:p>
    <w:p>
      <w:pPr>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技术部分</w:t>
      </w:r>
      <w:r>
        <w:rPr>
          <w:rFonts w:hint="eastAsia" w:ascii="宋体" w:hAnsi="宋体" w:eastAsia="宋体" w:cs="宋体"/>
          <w:color w:val="000000"/>
          <w:sz w:val="24"/>
          <w:szCs w:val="24"/>
          <w:highlight w:val="none"/>
        </w:rPr>
        <w:t>：见评标办法前附表；</w:t>
      </w:r>
    </w:p>
    <w:p>
      <w:pPr>
        <w:adjustRightInd w:val="0"/>
        <w:snapToGrid w:val="0"/>
        <w:spacing w:line="500" w:lineRule="exact"/>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（3）投标报价：见评标办法前附表。</w:t>
      </w:r>
      <w:bookmarkStart w:id="104" w:name="_bookmark88"/>
      <w:bookmarkEnd w:id="104"/>
      <w:bookmarkStart w:id="105" w:name="_Toc23321_WPSOffice_Level2"/>
    </w:p>
    <w:p>
      <w:pPr>
        <w:autoSpaceDE w:val="0"/>
        <w:autoSpaceDN w:val="0"/>
        <w:adjustRightInd w:val="0"/>
        <w:spacing w:line="360" w:lineRule="auto"/>
        <w:jc w:val="left"/>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3、评标程序</w:t>
      </w:r>
      <w:bookmarkEnd w:id="105"/>
    </w:p>
    <w:p>
      <w:pPr>
        <w:autoSpaceDE w:val="0"/>
        <w:autoSpaceDN w:val="0"/>
        <w:adjustRightInd w:val="0"/>
        <w:spacing w:line="500" w:lineRule="exact"/>
        <w:jc w:val="left"/>
        <w:rPr>
          <w:rFonts w:hint="eastAsia" w:ascii="宋体" w:hAnsi="宋体" w:cs="宋体"/>
          <w:b/>
          <w:bCs/>
          <w:color w:val="000000"/>
          <w:kern w:val="0"/>
          <w:sz w:val="24"/>
          <w:szCs w:val="24"/>
          <w:highlight w:val="none"/>
        </w:rPr>
      </w:pPr>
      <w:bookmarkStart w:id="106" w:name="_bookmark89"/>
      <w:bookmarkEnd w:id="106"/>
      <w:r>
        <w:rPr>
          <w:rFonts w:hint="eastAsia" w:ascii="宋体" w:hAnsi="宋体" w:cs="宋体"/>
          <w:b/>
          <w:bCs/>
          <w:color w:val="000000"/>
          <w:kern w:val="0"/>
          <w:sz w:val="24"/>
          <w:szCs w:val="24"/>
          <w:highlight w:val="none"/>
        </w:rPr>
        <w:t>3.1 初步评审</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3.1.1评标委员会依据本章第 2.1.1、2.1.2、2.1.3 款规定的标准对投标文件进行初步评审。有一项不符合评审标准的，评标委员会应当否决其投标。</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3.1.2投标人有以下情形之一的，评标委员会应当否决其投标：</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（1）投标文件没有对招标文件的实质性要求和条件作出响应，或者对招标文件的偏差超出招标文件规定的偏差范围或最高项数；</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（2）有串通投标、弄虚作假、行贿等违法行为。</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3.1.3投标报价有算术错误及其他错误的，评标委员会按以下原则要求投标人对投标报价进行修正，并要求投标人书面澄清确认。投标人拒不澄清确认的，评标委员会应当否决其投标：</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（1）投标文件中的大写金额与小写金额不一致的，以大写金额为准；</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（2）总价金额与单价金额不一致的，以单价金额为准，但单价金额小数点有明显错误的除外。</w:t>
      </w:r>
    </w:p>
    <w:p>
      <w:pPr>
        <w:autoSpaceDE w:val="0"/>
        <w:autoSpaceDN w:val="0"/>
        <w:adjustRightInd w:val="0"/>
        <w:spacing w:line="500" w:lineRule="exact"/>
        <w:jc w:val="left"/>
        <w:rPr>
          <w:rFonts w:hint="eastAsia" w:ascii="宋体" w:hAnsi="宋体" w:cs="宋体"/>
          <w:b/>
          <w:bCs/>
          <w:color w:val="000000"/>
          <w:kern w:val="0"/>
          <w:sz w:val="24"/>
          <w:szCs w:val="24"/>
          <w:highlight w:val="none"/>
        </w:rPr>
      </w:pPr>
      <w:bookmarkStart w:id="107" w:name="_bookmark90"/>
      <w:bookmarkEnd w:id="107"/>
      <w:r>
        <w:rPr>
          <w:rFonts w:hint="eastAsia" w:ascii="宋体" w:hAnsi="宋体" w:cs="宋体"/>
          <w:b/>
          <w:bCs/>
          <w:color w:val="000000"/>
          <w:kern w:val="0"/>
          <w:sz w:val="24"/>
          <w:szCs w:val="24"/>
          <w:highlight w:val="none"/>
        </w:rPr>
        <w:t>3.2 详细评审</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3.2.1评标委员会按本章</w:t>
      </w:r>
      <w:r>
        <w:rPr>
          <w:rFonts w:hint="eastAsia" w:ascii="宋体" w:hAnsi="宋体" w:cs="宋体"/>
          <w:color w:val="000000"/>
          <w:spacing w:val="-7"/>
          <w:sz w:val="24"/>
          <w:szCs w:val="24"/>
          <w:highlight w:val="none"/>
        </w:rPr>
        <w:t>第2.2.1款</w:t>
      </w:r>
      <w:r>
        <w:rPr>
          <w:rFonts w:hint="eastAsia" w:ascii="宋体" w:hAnsi="宋体" w:cs="宋体"/>
          <w:color w:val="000000"/>
          <w:sz w:val="24"/>
          <w:szCs w:val="24"/>
          <w:highlight w:val="none"/>
        </w:rPr>
        <w:t>规定的量化因素和分值进行打分，并计算出综合评估得分。</w:t>
      </w:r>
    </w:p>
    <w:p>
      <w:pPr>
        <w:pStyle w:val="77"/>
        <w:tabs>
          <w:tab w:val="left" w:pos="1190"/>
        </w:tabs>
        <w:spacing w:line="500" w:lineRule="exact"/>
        <w:ind w:left="0" w:firstLine="480" w:firstLineChars="200"/>
        <w:rPr>
          <w:rFonts w:hint="eastAsia"/>
          <w:color w:val="000000"/>
          <w:kern w:val="2"/>
          <w:sz w:val="24"/>
          <w:szCs w:val="24"/>
          <w:highlight w:val="none"/>
          <w:lang w:val="en-US"/>
        </w:rPr>
      </w:pPr>
      <w:r>
        <w:rPr>
          <w:rFonts w:hint="eastAsia"/>
          <w:color w:val="000000"/>
          <w:kern w:val="2"/>
          <w:sz w:val="24"/>
          <w:szCs w:val="24"/>
          <w:highlight w:val="none"/>
          <w:lang w:val="en-US"/>
        </w:rPr>
        <w:t>（1）按本章第2.2.2（1）</w:t>
      </w:r>
      <w:r>
        <w:rPr>
          <w:rFonts w:hint="eastAsia"/>
          <w:color w:val="000000"/>
          <w:spacing w:val="-7"/>
          <w:sz w:val="24"/>
          <w:szCs w:val="24"/>
          <w:highlight w:val="none"/>
          <w:lang w:val="en-US"/>
        </w:rPr>
        <w:t>款</w:t>
      </w:r>
      <w:r>
        <w:rPr>
          <w:rFonts w:hint="eastAsia"/>
          <w:color w:val="000000"/>
          <w:spacing w:val="-3"/>
          <w:sz w:val="24"/>
          <w:szCs w:val="24"/>
          <w:highlight w:val="none"/>
        </w:rPr>
        <w:t>规定的评审因素和分</w:t>
      </w:r>
      <w:r>
        <w:rPr>
          <w:rFonts w:hint="eastAsia"/>
          <w:color w:val="000000"/>
          <w:kern w:val="2"/>
          <w:sz w:val="24"/>
          <w:szCs w:val="24"/>
          <w:highlight w:val="none"/>
          <w:lang w:val="en-US"/>
        </w:rPr>
        <w:t>值对商务部分计算出得分A；</w:t>
      </w:r>
    </w:p>
    <w:p>
      <w:pPr>
        <w:pStyle w:val="77"/>
        <w:tabs>
          <w:tab w:val="left" w:pos="1190"/>
        </w:tabs>
        <w:spacing w:line="500" w:lineRule="exact"/>
        <w:ind w:left="0" w:firstLine="480" w:firstLineChars="200"/>
        <w:rPr>
          <w:rFonts w:hint="eastAsia"/>
          <w:color w:val="000000"/>
          <w:sz w:val="24"/>
          <w:szCs w:val="24"/>
          <w:highlight w:val="none"/>
        </w:rPr>
      </w:pPr>
      <w:r>
        <w:rPr>
          <w:rFonts w:hint="eastAsia"/>
          <w:color w:val="000000"/>
          <w:kern w:val="2"/>
          <w:sz w:val="24"/>
          <w:szCs w:val="24"/>
          <w:highlight w:val="none"/>
          <w:lang w:val="en-US"/>
        </w:rPr>
        <w:t>（2）按本章第2.2.2（2）</w:t>
      </w:r>
      <w:r>
        <w:rPr>
          <w:rFonts w:hint="eastAsia"/>
          <w:color w:val="000000"/>
          <w:spacing w:val="-7"/>
          <w:sz w:val="24"/>
          <w:szCs w:val="24"/>
          <w:highlight w:val="none"/>
          <w:lang w:val="en-US"/>
        </w:rPr>
        <w:t>款</w:t>
      </w:r>
      <w:r>
        <w:rPr>
          <w:rFonts w:hint="eastAsia"/>
          <w:color w:val="000000"/>
          <w:spacing w:val="-3"/>
          <w:sz w:val="24"/>
          <w:szCs w:val="24"/>
          <w:highlight w:val="none"/>
        </w:rPr>
        <w:t>规定的评审因素和分</w:t>
      </w:r>
      <w:r>
        <w:rPr>
          <w:rFonts w:hint="eastAsia"/>
          <w:color w:val="000000"/>
          <w:kern w:val="2"/>
          <w:sz w:val="24"/>
          <w:szCs w:val="24"/>
          <w:highlight w:val="none"/>
          <w:lang w:val="en-US"/>
        </w:rPr>
        <w:t>值</w:t>
      </w:r>
      <w:r>
        <w:rPr>
          <w:rFonts w:hint="eastAsia"/>
          <w:color w:val="000000"/>
          <w:sz w:val="24"/>
          <w:szCs w:val="24"/>
          <w:highlight w:val="none"/>
          <w:lang w:val="en-US"/>
        </w:rPr>
        <w:t>对</w:t>
      </w:r>
      <w:r>
        <w:rPr>
          <w:rFonts w:hint="eastAsia"/>
          <w:color w:val="000000"/>
          <w:sz w:val="24"/>
          <w:szCs w:val="24"/>
          <w:highlight w:val="none"/>
          <w:lang w:val="en-US" w:eastAsia="zh-CN"/>
        </w:rPr>
        <w:t>技术</w:t>
      </w:r>
      <w:r>
        <w:rPr>
          <w:rFonts w:hint="eastAsia"/>
          <w:color w:val="000000"/>
          <w:sz w:val="24"/>
          <w:szCs w:val="24"/>
          <w:highlight w:val="none"/>
        </w:rPr>
        <w:t>部分计算出得分</w:t>
      </w:r>
      <w:r>
        <w:rPr>
          <w:rFonts w:hint="eastAsia"/>
          <w:color w:val="000000"/>
          <w:sz w:val="24"/>
          <w:szCs w:val="24"/>
          <w:highlight w:val="none"/>
          <w:lang w:val="en-US"/>
        </w:rPr>
        <w:t>B</w:t>
      </w:r>
      <w:r>
        <w:rPr>
          <w:rFonts w:hint="eastAsia"/>
          <w:color w:val="000000"/>
          <w:sz w:val="24"/>
          <w:szCs w:val="24"/>
          <w:highlight w:val="none"/>
        </w:rPr>
        <w:t>。评标委员会中所有评标专家评分中去掉一最高分、去掉一个最低分后的算术平均值为投标人技术评审得分。</w:t>
      </w:r>
    </w:p>
    <w:p>
      <w:pPr>
        <w:pStyle w:val="77"/>
        <w:tabs>
          <w:tab w:val="left" w:pos="1190"/>
        </w:tabs>
        <w:spacing w:line="500" w:lineRule="exact"/>
        <w:ind w:left="0" w:firstLine="480" w:firstLineChars="200"/>
        <w:rPr>
          <w:rFonts w:hint="eastAsia"/>
          <w:color w:val="000000"/>
          <w:sz w:val="24"/>
          <w:szCs w:val="24"/>
          <w:highlight w:val="none"/>
          <w:lang w:val="en-US"/>
        </w:rPr>
      </w:pPr>
      <w:r>
        <w:rPr>
          <w:rFonts w:hint="eastAsia"/>
          <w:color w:val="000000"/>
          <w:sz w:val="24"/>
          <w:szCs w:val="24"/>
          <w:highlight w:val="none"/>
        </w:rPr>
        <w:t>（</w:t>
      </w:r>
      <w:r>
        <w:rPr>
          <w:rFonts w:hint="eastAsia"/>
          <w:color w:val="000000"/>
          <w:sz w:val="24"/>
          <w:szCs w:val="24"/>
          <w:highlight w:val="none"/>
          <w:lang w:val="en-US"/>
        </w:rPr>
        <w:t>3）</w:t>
      </w:r>
      <w:r>
        <w:rPr>
          <w:rFonts w:hint="eastAsia"/>
          <w:color w:val="000000"/>
          <w:sz w:val="24"/>
          <w:szCs w:val="24"/>
          <w:highlight w:val="none"/>
        </w:rPr>
        <w:t>按本章第2.2.</w:t>
      </w:r>
      <w:r>
        <w:rPr>
          <w:rFonts w:hint="eastAsia"/>
          <w:color w:val="000000"/>
          <w:sz w:val="24"/>
          <w:szCs w:val="24"/>
          <w:highlight w:val="none"/>
          <w:lang w:val="en-US"/>
        </w:rPr>
        <w:t>2</w:t>
      </w:r>
      <w:r>
        <w:rPr>
          <w:rFonts w:hint="eastAsia"/>
          <w:color w:val="000000"/>
          <w:sz w:val="24"/>
          <w:szCs w:val="24"/>
          <w:highlight w:val="none"/>
        </w:rPr>
        <w:t>（</w:t>
      </w:r>
      <w:r>
        <w:rPr>
          <w:rFonts w:hint="eastAsia"/>
          <w:color w:val="000000"/>
          <w:sz w:val="24"/>
          <w:szCs w:val="24"/>
          <w:highlight w:val="none"/>
          <w:lang w:val="en-US"/>
        </w:rPr>
        <w:t>3</w:t>
      </w:r>
      <w:r>
        <w:rPr>
          <w:rFonts w:hint="eastAsia"/>
          <w:color w:val="000000"/>
          <w:sz w:val="24"/>
          <w:szCs w:val="24"/>
          <w:highlight w:val="none"/>
        </w:rPr>
        <w:t>）</w:t>
      </w:r>
      <w:r>
        <w:rPr>
          <w:rFonts w:hint="eastAsia"/>
          <w:color w:val="000000"/>
          <w:sz w:val="24"/>
          <w:szCs w:val="24"/>
          <w:highlight w:val="none"/>
          <w:lang w:val="en-US"/>
        </w:rPr>
        <w:t>款</w:t>
      </w:r>
      <w:r>
        <w:rPr>
          <w:rFonts w:hint="eastAsia"/>
          <w:color w:val="000000"/>
          <w:sz w:val="24"/>
          <w:szCs w:val="24"/>
          <w:highlight w:val="none"/>
        </w:rPr>
        <w:t>规定的评审因素和分值</w:t>
      </w:r>
      <w:r>
        <w:rPr>
          <w:rFonts w:hint="eastAsia"/>
          <w:color w:val="000000"/>
          <w:sz w:val="24"/>
          <w:szCs w:val="24"/>
          <w:highlight w:val="none"/>
          <w:lang w:val="en-US"/>
        </w:rPr>
        <w:t>对</w:t>
      </w:r>
      <w:r>
        <w:rPr>
          <w:rFonts w:hint="eastAsia"/>
          <w:color w:val="000000"/>
          <w:sz w:val="24"/>
          <w:szCs w:val="24"/>
          <w:highlight w:val="none"/>
        </w:rPr>
        <w:t>投标报价部分得分</w:t>
      </w:r>
      <w:r>
        <w:rPr>
          <w:rFonts w:hint="eastAsia"/>
          <w:color w:val="000000"/>
          <w:sz w:val="24"/>
          <w:szCs w:val="24"/>
          <w:highlight w:val="none"/>
          <w:lang w:val="en-US"/>
        </w:rPr>
        <w:t>C。</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3.2.2评分分值计算保留小数点后三位，小数点后第四位“四舍五入”。</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3.2.3投标人得分=A+B+C。</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3.2.4</w:t>
      </w:r>
      <w:r>
        <w:rPr>
          <w:rFonts w:hint="eastAsia" w:ascii="宋体" w:hAnsi="宋体" w:eastAsia="宋体" w:cs="宋体"/>
          <w:b/>
          <w:bCs/>
          <w:color w:val="000000"/>
          <w:sz w:val="24"/>
          <w:szCs w:val="24"/>
          <w:highlight w:val="none"/>
          <w:lang w:eastAsia="zh-CN"/>
        </w:rPr>
        <w:t>投标人投标报价下浮率大于15%时，投标人需附说明及证明材料，由评标委员会判断投标人是否以低于成本报价竞标，当认定以低于成本报价竞标时其投标作废标处理；不能提供相应的书面说明及证明材料的，按低于成本报价竞标处理。</w:t>
      </w:r>
    </w:p>
    <w:p>
      <w:pPr>
        <w:autoSpaceDE w:val="0"/>
        <w:autoSpaceDN w:val="0"/>
        <w:adjustRightInd w:val="0"/>
        <w:spacing w:line="500" w:lineRule="exact"/>
        <w:jc w:val="left"/>
        <w:rPr>
          <w:rFonts w:hint="eastAsia" w:ascii="宋体" w:hAnsi="宋体" w:cs="宋体"/>
          <w:b/>
          <w:bCs/>
          <w:color w:val="000000"/>
          <w:kern w:val="0"/>
          <w:sz w:val="24"/>
          <w:szCs w:val="24"/>
          <w:highlight w:val="none"/>
        </w:rPr>
      </w:pPr>
      <w:bookmarkStart w:id="108" w:name="_bookmark91"/>
      <w:bookmarkEnd w:id="108"/>
      <w:r>
        <w:rPr>
          <w:rFonts w:hint="eastAsia" w:ascii="宋体" w:hAnsi="宋体" w:cs="宋体"/>
          <w:b/>
          <w:bCs/>
          <w:color w:val="000000"/>
          <w:kern w:val="0"/>
          <w:sz w:val="24"/>
          <w:szCs w:val="24"/>
          <w:highlight w:val="none"/>
        </w:rPr>
        <w:t>3.3 投标文件的澄清</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3.3.2澄清、说明或补正不得超出投标文件的范围且不得改变投标文件的实质性内容，并构成投标文件的组成部分。</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3.3.3评标委员会对投标人提交的澄清、说明或补正有疑问的，可以要求投标人进一步澄清、说明或补正，直至满足评标委员会的要求。</w:t>
      </w:r>
    </w:p>
    <w:p>
      <w:pPr>
        <w:autoSpaceDE w:val="0"/>
        <w:autoSpaceDN w:val="0"/>
        <w:adjustRightInd w:val="0"/>
        <w:spacing w:line="500" w:lineRule="exact"/>
        <w:jc w:val="left"/>
        <w:rPr>
          <w:rFonts w:hint="eastAsia" w:ascii="宋体" w:hAnsi="宋体" w:cs="宋体"/>
          <w:b/>
          <w:bCs/>
          <w:color w:val="000000"/>
          <w:kern w:val="0"/>
          <w:sz w:val="24"/>
          <w:szCs w:val="24"/>
          <w:highlight w:val="none"/>
        </w:rPr>
      </w:pPr>
      <w:bookmarkStart w:id="109" w:name="_bookmark92"/>
      <w:bookmarkEnd w:id="109"/>
      <w:r>
        <w:rPr>
          <w:rFonts w:hint="eastAsia" w:ascii="宋体" w:hAnsi="宋体" w:cs="宋体"/>
          <w:b/>
          <w:bCs/>
          <w:color w:val="000000"/>
          <w:kern w:val="0"/>
          <w:sz w:val="24"/>
          <w:szCs w:val="24"/>
          <w:highlight w:val="none"/>
        </w:rPr>
        <w:t>3.4 评标结果</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3.4.1除第二章“投标人须知”前附表授权直接确定中标人外，评标委员会按照得分由高到低的顺序推荐中标候选人，并标明排序。</w:t>
      </w:r>
    </w:p>
    <w:p>
      <w:pPr>
        <w:adjustRightInd w:val="0"/>
        <w:snapToGrid w:val="0"/>
        <w:spacing w:line="5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3.4.2评标委员会完成评标后，应当向招标人提交书面评标报告和中标候选人名单。</w:t>
      </w:r>
    </w:p>
    <w:p>
      <w:pPr>
        <w:pStyle w:val="12"/>
        <w:rPr>
          <w:rFonts w:hint="eastAsia" w:ascii="宋体" w:hAnsi="宋体" w:cs="宋体"/>
          <w:color w:val="000000"/>
          <w:sz w:val="24"/>
          <w:szCs w:val="24"/>
          <w:highlight w:val="none"/>
        </w:rPr>
      </w:pPr>
    </w:p>
    <w:p>
      <w:pPr>
        <w:rPr>
          <w:rFonts w:hint="eastAsia"/>
        </w:rPr>
      </w:pPr>
    </w:p>
    <w:p>
      <w:pPr>
        <w:pStyle w:val="11"/>
        <w:rPr>
          <w:rFonts w:hint="eastAsia" w:ascii="宋体" w:hAnsi="宋体" w:cs="宋体"/>
          <w:color w:val="000000"/>
          <w:sz w:val="24"/>
          <w:szCs w:val="24"/>
          <w:highlight w:val="none"/>
        </w:rPr>
        <w:sectPr>
          <w:pgSz w:w="11905" w:h="16838"/>
          <w:pgMar w:top="1417" w:right="1417" w:bottom="1417" w:left="1417" w:header="850" w:footer="567" w:gutter="0"/>
          <w:cols w:space="720" w:num="1"/>
          <w:docGrid w:type="lines" w:linePitch="389" w:charSpace="0"/>
        </w:sectPr>
      </w:pPr>
    </w:p>
    <w:p>
      <w:pPr>
        <w:pStyle w:val="4"/>
        <w:numPr>
          <w:ilvl w:val="0"/>
          <w:numId w:val="0"/>
        </w:numPr>
        <w:rPr>
          <w:rFonts w:hint="eastAsia" w:ascii="宋体" w:hAnsi="宋体" w:cs="宋体"/>
          <w:color w:val="000000"/>
          <w:sz w:val="32"/>
          <w:szCs w:val="32"/>
          <w:highlight w:val="none"/>
        </w:rPr>
      </w:pPr>
      <w:bookmarkStart w:id="110" w:name="_Toc2983_WPSOffice_Level2"/>
      <w:bookmarkStart w:id="111" w:name="_Toc6104"/>
      <w:r>
        <w:rPr>
          <w:rFonts w:hint="eastAsia"/>
          <w:color w:val="000000"/>
          <w:sz w:val="32"/>
          <w:szCs w:val="32"/>
          <w:highlight w:val="none"/>
        </w:rPr>
        <w:t>第四章</w:t>
      </w:r>
      <w:bookmarkEnd w:id="110"/>
      <w:bookmarkStart w:id="112" w:name="_Toc216346074"/>
      <w:bookmarkStart w:id="113" w:name="_Toc260744687"/>
      <w:bookmarkStart w:id="114" w:name="_Toc202697120"/>
      <w:bookmarkStart w:id="115" w:name="_Toc356988088"/>
      <w:r>
        <w:rPr>
          <w:rFonts w:hint="eastAsia"/>
          <w:color w:val="000000"/>
          <w:sz w:val="32"/>
          <w:szCs w:val="32"/>
          <w:highlight w:val="none"/>
          <w:lang w:val="en-US" w:eastAsia="zh-CN"/>
        </w:rPr>
        <w:t xml:space="preserve"> </w:t>
      </w:r>
      <w:r>
        <w:rPr>
          <w:rFonts w:hint="eastAsia" w:ascii="宋体" w:hAnsi="宋体" w:cs="宋体"/>
          <w:color w:val="000000"/>
          <w:sz w:val="32"/>
          <w:szCs w:val="32"/>
          <w:highlight w:val="none"/>
        </w:rPr>
        <w:t>合同条款及格式</w:t>
      </w:r>
      <w:bookmarkEnd w:id="111"/>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（本招标文件所附合同仅列出主要条款，具体细则由中标方与招标人再协商确定）</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定义</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本文件中所用下列名词的含义在此予以确定。</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1.1“买方”是指购买设备和服务的单位,本合同指</w:t>
      </w:r>
      <w:r>
        <w:rPr>
          <w:rFonts w:hint="eastAsia" w:ascii="宋体" w:hAnsi="宋体" w:eastAsia="宋体" w:cs="宋体"/>
          <w:color w:val="auto"/>
          <w:sz w:val="24"/>
          <w:szCs w:val="24"/>
          <w:highlight w:val="none"/>
          <w:lang w:eastAsia="zh-CN"/>
        </w:rPr>
        <w:t>深圳市中金岭南有色金属股份有限公司韶关冶炼厂</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1.2“卖方”是指提供合同设备和服务的供应商，本合同指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1.3“合同”是指买方和卖方（以下简称合同双方）已达成的协议，即由双方签订的合同格式中的文件，包括所有的附件、附录和组成合同部分的所有参考文件。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1.4“合同价格”是指在本合同文件本部分第4章中规定的部分。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1.5“生效日期”是指在本合同文件本部分第25章中所规定的合同的生效日期。</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1.6“技术资料”是指合同货物的设计、制造、监造、检验、取证、</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安装调试、验收、性能验收试验和技术指导等文件(包括详细图纸、各种文字说明、标准、各种软件)和用于设备正常运行和维护的文件，其中涉及到专利的可不用提供详图，但基本尺寸图纸及说明必须提供。</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1.7“合同货物”是指卖方根据合同所要供应的机器、装置、设备、材料、物品、专用工具、备品备件等。</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1.8“性能验收试验”是指为检验货物满足本合同及其技术协议中所要求的性能保证值按规定所进行的试验。</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1.9“初步验收”是指当性能验收试验的结果表明合同货物已达到了本合同及其技术协议所规定的保证值后，买方对合格的合同货物的验收。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1.10“最终验收”是指买方对合同货物在质量保证期满后的验收。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1.11“技术服务”是指由卖方提供的与本合同货物有关的设计、检验、取证、</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安装调试、验收、性能验收试验、运行、检修时相应的技术指导、技术配合、技术培训等全过程的服务。</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1.12“质量保证期”是指自初步验收之日起一定期间内，卖方保证合同设备的适当和稳定运行，并负责消除合同设备存在的任何缺陷。</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1.13“现场”是指位于</w:t>
      </w:r>
      <w:r>
        <w:rPr>
          <w:rFonts w:hint="eastAsia" w:ascii="宋体" w:hAnsi="宋体" w:eastAsia="宋体" w:cs="宋体"/>
          <w:color w:val="auto"/>
          <w:sz w:val="24"/>
          <w:szCs w:val="24"/>
          <w:highlight w:val="none"/>
          <w:lang w:eastAsia="zh-CN"/>
        </w:rPr>
        <w:t>深圳市中金岭南有色金属股份有限公司韶关冶炼厂现场</w:t>
      </w:r>
      <w:r>
        <w:rPr>
          <w:rFonts w:hint="eastAsia" w:ascii="宋体" w:hAnsi="宋体" w:eastAsia="宋体" w:cs="宋体"/>
          <w:color w:val="auto"/>
          <w:sz w:val="24"/>
          <w:szCs w:val="24"/>
          <w:highlight w:val="none"/>
        </w:rPr>
        <w:t>。</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1.14“分包商”是指由卖方将合同供货范围内任何部分的供货分包给其他的法人及该法人的继任方和该法人允许的受让方。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1.15“最后一批交货”是指该批货物交付后，使得已交付的货物总价值达到合同货物总价格的100％，并包括合同约定所应包含的随机备品备件及专用工具等。</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1.16“货物缺陷”是指卖方因设计、选材、制造、</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调试等方面错误或疏忽所引起的本合同货物（包括部件、原材料、原器件等）达不到本合同规定的性能、质量标准要求的情形。</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1.17“日”是指日历日，“年”、“月”、“日”按公历计算。</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合同标的</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合同货物名称、数量：</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673"/>
        <w:gridCol w:w="1836"/>
        <w:gridCol w:w="888"/>
        <w:gridCol w:w="864"/>
        <w:gridCol w:w="1296"/>
        <w:gridCol w:w="126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03"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673"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1836"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型号规格或内容</w:t>
            </w:r>
          </w:p>
        </w:tc>
        <w:tc>
          <w:tcPr>
            <w:tcW w:w="888"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864"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296"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1260"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900"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703" w:type="dxa"/>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3"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p>
        </w:tc>
        <w:tc>
          <w:tcPr>
            <w:tcW w:w="1836"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p>
        </w:tc>
        <w:tc>
          <w:tcPr>
            <w:tcW w:w="888"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p>
        </w:tc>
        <w:tc>
          <w:tcPr>
            <w:tcW w:w="864"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p>
        </w:tc>
        <w:tc>
          <w:tcPr>
            <w:tcW w:w="1296"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p>
        </w:tc>
        <w:tc>
          <w:tcPr>
            <w:tcW w:w="1260"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p>
        </w:tc>
        <w:tc>
          <w:tcPr>
            <w:tcW w:w="900" w:type="dxa"/>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p>
        </w:tc>
      </w:tr>
    </w:tbl>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2.1.1卖方负责整个成套系统设备的供应（设备的设计、制造、运输、卸货、现场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安装及调试等）。</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2.1.2凡卖方供应的货物应是全新的、安全的、经济的、技术先进的并且是成熟可靠的。</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2.1.3货物的技术规范、技术经济指标和性能按技术协议及技术补充文件执行。</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 卖方提供合同货物的包装、装卸（含完成</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安装调试交货前的现场仓储及所有相关工作）、运输及保险等。</w:t>
      </w:r>
    </w:p>
    <w:p>
      <w:pPr>
        <w:keepNext w:val="0"/>
        <w:keepLines w:val="0"/>
        <w:widowControl/>
        <w:suppressLineNumbers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2.2 卖方工作范围  </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rPr>
        <w:t xml:space="preserve">    2.2.1 除非合同中另有规定，卖方应按合同规定完成其所有的工作内容。  </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rPr>
        <w:t xml:space="preserve">    2.2.2 卖方负责根据买方要求提供所有合同货物的供货、检测、检验、包装、运输（含保险）、现场预组装（如果有）等合同货物现场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安装调试合格交货前的所有相关工作。</w:t>
      </w:r>
      <w:r>
        <w:rPr>
          <w:rFonts w:hint="eastAsia" w:ascii="宋体" w:hAnsi="宋体" w:cs="宋体"/>
          <w:color w:val="auto"/>
          <w:sz w:val="24"/>
          <w:szCs w:val="24"/>
          <w:highlight w:val="none"/>
          <w:lang w:val="en-US" w:eastAsia="zh-CN"/>
        </w:rPr>
        <w:t>+</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2.2.3 卖方负责本合同范围内所有成套设备的现场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 xml:space="preserve">安装、调试等工作。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2.2.4 卖方负责及时提供与合同设备相关技术资料（含图纸），并负责相关报批、报检等工作及相关费用。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2.2.5 卖方负责在合同设备制造、现场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 xml:space="preserve">安装、调试、验收等过程中办理必需的技术监督部门（或其他上级主管部门）备案、核准、验收等手续，并承担相关的全部费用，特种设备和仪表类需要检测的，相关费用由卖方负责。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2.2.6 卖方负责本合同范围内所有成套货物的技术指导、售后服务、现场操作和维护人员的培训等技术服务工作。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2.2.7 卖方负责提供本合同范围内所有成套货物的消除货物缺陷所需要的一切人员和器材(含技术资料、图纸的交付)。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2.2.8 卖方负责提供本合同范围内成套货物制造、检测、检验、现场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 xml:space="preserve">安装及调试等全过程所有相关技术资料（含图纸资料）以及设备现场检验、验收、试车、正常运行及维护等所需要的全部技术资料（含图纸资料）。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2.2.9卖方负责提供合同货物对外接口技术条件，并对提供的接口技术条件的及时性和准确性负责，如果因为卖方提供的接口技术条件不准确导致买方采购错误，责任由卖方承担。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供货范围</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合同供货范围：</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334"/>
        <w:gridCol w:w="1899"/>
        <w:gridCol w:w="849"/>
        <w:gridCol w:w="711"/>
        <w:gridCol w:w="1392"/>
        <w:gridCol w:w="1344"/>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03"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34"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1899"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型号规格或内容</w:t>
            </w:r>
          </w:p>
        </w:tc>
        <w:tc>
          <w:tcPr>
            <w:tcW w:w="849"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711"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392"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单价/元</w:t>
            </w:r>
          </w:p>
        </w:tc>
        <w:tc>
          <w:tcPr>
            <w:tcW w:w="1344"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1188"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703"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34"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1899"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849"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711"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1392"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1344"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1188" w:type="dxa"/>
            <w:noWrap w:val="0"/>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r>
    </w:tbl>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主要内容见下表：</w:t>
      </w:r>
    </w:p>
    <w:tbl>
      <w:tblPr>
        <w:tblStyle w:val="27"/>
        <w:tblW w:w="0" w:type="auto"/>
        <w:jc w:val="center"/>
        <w:tblLayout w:type="fixed"/>
        <w:tblCellMar>
          <w:top w:w="0" w:type="dxa"/>
          <w:left w:w="10" w:type="dxa"/>
          <w:bottom w:w="0" w:type="dxa"/>
          <w:right w:w="10" w:type="dxa"/>
        </w:tblCellMar>
      </w:tblPr>
      <w:tblGrid>
        <w:gridCol w:w="777"/>
        <w:gridCol w:w="1517"/>
        <w:gridCol w:w="2760"/>
        <w:gridCol w:w="989"/>
        <w:gridCol w:w="735"/>
        <w:gridCol w:w="2640"/>
      </w:tblGrid>
      <w:tr>
        <w:tblPrEx>
          <w:tblCellMar>
            <w:top w:w="0" w:type="dxa"/>
            <w:left w:w="10" w:type="dxa"/>
            <w:bottom w:w="0" w:type="dxa"/>
            <w:right w:w="10"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bottom"/>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17" w:type="dxa"/>
            <w:tcBorders>
              <w:top w:val="single" w:color="000000" w:sz="4" w:space="0"/>
              <w:left w:val="single" w:color="000000" w:sz="0" w:space="0"/>
              <w:bottom w:val="single" w:color="000000" w:sz="4" w:space="0"/>
              <w:right w:val="single" w:color="000000" w:sz="4" w:space="0"/>
            </w:tcBorders>
            <w:noWrap w:val="0"/>
            <w:tcMar>
              <w:left w:w="108" w:type="dxa"/>
              <w:right w:w="108" w:type="dxa"/>
            </w:tcMar>
            <w:vAlign w:val="bottom"/>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设备名称</w:t>
            </w:r>
          </w:p>
        </w:tc>
        <w:tc>
          <w:tcPr>
            <w:tcW w:w="2760" w:type="dxa"/>
            <w:tcBorders>
              <w:top w:val="single" w:color="000000" w:sz="4" w:space="0"/>
              <w:left w:val="single" w:color="000000" w:sz="0" w:space="0"/>
              <w:bottom w:val="single" w:color="000000" w:sz="4" w:space="0"/>
              <w:right w:val="single" w:color="000000" w:sz="4" w:space="0"/>
            </w:tcBorders>
            <w:noWrap w:val="0"/>
            <w:tcMar>
              <w:left w:w="108" w:type="dxa"/>
              <w:right w:w="108" w:type="dxa"/>
            </w:tcMar>
            <w:vAlign w:val="bottom"/>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w:t>
            </w:r>
          </w:p>
        </w:tc>
        <w:tc>
          <w:tcPr>
            <w:tcW w:w="989" w:type="dxa"/>
            <w:tcBorders>
              <w:top w:val="single" w:color="000000" w:sz="4" w:space="0"/>
              <w:left w:val="single" w:color="000000" w:sz="0" w:space="0"/>
              <w:bottom w:val="single" w:color="000000" w:sz="4" w:space="0"/>
              <w:right w:val="single" w:color="000000" w:sz="4" w:space="0"/>
            </w:tcBorders>
            <w:noWrap w:val="0"/>
            <w:tcMar>
              <w:left w:w="108" w:type="dxa"/>
              <w:right w:w="108" w:type="dxa"/>
            </w:tcMar>
            <w:vAlign w:val="bottom"/>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735" w:type="dxa"/>
            <w:tcBorders>
              <w:top w:val="single" w:color="000000" w:sz="4" w:space="0"/>
              <w:left w:val="single" w:color="000000" w:sz="0" w:space="0"/>
              <w:bottom w:val="single" w:color="000000" w:sz="4" w:space="0"/>
              <w:right w:val="single" w:color="000000" w:sz="4" w:space="0"/>
            </w:tcBorders>
            <w:noWrap w:val="0"/>
            <w:tcMar>
              <w:left w:w="108" w:type="dxa"/>
              <w:right w:w="108" w:type="dxa"/>
            </w:tcMar>
            <w:vAlign w:val="bottom"/>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2640" w:type="dxa"/>
            <w:tcBorders>
              <w:top w:val="single" w:color="000000" w:sz="4" w:space="0"/>
              <w:left w:val="single" w:color="000000" w:sz="0" w:space="0"/>
              <w:bottom w:val="single" w:color="000000" w:sz="4" w:space="0"/>
              <w:right w:val="single" w:color="000000" w:sz="4" w:space="0"/>
            </w:tcBorders>
            <w:noWrap w:val="0"/>
            <w:tcMar>
              <w:left w:w="108" w:type="dxa"/>
              <w:right w:w="108" w:type="dxa"/>
            </w:tcMar>
            <w:vAlign w:val="bottom"/>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blPrEx>
          <w:tblCellMar>
            <w:top w:w="0" w:type="dxa"/>
            <w:left w:w="10" w:type="dxa"/>
            <w:bottom w:w="0" w:type="dxa"/>
            <w:right w:w="10" w:type="dxa"/>
          </w:tblCellMar>
        </w:tblPrEx>
        <w:trPr>
          <w:trHeight w:val="300" w:hRule="atLeast"/>
          <w:jc w:val="center"/>
        </w:trPr>
        <w:tc>
          <w:tcPr>
            <w:tcW w:w="777" w:type="dxa"/>
            <w:tcBorders>
              <w:top w:val="single" w:color="000000" w:sz="0" w:space="0"/>
              <w:left w:val="single" w:color="000000" w:sz="4" w:space="0"/>
              <w:bottom w:val="single" w:color="000000" w:sz="4" w:space="0"/>
              <w:right w:val="single" w:color="000000" w:sz="4" w:space="0"/>
            </w:tcBorders>
            <w:noWrap w:val="0"/>
            <w:tcMar>
              <w:left w:w="108" w:type="dxa"/>
              <w:right w:w="108" w:type="dxa"/>
            </w:tcMar>
            <w:vAlign w:val="bottom"/>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17" w:type="dxa"/>
            <w:tcBorders>
              <w:top w:val="single" w:color="000000" w:sz="4" w:space="0"/>
              <w:left w:val="single" w:color="000000" w:sz="0" w:space="0"/>
              <w:bottom w:val="single" w:color="000000" w:sz="4" w:space="0"/>
              <w:right w:val="single" w:color="000000" w:sz="4" w:space="0"/>
            </w:tcBorders>
            <w:noWrap w:val="0"/>
            <w:tcMar>
              <w:left w:w="108" w:type="dxa"/>
              <w:right w:w="108" w:type="dxa"/>
            </w:tcMar>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2760" w:type="dxa"/>
            <w:tcBorders>
              <w:top w:val="single" w:color="000000" w:sz="4" w:space="0"/>
              <w:left w:val="single" w:color="000000" w:sz="0" w:space="0"/>
              <w:bottom w:val="single" w:color="000000" w:sz="4" w:space="0"/>
              <w:right w:val="single" w:color="000000" w:sz="4" w:space="0"/>
            </w:tcBorders>
            <w:noWrap w:val="0"/>
            <w:tcMar>
              <w:left w:w="108" w:type="dxa"/>
              <w:right w:w="108" w:type="dxa"/>
            </w:tcMar>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989" w:type="dxa"/>
            <w:tcBorders>
              <w:top w:val="single" w:color="000000" w:sz="0" w:space="0"/>
              <w:left w:val="single" w:color="000000" w:sz="0" w:space="0"/>
              <w:bottom w:val="single" w:color="000000" w:sz="4" w:space="0"/>
              <w:right w:val="single" w:color="000000" w:sz="4" w:space="0"/>
            </w:tcBorders>
            <w:noWrap w:val="0"/>
            <w:tcMar>
              <w:left w:w="108" w:type="dxa"/>
              <w:right w:w="108" w:type="dxa"/>
            </w:tcMar>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735" w:type="dxa"/>
            <w:tcBorders>
              <w:top w:val="single" w:color="000000" w:sz="0" w:space="0"/>
              <w:left w:val="single" w:color="000000" w:sz="0" w:space="0"/>
              <w:bottom w:val="single" w:color="000000" w:sz="4" w:space="0"/>
              <w:right w:val="single" w:color="000000" w:sz="4" w:space="0"/>
            </w:tcBorders>
            <w:noWrap w:val="0"/>
            <w:tcMar>
              <w:left w:w="108" w:type="dxa"/>
              <w:right w:w="108" w:type="dxa"/>
            </w:tcMar>
            <w:vAlign w:val="center"/>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c>
          <w:tcPr>
            <w:tcW w:w="2640" w:type="dxa"/>
            <w:tcBorders>
              <w:top w:val="single" w:color="000000" w:sz="0" w:space="0"/>
              <w:left w:val="single" w:color="000000" w:sz="0" w:space="0"/>
              <w:bottom w:val="single" w:color="000000" w:sz="4" w:space="0"/>
              <w:right w:val="single" w:color="000000" w:sz="4" w:space="0"/>
            </w:tcBorders>
            <w:noWrap w:val="0"/>
            <w:tcMar>
              <w:left w:w="108" w:type="dxa"/>
              <w:right w:w="108" w:type="dxa"/>
            </w:tcMar>
            <w:vAlign w:val="bottom"/>
          </w:tcPr>
          <w:p>
            <w:pPr>
              <w:keepNext w:val="0"/>
              <w:keepLines w:val="0"/>
              <w:widowControl/>
              <w:suppressLineNumbers w:val="0"/>
              <w:spacing w:line="360" w:lineRule="auto"/>
              <w:jc w:val="left"/>
              <w:rPr>
                <w:rFonts w:hint="eastAsia" w:ascii="宋体" w:hAnsi="宋体" w:eastAsia="宋体" w:cs="宋体"/>
                <w:color w:val="auto"/>
                <w:sz w:val="24"/>
                <w:szCs w:val="24"/>
                <w:highlight w:val="none"/>
              </w:rPr>
            </w:pPr>
          </w:p>
        </w:tc>
      </w:tr>
    </w:tbl>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详细供货、配套范围及工作内容见技术协议。</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合同供货范围包括了所有货物、技术资料、技术协调、技术服务，但在执行合同过程中如发现有任何漏项和短缺，在供货清单中并未列入而且确实是卖方供货范围中应该有的，并且是满足招标文件、技术协议或技术补充文件中的技术要求所必须的，均应由卖方负责将所缺的货物、技术资料、专用工具、备品备件、技术协调、技术服务及技术指导等补上，发生的费用由卖方承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如双方签订合同后到卖方送货到买方现场的期间，因卖方的原因（如设计缺陷、签订合同时配置不合理或考虑不周全等）而必需对合同设备更换部分配置或因技术改进/功能加强/部件升级等而必须对设备升级时（在此情况下必需以书面形式取得买方书面同意和认可），卖方必须免费完成该项工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合同价格</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本合同价格即合同总价为人民币      元，大写人民币：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本合同价格包括所有合同货物、技术资料、技术及售后技术服务等费用；还包括合同货物的现场装卸、转运、指导安装及调试、相关资料的提供等所有相关工作的费用；还包括与合同货物有关的税费、包装费、运杂费、保险费及交货前可能发生的转运、装卸等与本合同中卖方应承担的所有义务和所有工作相关的费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本合同总价在合同有效期内为不变价。</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付款</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本合同使用货币种类为人民币。</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付款方式：通过网上银行支付。</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生产厂家合同款的支付：</w:t>
      </w:r>
    </w:p>
    <w:tbl>
      <w:tblPr>
        <w:tblStyle w:val="27"/>
        <w:tblpPr w:leftFromText="180" w:rightFromText="180" w:vertAnchor="text" w:tblpXSpec="center" w:tblpY="1"/>
        <w:tblOverlap w:val="never"/>
        <w:tblW w:w="9456" w:type="dxa"/>
        <w:tblInd w:w="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6"/>
        <w:gridCol w:w="1204"/>
        <w:gridCol w:w="5790"/>
        <w:gridCol w:w="16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blHeader/>
        </w:trPr>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付款类别</w:t>
            </w:r>
          </w:p>
        </w:tc>
        <w:tc>
          <w:tcPr>
            <w:tcW w:w="5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支付期限及支付条件</w:t>
            </w:r>
          </w:p>
        </w:tc>
        <w:tc>
          <w:tcPr>
            <w:tcW w:w="1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支付比例及金额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0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w:t>
            </w:r>
          </w:p>
        </w:tc>
        <w:tc>
          <w:tcPr>
            <w:tcW w:w="5790"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合同生效后10个工作日内招标</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向中标</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支付合同总额的30%作为预付款。</w:t>
            </w:r>
          </w:p>
        </w:tc>
        <w:tc>
          <w:tcPr>
            <w:tcW w:w="1686"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合同总额的30%（¥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0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到货款</w:t>
            </w:r>
          </w:p>
        </w:tc>
        <w:tc>
          <w:tcPr>
            <w:tcW w:w="5790"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全部货物到达</w:t>
            </w:r>
            <w:r>
              <w:rPr>
                <w:rFonts w:hint="eastAsia" w:ascii="宋体" w:hAnsi="宋体" w:eastAsia="宋体" w:cs="宋体"/>
                <w:color w:val="auto"/>
                <w:sz w:val="24"/>
                <w:szCs w:val="24"/>
                <w:highlight w:val="none"/>
                <w:lang w:val="en-US" w:eastAsia="zh-CN"/>
              </w:rPr>
              <w:t>韶关冶炼厂招标人指定</w:t>
            </w:r>
            <w:r>
              <w:rPr>
                <w:rFonts w:hint="eastAsia" w:ascii="宋体" w:hAnsi="宋体" w:eastAsia="宋体" w:cs="宋体"/>
                <w:color w:val="auto"/>
                <w:sz w:val="24"/>
                <w:szCs w:val="24"/>
                <w:highlight w:val="none"/>
              </w:rPr>
              <w:t>现场，经</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初步验收合格，</w:t>
            </w:r>
            <w:r>
              <w:rPr>
                <w:rFonts w:hint="eastAsia" w:ascii="宋体" w:hAnsi="宋体" w:eastAsia="宋体" w:cs="宋体"/>
                <w:color w:val="auto"/>
                <w:sz w:val="24"/>
                <w:szCs w:val="24"/>
                <w:highlight w:val="none"/>
                <w:lang w:val="en-US" w:eastAsia="zh-CN"/>
              </w:rPr>
              <w:t>招标人收到</w:t>
            </w:r>
            <w:r>
              <w:rPr>
                <w:rFonts w:hint="eastAsia" w:ascii="宋体" w:hAnsi="宋体" w:eastAsia="宋体" w:cs="宋体"/>
                <w:color w:val="auto"/>
                <w:sz w:val="24"/>
                <w:szCs w:val="24"/>
                <w:highlight w:val="none"/>
              </w:rPr>
              <w:t>中标</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开具13%全额增值税发票</w:t>
            </w:r>
            <w:r>
              <w:rPr>
                <w:rFonts w:hint="eastAsia" w:ascii="宋体" w:hAnsi="宋体" w:eastAsia="宋体" w:cs="宋体"/>
                <w:color w:val="auto"/>
                <w:sz w:val="24"/>
                <w:szCs w:val="24"/>
                <w:highlight w:val="none"/>
                <w:lang w:val="en-US" w:eastAsia="zh-CN"/>
              </w:rPr>
              <w:t>后</w:t>
            </w:r>
            <w:r>
              <w:rPr>
                <w:rFonts w:hint="eastAsia" w:ascii="宋体" w:hAnsi="宋体" w:eastAsia="宋体" w:cs="宋体"/>
                <w:color w:val="auto"/>
                <w:sz w:val="24"/>
                <w:szCs w:val="24"/>
                <w:highlight w:val="none"/>
              </w:rPr>
              <w:t>向中标</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支付合同总额的30%作为到货款；</w:t>
            </w:r>
          </w:p>
        </w:tc>
        <w:tc>
          <w:tcPr>
            <w:tcW w:w="1686"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合同总额的30%（¥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4"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0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验收款</w:t>
            </w:r>
          </w:p>
        </w:tc>
        <w:tc>
          <w:tcPr>
            <w:tcW w:w="5790"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调试完成后，经</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验收并达到性能指标，</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向中标</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支付合同总额的3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%作为设备验收款。</w:t>
            </w:r>
          </w:p>
        </w:tc>
        <w:tc>
          <w:tcPr>
            <w:tcW w:w="1686"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合同总额的3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8" w:hRule="atLeast"/>
        </w:trPr>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2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质保金</w:t>
            </w:r>
          </w:p>
        </w:tc>
        <w:tc>
          <w:tcPr>
            <w:tcW w:w="5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预留合同总额的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%作为质保金（不计息），质保期为设备验收合格交付使用后1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个月。</w:t>
            </w:r>
          </w:p>
        </w:tc>
        <w:tc>
          <w:tcPr>
            <w:tcW w:w="1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合同总额的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    元）</w:t>
            </w:r>
          </w:p>
        </w:tc>
      </w:tr>
    </w:tbl>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5.4付款时间以买方银行承付日期为实际支付日期。</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交货和运输</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 本成套设备交付给用户投入试运行时间为      年    月     日前。</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本合同货物的交货期及交货顺序应满足工程建设进度和顺序的要求，应保证到货的及时性和配套的完整性。</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买方有要求卖方延期供货的权利，但卖方不能自行延期供货。</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 合同货物的交货地点为：</w:t>
      </w:r>
      <w:r>
        <w:rPr>
          <w:rFonts w:hint="eastAsia" w:ascii="宋体" w:hAnsi="宋体" w:eastAsia="宋体" w:cs="宋体"/>
          <w:color w:val="auto"/>
          <w:sz w:val="24"/>
          <w:szCs w:val="24"/>
          <w:highlight w:val="none"/>
          <w:lang w:eastAsia="zh-CN"/>
        </w:rPr>
        <w:t>广东省韶关市浈江区南郊九公里韶关冶炼厂</w:t>
      </w:r>
      <w:r>
        <w:rPr>
          <w:rFonts w:hint="eastAsia" w:ascii="宋体" w:hAnsi="宋体" w:eastAsia="宋体" w:cs="宋体"/>
          <w:color w:val="auto"/>
          <w:sz w:val="24"/>
          <w:szCs w:val="24"/>
          <w:highlight w:val="none"/>
        </w:rPr>
        <w:t>。</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合同货物所有权自合同货物验收合格交付时起由卖方转移给买方。合同货物毁损、灭失的风险（货物本身质量问题除外），在合同货物验收合格交付之前由卖方承担，验收合格交付之后由买方承担。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6.3卖方须向承运部门办理申请发运货物所需要的运输工具计划，制定合理的运输方案并负责合同货物从卖方到交货地点的运输。</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如合同货物为分批交货，则最后一批货物交货之日即视为卖方实际交货日期，此日期即为计算延期供货赔偿的依据。</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6.4收货单位：</w:t>
      </w:r>
      <w:r>
        <w:rPr>
          <w:rFonts w:hint="eastAsia" w:ascii="宋体" w:hAnsi="宋体" w:eastAsia="宋体" w:cs="宋体"/>
          <w:color w:val="auto"/>
          <w:sz w:val="24"/>
          <w:szCs w:val="24"/>
          <w:highlight w:val="none"/>
          <w:lang w:val="en-US" w:eastAsia="zh-CN"/>
        </w:rPr>
        <w:t>深圳市中金岭南有色金属股份有限公司韶关冶炼厂</w:t>
      </w:r>
      <w:r>
        <w:rPr>
          <w:rFonts w:hint="eastAsia" w:ascii="宋体" w:hAnsi="宋体" w:eastAsia="宋体" w:cs="宋体"/>
          <w:color w:val="auto"/>
          <w:sz w:val="24"/>
          <w:szCs w:val="24"/>
          <w:highlight w:val="none"/>
        </w:rPr>
        <w:t>。</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  技术服务和联络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7.1卖方应及时提供与本合同货物有关的产品检测、检验、取证、</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安装调试、验收、性能验收试验、运行、检修等相应的技术指导、技术配合、技术培训等全过程的技术服务，主要设备调试时，卖方须通知生产厂家两天内到场参加调试，若未及时到场，每次扣款   元。</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在合同生效后7天内，双方确定技术联络会的次数、时间和地点。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如遇有重大问题需要双方立即研究协商时，任何一方均可建议召开会议，在一般情况下，另一方必须参加。</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7.4各次会议及其他联络方式双方均应签订会议或联络纪要，所签纪要双方均应执行。如涉及合同条款有修改时，需经双方法定代表人批准，以修改本为准。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7.5买方有权将对方所提供的一切与本合同货物有关的资料分发给与本工程有关的各方，并不由此而构成任何侵权，但不得向任何与本工程无关的第三方提供。</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7.6对盖有“密件”印章的卖方、买方的资料，双方都有为其保密的义务。</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7.7卖方（包括分包与外购）须对一切与本合同有关的供货、货物及技术接口、技术服务等问题负全部责任。</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7.8凡与本合同货物相连接（或有关联）的设备装置，卖方有提供接口和技术配合的义务，并不由此而发生合同价格以外的任何费用。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7.9卖方派到现场的技术人员和工作人员都应是有实践经验、可胜任此项工作的人员。卖方派到现场的技术人员和工作人员名单在本合同生效后1个月内提交买方予以确认。</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买方有权提出更换不符合要求的卖方现场技术人员和工作人员，卖方应根据现场需要，重新选派买方认可的技术人员和工作人员。如果买方在书面提出该项要求10天内卖方没有答复，将按合同相关条款视为延误工期等同处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  质量检验</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 工厂检验与现场检验</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8.1.1由卖方供应的所有合同设备/零部件(包括分包与外购)，在生产过程中都须进行严格的检验和试验，必要时须进行部套和/或整机总装和试验。所有检验、试验和总装(装配)必须有正式的记录文件。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8.1.2所有这些正式的记录文件及合格证作为技术资料的一部分卖方要以快递方式邮寄给买方或买方委托代理人存档。此外，卖方还应在随机文件中提供合格证和质量证明文件。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8.1.3每批次货物运抵现场，卖方应组织买方、业主等相关方进行现场开箱检验，并做好相关的检验记录。</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  </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试运和验收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9.1本合同设备卖方根据相关的技术资料、检验标准、图纸及说明书进行现场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安装工作，卖方须及时提供合同设备现场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安装调试相关技术资料（含图纸）并派技术人员进行现场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安装调试工作。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9.2在现场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安装、调试过程中，双方应参加为满足保证指标和安全稳定运行所需的每套机组合同设备的安装、调试检验和测试。</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在单套合同货物现场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完毕后，供需双方代表将进一步核实、确认安装调试工作，并共同签署相关指导安装调试资料一式二份，供需双方各执一份。但此签署的文件不能解除卖方在试运行、性能验收试验和质量保证期内的责任，以及技术性能和保证与合同规定不相符的责任。</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本合同货物现场</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安装、调试完毕后的验收工作按照本合同及技术协议中相关要求进行。</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9.3合同货物的安装完毕后，及时进行相关检测及系统调试，卖方应尽快解决调试中出现的问题，否则将按合同相关条款视为延误工期等同处理。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9.4在初步验收证书签发之日后一年并完成索赔后10天内，若货物质量合格，应按照合同相关条款的规定签发最终验收合格证明书。</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按合同相关条款出具的初步验收证书只是证明卖方所提供的合同货物性能和参数截至出具初步验收证明时可以按合同要求予以接受，但不能视为卖方对合同货物中存在的可能引起合同货物损坏的潜在缺陷所应负的责任解除的证据；同样，最终验收证书也不能被视为卖方对合同货物中存在可能引起合同货物损坏的潜在缺陷应负责任的解除的证据。</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在合同执行过程中的任何时候，对由于卖方责任需要进行的检查、试验、再试验、修理或调换，在卖方提出请求时，买方应作好安排进行配合以便进行上述工作。卖方应负担修理或调换及其人员的费用。如果卖方委托买方施工人员进行加工和/或修理、更换设备，或由于卖方设计图纸错误或卖方技术服务人员的指导错误造成返工，卖方应按下列公式向买方支付费用：（所有费用按发生时的费率水平计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Ｐ＝ ａ h + M + c m</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其中：Ｐ＿＿总费用(元)</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a ＿＿人工费(元/小时•人)</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h ＿＿人时(小时•人)</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M ＿＿材料费(元)</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c ＿＿台班数(台•班)</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m ＿＿每台设备的台班费(元/台•班)</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 不论合同货物的损失或损坏的责任在买方或是在卖方，卖方应首先尽快交付更换或补充此损失或损坏的货物，然后确定上述货物的费用由哪一方承担。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 卖方的设备必须整体到现场或由卖方在现场由散件组装成设备整体，如委托其它单位组装或整改，则必须有简单的协议和明确的质量要求、工期、验收方法/程序及总费用等，并交由买方书面签字确认并备案后才能生效实施。其次如卖方设备发生质量问题，卖方不能在规定的时间内及时赶到现场处理，或赶到现场后不能及时处理（包括故意和非故意两种情况），买方将直接委托其它单位进行处理，所发生的费用也不必征得卖方的同意，按委托单位上报总价的1.2倍从卖方合同总价中予以扣除。另外卖方其它所有在现场涉及的费用（包括卖方设备质量问题在现场更换、改造的费用等）由卖方在现场以现金支付后买方才办理到货款及后续的付款手续，且以上费用卖方不得要求买方从合同款中扣除。如卖方没有按上述程序进行处理和操作，则买方可视为卖方违约并处以卖方合同总额5%以下的罚金。</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  保证与索赔</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10.1质量保证期是指合同货物性能考核合格之日起12个月，该保证期的具体内容按合同有关条款执行。</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10.2卖方保证其供应的本合同货物是全新的，技术水平是先进的、成熟的、质量是优良的，货物的设计、制造、</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安装、检验、取证、验收均符合本合同技术协议的要求。</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卖方保证根据本合同所应交付的技术资料完整统一和内容正确、准确并能满足合同货物的设计、安装、调试、运行和维修的要求。</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本合同执行期间，如果卖方提供的货物有缺陷和技术资料有错误，或者由于卖方安装过程中的错误和疏忽，造成工程返工、报废，卖方应立即无偿更换和修理。如需更换，卖方应负担由此产生的到安装现场更换的一切费用，更换或修理期限应不迟于证实属卖方责任之日起的15个工作日内，否则，买方有权请别的维修单位予以维修，所有费用由卖方承担并同时应按合同相关条款处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10.4由于买方责任造成的货物损坏，由买方负责修理/更换，但卖方有义务尽快提供所需更换的部件，对于买方要求的紧急部件，卖方应安排最快的方式运输，所有费用均由买方负担。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合同规定的保证期满后，由买方在10天内出具合同货物保证期满最终验收证书交给卖方。条件是：在此期间卖方应完成买方在保证期满前提出的索赔和赔偿。而且经双方共同进行验收确认，货物质量合格。但卖方对非正常维修和误操作以及由于正常磨损造成的损失不负责任。</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在保证期内，如发现货物有缺陷，不符合本合同规定，如属卖方责任，则买方有权向卖方提出索赔。卖方在接到买方索赔文件后，应立即无偿修理、更换、赔款或委托买方安排大型修理，由此产生的到安装现场的更换费用、运输费及保险费也由卖方承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10.7如由于卖方责任需要更换、修理有缺陷的货物，而使合同货物停运或推迟安装时，则保证期应按实际修理或更换所延误的时间做相应的延长。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由于卖方责任，在性能验收试验后，如经第二次验收试验(由于卖方原因)仍不能达到本合同所规定的一项或多项保证指标时，卖方应承担违约金，其计算方法为：合同货物中某件（套）的某项保证值每低于招标文件或技术协议技术要求的1％，违约金金额为该件（套）货物总价的1％。</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不满一周按比例计算。</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每套合同货物迟验的违约金总金额不超过该套合同货物价格的8％。</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上述任何一项的违约金比率超过以上条款指出的违约金比率的五倍时，买方有权要求卖方以更大的违约金比率来支付违约金，其具体违约金比率可由双方协商决定。如果达不成协议，卖方在买方同意的时间内尽快提供买方满意的替换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卖方提交违约金后，仍有义务向买方提供技术帮助，采取各种措施以使货物达到各项经济指标。</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套合同货物按照以上各项累积计算的最大违约金总金额将不超过该套合同货物价格的10％。卖方支付全部违约金或者卖方提供的满意的替换件被买方接受之日，即为买方承认货物可以初步验收并出具初步验收证书之日。</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 如合同货物在保证期内发现且经双方共同确认属卖方责任的十分严重的缺陷（如技术性能达不到要求等），则其保证期将自该缺陷修正后开始重新计算一年。此时，买方还有权根据需要选择要求解除合同，要求退货或换货等。</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10.10如果不是由于买方原因或买方没有要求推迟设备试运行时间，而卖方未能按本合同规定的设备试运行时间（不可抗力除外）执行，买方有权按一下列比例向卖方收取违约金：</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每延期一周扣除合同总金额的1％作为违约金（不足一周按一周计算）。</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10.11卖方对于根据本合同相关条款承担的每套合同货物违约金总额不论单项或多项累计将不超过每套合同货物价格的10％。</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10.12卖方支付违约金并不解除按合同所规定的相应义务。</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10.13如果由于买方原因，迟付货款，卖方将加收拖延期间银行同期利息，工期顺延。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10.14在根据合同相关条款规定的检验期和质量保证期内，如果卖方对买方提出的索赔和差异负有责任，卖方应按照买方同意的下列一种或多种方式解决索赔事宜：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 卖方同意退货，并按合同规定的同种货币将货款退还给买方，并承担由此发生的一切损失和费用，包括利息、银行手续费、运费、保险费、检验费、仓储费、装卸费以及为保护退回货物所需的其它必要费用。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 根据货物低劣程度、损坏程度以及买方所遭受损失的数额，经买卖双方商定降低货物的价格。</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用符合规格、质量和性能要求的新零件、部件或货物来更换有缺陷的部分或／和修补缺陷部分，卖方应承担一切费用和风险，并负担买方所发生的一切直接费用。同时，卖方应按合同规定，相应延长修补或更换件的质量保证期。</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保险</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在合同货物交付前卖方须对合同货物，根据水运、陆运和空运等运输方式，向保险公司以卖方为受益人投保发运合同货物价格110%的运输一切险，保险区段为卖方仓库到工地交货止。</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  税费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12.1根据国家有关税务的法律、法规和规定，卖方应该缴纳的与本合同有关的税费，由卖方承担。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12.2本合同价格为含税价。卖方提供的货物、技术资料、服务(也包括运输)、进口设备/部件、现场指导安装调试等所有相关税费已全部包含在合同价格内，由卖方承担。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12.3本合同卖方应向买方开具的发票为合同全额13%税点的增值税专用发票。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  分包与外购</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13.1卖方未经买方同意不得将本合同范围内的设备/部件进行分包（包括主要部件外购），卖方需分包的内容和比例应征得买方同意。</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13.2在本合同生效1个月内卖方须在买方同意的分包商名单中选定分包商，并以书面形式正式通知买方。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13.3分包(外购)设备/部件的技术服务、技术配合按合同相关条款的规定办理。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13.4卖方对所有分包设备、部件承担本合同项下的全部责任。</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合同的变更、修改、中止和终止</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本合同一经生效，合同双方均不得擅自对本合同的内容（包括附件）作任何单方的修改。但任何一方均可以对合同内容以书面形式提出变更、修改、取消或补充的建议。该项建议应以书面形式通知对方并经双方签字确认。</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该项修改改变了合同价格和交货进度，卖方应在收到上述修改通知书后的14天内，提出影响合同价格和/或交货期的详细说明。双方同意后经双方法定代表人或委托代理人(须经法定代表人书面授权委托)签字后方能生效。并将修改后的有关部分抄送原合同有关单位。</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14.2如果卖方有违反或拒绝执行本合同规定的行为时，买方将用书面通知卖方，卖方在接到通知后14天内确认无误后应对违反或拒绝作出修正，如果认为在14天内来不及纠正时，应提出修正计划。</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如果得不到纠正或提不出修正计划，买方有权中止部分或全部合同。对于这种中止，买方将不出具变更通知书，由此而发生的一切费用、损失和索赔将由卖方负担。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如果卖方的违约行为在本合同其它条款中有明确规定，则按有关条款处理。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14.3如果买方行使中止权利，买方有权停付到期应向卖方支付中止部分的款项，并有权将在执行合同中预付给卖方的中止部分款项索回。</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14.4在合同执行过程中，若因国家计划调整而引起本合同无法正常执行时，卖方和/或买方可以向对方提出中止执行合同或修改合同有关条款的建议，与之有关的事宜双方协商办理。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14.5因买方原因要求中途退货，买方应向卖方偿付违约金，违约金为退货部分货物价格的30％，若因此给卖方造成损失，而违约金不足以赔偿的，买方应继续赔偿。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14.6因卖方原因而不能交货，卖方应向买方偿付违约金，违约金为不能交货部分货物价格的30％，若因此给买方造成损失，而违约金不足以赔偿的，卖方应继续赔偿。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 如果卖方破产、产权变更(被兼并、合并、解体、注销)或无偿还能力，或为了债权人的利益在破产管理下经营其业务，买方有权立即书面通知卖方或破产清算管理人或合同归属人终止合同，或向该破产管理人、清算人或该合同归属人提供选择，视其给出合理忠实履行合同的保证情况，执行经过买方同意的一部分合同。</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 若14.7款所述的情况确实发生，买方有权从卖方手中将与本合同货物有关的工作接管并收归己有，并在合理期限内从卖方处迁出所有与本合同货物有关的设计、图纸、说明和材料，这些东西的所有权已属买方，卖方应给买方提供全权处理并提供一切合理的方便，使其能搬走上述这类设计、图纸、说明和材料，买方对这种终止合同直接或间接引起的对卖方的任何索赔不承担责任。此外，双方应对卖方已经实际履行的合同部分评价达成协议，并处理合同提前结束的一切后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不可抗力</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15.1不可抗力是指：严重的自然灾害和灾难（如台风、洪水、地震、火灾和爆炸等）、战争(不论是否宣战)、叛乱、动乱等等。</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合同双方中的任何一方，由于不可抗力事件而影响合同义务的执行时，则延迟履行合同义务的期限相当于不可抗力事件影响的时间，但是不能因为不可抗力的延迟而调整合同价格。</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受到不可抗力影响的一方应在不可抗力事故发生后，尽快将所发生的不可抗力事件的情况以传真通知另一方，并在3天内将有关当局出具的证明文件提交给另一方审阅确认，受影响的一方同时应尽量设法缩小这种影响和由此而引起的延误，一旦不可抗力的影响消除后，应将此情况立即通知对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15.3如双方对不可抗力事件的影响估计将延续到120天以上时，双方应通过友好协商解决本合同的执行问题（包括交货、</w:t>
      </w:r>
      <w:r>
        <w:rPr>
          <w:rFonts w:hint="eastAsia" w:ascii="宋体" w:hAnsi="宋体" w:eastAsia="宋体" w:cs="宋体"/>
          <w:color w:val="auto"/>
          <w:sz w:val="24"/>
          <w:szCs w:val="24"/>
          <w:highlight w:val="none"/>
          <w:lang w:val="en-US" w:eastAsia="zh-CN"/>
        </w:rPr>
        <w:t>指导</w:t>
      </w:r>
      <w:r>
        <w:rPr>
          <w:rFonts w:hint="eastAsia" w:ascii="宋体" w:hAnsi="宋体" w:eastAsia="宋体" w:cs="宋体"/>
          <w:color w:val="auto"/>
          <w:sz w:val="24"/>
          <w:szCs w:val="24"/>
          <w:highlight w:val="none"/>
        </w:rPr>
        <w:t>安装、试运行和验收等问题）。</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合同争议的解决</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16.1凡与本合同有关而引起的一切争议，双方应首先通过友好协商解决，如仍不能解决，任何一方可提交人民法院诉讼。</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16.2在进行诉讼期间，除提交诉讼的事项外，合同仍应继续履行。</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安全生产</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17.1卖方现场工作人员在进入安装施工工地现场工作前，应做好充分的安全教育工作和安全准备工作，在现场工作过程中，应遵守现场安全施工规程规范，做好安全保护工作，确保安全。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17.2卖方对其现场工作人员在现场工作过程中可能出现的财产及人身安全事故负全部责任，买方对此不承担任何责任和经济赔偿。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17.3卖方在项目现场的施工，应做好以下工作：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（1）向买方提供施工组织方案（含项目经理及技术人员名单和职责）及相应的详细工程进度计划。</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（2）负责在需要的时间和地点，根据有关要求，自费提供和维护所有灯光、护板、栅栏、警告信号和警卫，以及对工程进行保护或为公众提供安全和方便，并负责安全保卫。</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遵守政府有关主管部门对施工场地交通、施工噪音以及环境保护和安全生产等的管理规定，按规定办理有关手续，并以书面形式通知买方。卖方应保证买方免于受到或承担应由卖方负责的上述事项所引起的或与之有关的索赔、诉讼、损害赔偿及其他开支。因卖方责任造成各种损失，由卖方自身负责处理或赔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（4）已竣工工程未交付买方之前，卖方负责已完工程的保护工作及其相关费用，保护期间发生损坏，卖方自费予以修复。</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（5）做好施工场地邻近建筑物、构筑物、树木的保护工作。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（6）保证施工场地清洁符合环境卫生管理的有关规定，交工前清理现场，承担因自身原因违反有关规定造成的损失和罚款。</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卖方负责在工程施工、竣工及保修的整个过程中施工现场全部人员的安全，如因卖方原因，买方不承担卖方或其雇用的工人或其他人员的伤亡赔偿或补偿责任。如由于买方原因造成卖方（含分包商）现场人员损伤及财产损失，由买方负责。</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（8）卖方应做的其他工作：</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出用水、用电申请，经批准后在买方提供的水、电设置点装表计量，费用按电力部门或供水部门收费标准计算。卖方负责完成由设置点起至施工区域内的水、电、线路的架设及施工区域内的施工通道的修建。</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2）除合同另有规定外，买方无论何时均不对上述卖方的设备、临时设施和材料的损失或损坏承担任何责任。</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 卖方未能做好以上工作，造成买方损失的，卖方向买方赔偿有关直接损失。</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17.5安全施工与检查</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17.5.1 卖方应遵守工程建设安全生产有关管理规定，严格按安全标准组织施工，保证现场施工及人员安全，并随时接受行业安全检查人员依法实施的监督检查，采取必要的安全防护措施，消除事故隐患。由于卖方安全措施不力造成事故的责任和因此发生的费用，由卖方承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17.5.2卖方应全面关照所有留在现场的人员的安全，保持其管辖范围内的现场和尚未完工的以及买方尚未占用的工程处于有条不紊的状态，以免发生人身事故；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17.5.3卖方应在需要的时间和地点，或根据有关当局要求，自费提供和维持所有灯光、护板、栅栏、警告信号、安全标志和值班，以及对工程进行保护或为公众提供安全和方便；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17.5.4 卖方与买方签署安全责任协议书，此文件为合同附件之一。</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17.5.5卖方应对其在施工场地的工作人员进行安全教育，并对他们的安全负责。</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17.5.6买方委派的现场安全管理工程师可随时对卖方进行安全检查，卖方应予以配合，对于其指出的问题应予以纠正，否则卖方应承担由于不按安全生产和文明施工规定所给予的罚款。</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17.6安全防护</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17.6.1卖方应采取一切合理措施在合同实施中保护现场附近的环境，以避免因其施工引起的污染、噪声、爆炸物和其他因素对公众或公众财产等造成伤害或妨碍。</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17.6.2卖方应向其管理人员和所有雇员（包括正式的和临时的雇员）提供必要的劳保用品，保障他们的职业健康，保证他们必要的休息时间，防止他们的驻地发生流行性疾病。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17.7事故处理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17.7.1 项目现场发生重大伤亡及其他安全事故，卖方应按有关规定立即上报有关部门并通知买方，同时按政府有关部门要求处理，由事故责任方承担发生的费用。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17.7.2无论在工程施工期间或是在保修期内，如果在工程的任何部分中发生事故或其他事件，买方认为进行紧急补救或其他工作或修理是工程安全的紧急需要，而卖方无能力或不愿立即进行此类工作或修理时，买方可在必要时，雇佣其他人员从事该项工作或修理，并支付有关费用，如果相关事故责任应由卖方承担时，买方可从将付或应付给卖方的金额中扣除该笔费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 卖方代表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18.1卖方应根据履行合同的需要以书面形式向买方明确其代表人。</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18.2卖方代表的任何行为或做法均被认为是卖方的行为或做法。</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 技术规格和标准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本合同项下所供设备的技术规格应与本合同“技术协议”以及设计要求的标准相一致。如果没有提及适用标准，则应符合中国国家标准或设备来源国适用的官方标准。这些标准必须是有关机构发布的最新版本的标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19.2除非技术规格中另有规定，计量单位均采用中华人民共和国法定计量单位。</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 专利权</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20.1卖方应保障买方在使用合同设备、服务及其任何部分不受到第三方关于侵犯专利权、商标权或工业设计权等的指控。</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20.2任何第三方如果提出侵权指控，卖方应与第三方交涉并承担可能发生的一切法律责任和费用。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20.3虽然卖方根据本合同要求提供了全部货物，但买方向卖方提供的所有相关文件的知识产权属于买方。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包装和标识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21.1卖方应按照国家及行业相关标准，同时根据货物本身特性，对货物采用标准的保护措施进行包装，并有良好的防潮、防震、防锈和防野蛮装卸等保护措施，以确保设备安全运抵现场。</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21.2包装外壳上应有明显的永久性的标识，标识内容包括货物名称、数量、规格、生产地等主要信息。</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21.3货物在运输过程中的一切损毁、灭失风险，均由卖方承担。</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技术资料</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卖方应准备与设备相符的中文（或双方书面同意的其它语言）并满足设计要求的纸质技术资料8套（电子版1套），并于合同签订时或合同签定后7天内提供给买方，内容及提交方式见本合同“技术协议”中相应规定。如本条款所述资料寄送不完整或丢失，卖方应在收到买方通知后7天内免费另寄。</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22.2设备发运时应同时提供纸质8套（电子版1套）设备交货技术资料单独邮寄给买方。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22.3卖方应根据合同规定如期提供有关设备制造、安装的所有图纸和文件。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22.4费用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上述所提交的图纸、技术资料和现场服务的费用全部包括在合同价格中。</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履约保证金</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23.1履约保证金在设备按合同中规定的交货期交货完毕，经清点验收合格后14天内，无息退还卖方。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23.2如果卖方未能按合同规定履行其义务，买方有权从履约保证金中获得补偿。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23.3在合同执行过程中如出现下列情况之一时买方则从履约保证金中得到赔偿，如履约保证金不够赔偿，将另外加收赔偿金额：　</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a．卖方延期交货超过一周；</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 货到现场初步验收发现严重缺陷或损坏；</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 卖方拒绝提供合同要求的服务及技术资料。</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质量保证金</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24.1设备安装、调试及系统运行过程中，由于设计、制造等原因，导致其不能正常运行，买方有权从质量保证金中获得补偿。如该补偿不足以弥补买方实际损失,卖方必须对买方实际损失进行赔偿。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质量保证期是指合同货物性能考核合格之日起12个月。在此期间内如发生质量问题或设计、制造及安装缺陷，买方有权从质量保证金中获得补偿。如该补偿不足以弥补买方实际损失,卖方必须对买方实际损失进行赔偿。</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合同生效</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25.1本合同生效需满足下列条件：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25.1.1本合同经双方法定代表人或委托代理人(须经法定代表人书面授权委托)签字；</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25.1.2本合同经双方加盖合同专用章；</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25.1.3买方收到卖方按合同规定提交的履约保证金。</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 本合同有效期：从合同生效之日起到签发全部“最终验收证书”、卖方履行完所有合同义务、双方理赔完毕货款两清之日止。</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 其它</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26.1 本合同适用法律为中华人民共和国法律。</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 本合同所包括的附件，是本合同不可分割的一部分，具有同等的法律效力。如果合同正文与附件有不一致或模糊时，以合同正文为准。如果不同时间的文件有不一致或模糊时，以时间后者为准。</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26.3合同双方承担的合同义务都不得超过合同的规定，合同任何一方也不得对另一方作出有约束力的声明、陈述、许诺或行动。本合同列明了双方的责任、义务、补偿和补救条款。任何一方不承担本合同规定以外的责任、义务、补偿和补救。</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26.4对于买方提供的一切技术资料及文件，卖方应严格遵守保密原则，并承担保密责任和义务。</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26.5双方任何一方未取得另一方事先同意前，不得将本合同项下的部分或全部权利或义务转让给第三方。本合同项下双方相互提供的文件、资料，双方除为履行合同的目的外，均不得提供给与“合同货物”和相关工程无关的第三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26.6任何一方向对方提出的函电通知或要求，如系正式书写并按对方下述地址派员递送或挂号、快递邮寄、传真发送的，在取得对方人员和/或通讯设施接收确认后，即被认为已经被对方正式接收。</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26.7本合同以中文编写，合同执行过程中所涉及的相互往来文件、技术资料、说明书、会议纪要、信函等文件均应以中文编写。</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26.8本合同的解释权归买方。</w:t>
      </w:r>
    </w:p>
    <w:p>
      <w:pPr>
        <w:keepNext w:val="0"/>
        <w:keepLines w:val="0"/>
        <w:widowControl/>
        <w:suppressLineNumbers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26.9本合同一式正本8份，买方执正本6份，卖方执正本2份</w:t>
      </w:r>
    </w:p>
    <w:p>
      <w:pPr>
        <w:pStyle w:val="11"/>
        <w:rPr>
          <w:rFonts w:hint="eastAsia"/>
          <w:color w:val="000000"/>
          <w:sz w:val="24"/>
          <w:szCs w:val="24"/>
          <w:highlight w:val="none"/>
        </w:rPr>
      </w:pPr>
    </w:p>
    <w:p>
      <w:pPr>
        <w:pStyle w:val="11"/>
        <w:rPr>
          <w:rFonts w:hint="eastAsia"/>
          <w:color w:val="000000"/>
          <w:highlight w:val="none"/>
        </w:rPr>
      </w:pPr>
    </w:p>
    <w:p>
      <w:pPr>
        <w:pStyle w:val="11"/>
        <w:rPr>
          <w:rFonts w:hint="eastAsia"/>
          <w:color w:val="000000"/>
          <w:highlight w:val="none"/>
        </w:rPr>
      </w:pPr>
    </w:p>
    <w:p>
      <w:pPr>
        <w:pStyle w:val="11"/>
        <w:rPr>
          <w:rFonts w:hint="eastAsia"/>
          <w:color w:val="000000"/>
          <w:highlight w:val="none"/>
        </w:rPr>
      </w:pPr>
    </w:p>
    <w:p>
      <w:pPr>
        <w:pStyle w:val="23"/>
        <w:spacing w:before="0" w:after="0" w:line="360" w:lineRule="auto"/>
        <w:rPr>
          <w:rFonts w:hint="eastAsia"/>
          <w:color w:val="000000"/>
          <w:highlight w:val="none"/>
        </w:rPr>
      </w:pPr>
      <w:bookmarkStart w:id="116" w:name="_Toc12861"/>
      <w:r>
        <w:rPr>
          <w:rFonts w:hint="eastAsia"/>
          <w:color w:val="000000"/>
          <w:highlight w:val="none"/>
        </w:rPr>
        <w:br w:type="page"/>
      </w:r>
      <w:r>
        <w:rPr>
          <w:rFonts w:hint="eastAsia"/>
          <w:color w:val="000000"/>
          <w:highlight w:val="none"/>
        </w:rPr>
        <w:t>第五章  委托人要求</w:t>
      </w:r>
      <w:bookmarkEnd w:id="116"/>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olor w:val="000000" w:themeColor="text1"/>
          <w:sz w:val="32"/>
          <w:szCs w:val="32"/>
          <w:highlight w:val="none"/>
          <w14:textFill>
            <w14:solidFill>
              <w14:schemeClr w14:val="tx1"/>
            </w14:solidFill>
          </w14:textFill>
        </w:rPr>
      </w:pPr>
      <w:r>
        <w:rPr>
          <w:rFonts w:hint="eastAsia"/>
          <w:b/>
          <w:color w:val="000000" w:themeColor="text1"/>
          <w:sz w:val="32"/>
          <w:szCs w:val="32"/>
          <w:highlight w:val="none"/>
          <w:lang w:eastAsia="zh-CN"/>
          <w14:textFill>
            <w14:solidFill>
              <w14:schemeClr w14:val="tx1"/>
            </w14:solidFill>
          </w14:textFill>
        </w:rPr>
        <w:t>粉煤制备系统安全技术升级改造</w:t>
      </w:r>
      <w:r>
        <w:rPr>
          <w:rFonts w:hint="eastAsia" w:ascii="Times New Roman" w:hAnsi="Times New Roman" w:eastAsia="宋体"/>
          <w:b/>
          <w:color w:val="000000" w:themeColor="text1"/>
          <w:sz w:val="32"/>
          <w:szCs w:val="32"/>
          <w:highlight w:val="none"/>
          <w14:textFill>
            <w14:solidFill>
              <w14:schemeClr w14:val="tx1"/>
            </w14:solidFill>
          </w14:textFill>
        </w:rPr>
        <w:t>项目</w:t>
      </w:r>
    </w:p>
    <w:p>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ascii="Times New Roman" w:hAnsi="Times New Roman" w:eastAsia="宋体"/>
          <w:b/>
          <w:bCs/>
          <w:color w:val="000000" w:themeColor="text1"/>
          <w:sz w:val="44"/>
          <w:szCs w:val="44"/>
          <w:highlight w:val="none"/>
          <w14:textFill>
            <w14:solidFill>
              <w14:schemeClr w14:val="tx1"/>
            </w14:solidFill>
          </w14:textFill>
        </w:rPr>
      </w:pPr>
      <w:r>
        <w:rPr>
          <w:rFonts w:hint="eastAsia" w:ascii="Times New Roman" w:hAnsi="Times New Roman" w:eastAsia="宋体"/>
          <w:b/>
          <w:bCs/>
          <w:color w:val="000000" w:themeColor="text1"/>
          <w:sz w:val="44"/>
          <w:szCs w:val="44"/>
          <w:highlight w:val="none"/>
          <w14:textFill>
            <w14:solidFill>
              <w14:schemeClr w14:val="tx1"/>
            </w14:solidFill>
          </w14:textFill>
        </w:rPr>
        <w:t>设备订货技术说明书</w:t>
      </w:r>
    </w:p>
    <w:p>
      <w:pPr>
        <w:spacing w:line="360" w:lineRule="auto"/>
        <w:outlineLvl w:val="0"/>
        <w:rPr>
          <w:rFonts w:ascii="Times New Roman" w:hAnsi="Times New Roman" w:eastAsia="宋体" w:cs="Arial"/>
          <w:b/>
          <w:color w:val="000000" w:themeColor="text1"/>
          <w:sz w:val="28"/>
          <w:szCs w:val="28"/>
          <w:highlight w:val="none"/>
          <w14:textFill>
            <w14:solidFill>
              <w14:schemeClr w14:val="tx1"/>
            </w14:solidFill>
          </w14:textFill>
        </w:rPr>
      </w:pPr>
      <w:r>
        <w:rPr>
          <w:rFonts w:hint="eastAsia" w:ascii="Times New Roman" w:hAnsi="Times New Roman" w:eastAsia="宋体" w:cs="Arial"/>
          <w:b/>
          <w:color w:val="000000" w:themeColor="text1"/>
          <w:sz w:val="28"/>
          <w:szCs w:val="28"/>
          <w:highlight w:val="none"/>
          <w14:textFill>
            <w14:solidFill>
              <w14:schemeClr w14:val="tx1"/>
            </w14:solidFill>
          </w14:textFill>
        </w:rPr>
        <w:t>一、项目概况</w:t>
      </w:r>
    </w:p>
    <w:p>
      <w:pPr>
        <w:tabs>
          <w:tab w:val="left" w:pos="1275"/>
        </w:tabs>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工程项目名称：粉煤制备系统安全技术升级改造项目</w:t>
      </w:r>
    </w:p>
    <w:p>
      <w:pPr>
        <w:tabs>
          <w:tab w:val="left" w:pos="1275"/>
        </w:tabs>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车间功能：该项目为粉煤制备系统安全技术升级改造项目。为烟化炉、ISF炉、中试平台提供吹炼提供合格粉煤，采用立式磨煤机制备粉煤，产能1</w:t>
      </w:r>
      <w:r>
        <w:rPr>
          <w:rFonts w:ascii="Times New Roman" w:hAnsi="Times New Roman" w:eastAsia="宋体" w:cs="Arial"/>
          <w:color w:val="000000" w:themeColor="text1"/>
          <w:sz w:val="24"/>
          <w:highlight w:val="none"/>
          <w14:textFill>
            <w14:solidFill>
              <w14:schemeClr w14:val="tx1"/>
            </w14:solidFill>
          </w14:textFill>
        </w:rPr>
        <w:t>0t/h</w:t>
      </w:r>
      <w:r>
        <w:rPr>
          <w:rFonts w:hint="eastAsia" w:ascii="Times New Roman" w:hAnsi="Times New Roman" w:eastAsia="宋体" w:cs="Arial"/>
          <w:color w:val="000000" w:themeColor="text1"/>
          <w:sz w:val="24"/>
          <w:highlight w:val="none"/>
          <w14:textFill>
            <w14:solidFill>
              <w14:schemeClr w14:val="tx1"/>
            </w14:solidFill>
          </w14:textFill>
        </w:rPr>
        <w:t>。原煤煤种为烟煤，堆积密度～</w:t>
      </w:r>
      <w:r>
        <w:rPr>
          <w:rFonts w:ascii="Times New Roman" w:hAnsi="Times New Roman" w:eastAsia="宋体" w:cs="Arial"/>
          <w:color w:val="000000" w:themeColor="text1"/>
          <w:sz w:val="24"/>
          <w:highlight w:val="none"/>
          <w14:textFill>
            <w14:solidFill>
              <w14:schemeClr w14:val="tx1"/>
            </w14:solidFill>
          </w14:textFill>
        </w:rPr>
        <w:t>0.8t/m</w:t>
      </w:r>
      <w:r>
        <w:rPr>
          <w:rFonts w:ascii="Times New Roman" w:hAnsi="Times New Roman" w:eastAsia="宋体" w:cs="Arial"/>
          <w:color w:val="000000" w:themeColor="text1"/>
          <w:sz w:val="24"/>
          <w:highlight w:val="none"/>
          <w:vertAlign w:val="superscript"/>
          <w14:textFill>
            <w14:solidFill>
              <w14:schemeClr w14:val="tx1"/>
            </w14:solidFill>
          </w14:textFill>
        </w:rPr>
        <w:t>3</w:t>
      </w:r>
      <w:r>
        <w:rPr>
          <w:rFonts w:hint="eastAsia" w:ascii="Times New Roman" w:hAnsi="Times New Roman" w:eastAsia="宋体" w:cs="Arial"/>
          <w:color w:val="000000" w:themeColor="text1"/>
          <w:sz w:val="24"/>
          <w:highlight w:val="none"/>
          <w14:textFill>
            <w14:solidFill>
              <w14:schemeClr w14:val="tx1"/>
            </w14:solidFill>
          </w14:textFill>
        </w:rPr>
        <w:t>，粒径＜</w:t>
      </w:r>
      <w:r>
        <w:rPr>
          <w:rFonts w:hint="eastAsia" w:ascii="Times New Roman" w:hAnsi="Times New Roman" w:cs="Arial"/>
          <w:color w:val="000000" w:themeColor="text1"/>
          <w:sz w:val="24"/>
          <w:highlight w:val="none"/>
          <w:lang w:val="en-US" w:eastAsia="zh-CN"/>
          <w14:textFill>
            <w14:solidFill>
              <w14:schemeClr w14:val="tx1"/>
            </w14:solidFill>
          </w14:textFill>
        </w:rPr>
        <w:t>30</w:t>
      </w:r>
      <w:r>
        <w:rPr>
          <w:rFonts w:ascii="Times New Roman" w:hAnsi="Times New Roman" w:eastAsia="宋体" w:cs="Arial"/>
          <w:color w:val="000000" w:themeColor="text1"/>
          <w:sz w:val="24"/>
          <w:highlight w:val="none"/>
          <w14:textFill>
            <w14:solidFill>
              <w14:schemeClr w14:val="tx1"/>
            </w14:solidFill>
          </w14:textFill>
        </w:rPr>
        <w:t>mm</w:t>
      </w:r>
      <w:r>
        <w:rPr>
          <w:rFonts w:hint="eastAsia" w:ascii="Times New Roman" w:hAnsi="Times New Roman"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碳≥</w:t>
      </w:r>
      <w:r>
        <w:rPr>
          <w:rFonts w:ascii="Times New Roman" w:hAnsi="Times New Roman" w:eastAsia="宋体" w:cs="Arial"/>
          <w:color w:val="000000" w:themeColor="text1"/>
          <w:sz w:val="24"/>
          <w:highlight w:val="none"/>
          <w14:textFill>
            <w14:solidFill>
              <w14:schemeClr w14:val="tx1"/>
            </w14:solidFill>
          </w14:textFill>
        </w:rPr>
        <w:t>55%</w:t>
      </w:r>
      <w:r>
        <w:rPr>
          <w:rFonts w:hint="eastAsia" w:ascii="Times New Roman" w:hAnsi="Times New Roman"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水≤</w:t>
      </w:r>
      <w:r>
        <w:rPr>
          <w:rFonts w:ascii="Times New Roman" w:hAnsi="Times New Roman" w:eastAsia="宋体" w:cs="Arial"/>
          <w:color w:val="000000" w:themeColor="text1"/>
          <w:sz w:val="24"/>
          <w:highlight w:val="none"/>
          <w14:textFill>
            <w14:solidFill>
              <w14:schemeClr w14:val="tx1"/>
            </w14:solidFill>
          </w14:textFill>
        </w:rPr>
        <w:t>12%</w:t>
      </w:r>
      <w:r>
        <w:rPr>
          <w:rFonts w:hint="eastAsia" w:ascii="Times New Roman" w:hAnsi="Times New Roman"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硫≤</w:t>
      </w:r>
      <w:r>
        <w:rPr>
          <w:rFonts w:ascii="Times New Roman" w:hAnsi="Times New Roman" w:eastAsia="宋体" w:cs="Arial"/>
          <w:color w:val="000000" w:themeColor="text1"/>
          <w:sz w:val="24"/>
          <w:highlight w:val="none"/>
          <w14:textFill>
            <w14:solidFill>
              <w14:schemeClr w14:val="tx1"/>
            </w14:solidFill>
          </w14:textFill>
        </w:rPr>
        <w:t>1%</w:t>
      </w:r>
      <w:r>
        <w:rPr>
          <w:rFonts w:hint="eastAsia" w:ascii="Times New Roman" w:hAnsi="Times New Roman" w:eastAsia="宋体" w:cs="Arial"/>
          <w:color w:val="000000" w:themeColor="text1"/>
          <w:sz w:val="24"/>
          <w:highlight w:val="none"/>
          <w14:textFill>
            <w14:solidFill>
              <w14:schemeClr w14:val="tx1"/>
            </w14:solidFill>
          </w14:textFill>
        </w:rPr>
        <w:t>。制备粉煤，堆积密度</w:t>
      </w:r>
      <w:r>
        <w:rPr>
          <w:rFonts w:ascii="Times New Roman" w:hAnsi="Times New Roman" w:eastAsia="宋体" w:cs="Arial"/>
          <w:color w:val="000000" w:themeColor="text1"/>
          <w:sz w:val="24"/>
          <w:highlight w:val="none"/>
          <w14:textFill>
            <w14:solidFill>
              <w14:schemeClr w14:val="tx1"/>
            </w14:solidFill>
          </w14:textFill>
        </w:rPr>
        <w:t>0.5</w:t>
      </w:r>
      <w:r>
        <w:rPr>
          <w:rFonts w:hint="eastAsia" w:ascii="Times New Roman" w:hAnsi="Times New Roman" w:eastAsia="宋体" w:cs="Arial"/>
          <w:color w:val="000000" w:themeColor="text1"/>
          <w:sz w:val="24"/>
          <w:highlight w:val="none"/>
          <w14:textFill>
            <w14:solidFill>
              <w14:schemeClr w14:val="tx1"/>
            </w14:solidFill>
          </w14:textFill>
        </w:rPr>
        <w:t>～</w:t>
      </w:r>
      <w:r>
        <w:rPr>
          <w:rFonts w:ascii="Times New Roman" w:hAnsi="Times New Roman" w:eastAsia="宋体" w:cs="Arial"/>
          <w:color w:val="000000" w:themeColor="text1"/>
          <w:sz w:val="24"/>
          <w:highlight w:val="none"/>
          <w14:textFill>
            <w14:solidFill>
              <w14:schemeClr w14:val="tx1"/>
            </w14:solidFill>
          </w14:textFill>
        </w:rPr>
        <w:t>0.8t/m</w:t>
      </w:r>
      <w:r>
        <w:rPr>
          <w:rFonts w:ascii="Times New Roman" w:hAnsi="Times New Roman" w:eastAsia="宋体" w:cs="Arial"/>
          <w:color w:val="000000" w:themeColor="text1"/>
          <w:sz w:val="24"/>
          <w:highlight w:val="none"/>
          <w:vertAlign w:val="superscript"/>
          <w14:textFill>
            <w14:solidFill>
              <w14:schemeClr w14:val="tx1"/>
            </w14:solidFill>
          </w14:textFill>
        </w:rPr>
        <w:t>3</w:t>
      </w:r>
      <w:r>
        <w:rPr>
          <w:rFonts w:hint="eastAsia" w:ascii="Times New Roman" w:hAnsi="Times New Roman" w:eastAsia="宋体" w:cs="Arial"/>
          <w:color w:val="000000" w:themeColor="text1"/>
          <w:sz w:val="24"/>
          <w:highlight w:val="none"/>
          <w14:textFill>
            <w14:solidFill>
              <w14:schemeClr w14:val="tx1"/>
            </w14:solidFill>
          </w14:textFill>
        </w:rPr>
        <w:t>，水分含量≤</w:t>
      </w:r>
      <w:r>
        <w:rPr>
          <w:rFonts w:ascii="Times New Roman" w:hAnsi="Times New Roman" w:eastAsia="宋体" w:cs="Arial"/>
          <w:color w:val="000000" w:themeColor="text1"/>
          <w:sz w:val="24"/>
          <w:highlight w:val="none"/>
          <w14:textFill>
            <w14:solidFill>
              <w14:schemeClr w14:val="tx1"/>
            </w14:solidFill>
          </w14:textFill>
        </w:rPr>
        <w:t>1%</w:t>
      </w:r>
      <w:r>
        <w:rPr>
          <w:rFonts w:hint="eastAsia" w:ascii="Times New Roman" w:hAnsi="Times New Roman"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粒度</w:t>
      </w:r>
      <w:r>
        <w:rPr>
          <w:rFonts w:ascii="Times New Roman" w:hAnsi="Times New Roman" w:eastAsia="宋体" w:cs="Arial"/>
          <w:color w:val="000000" w:themeColor="text1"/>
          <w:sz w:val="24"/>
          <w:highlight w:val="none"/>
          <w14:textFill>
            <w14:solidFill>
              <w14:schemeClr w14:val="tx1"/>
            </w14:solidFill>
          </w14:textFill>
        </w:rPr>
        <w:t>85%</w:t>
      </w:r>
      <w:r>
        <w:rPr>
          <w:rFonts w:hint="eastAsia" w:ascii="Times New Roman" w:hAnsi="Times New Roman" w:eastAsia="宋体" w:cs="Arial"/>
          <w:color w:val="000000" w:themeColor="text1"/>
          <w:sz w:val="24"/>
          <w:highlight w:val="none"/>
          <w14:textFill>
            <w14:solidFill>
              <w14:schemeClr w14:val="tx1"/>
            </w14:solidFill>
          </w14:textFill>
        </w:rPr>
        <w:t>≤</w:t>
      </w:r>
      <w:r>
        <w:rPr>
          <w:rFonts w:ascii="Times New Roman" w:hAnsi="Times New Roman" w:eastAsia="宋体" w:cs="Arial"/>
          <w:color w:val="000000" w:themeColor="text1"/>
          <w:sz w:val="24"/>
          <w:highlight w:val="none"/>
          <w14:textFill>
            <w14:solidFill>
              <w14:schemeClr w14:val="tx1"/>
            </w14:solidFill>
          </w14:textFill>
        </w:rPr>
        <w:t>0.074mm</w:t>
      </w:r>
      <w:r>
        <w:rPr>
          <w:rFonts w:hint="eastAsia" w:ascii="Times New Roman" w:hAnsi="Times New Roman" w:eastAsia="宋体" w:cs="Arial"/>
          <w:color w:val="000000" w:themeColor="text1"/>
          <w:sz w:val="24"/>
          <w:highlight w:val="none"/>
          <w14:textFill>
            <w14:solidFill>
              <w14:schemeClr w14:val="tx1"/>
            </w14:solidFill>
          </w14:textFill>
        </w:rPr>
        <w:t>，</w:t>
      </w:r>
      <w:r>
        <w:rPr>
          <w:rFonts w:ascii="Times New Roman" w:hAnsi="Times New Roman" w:eastAsia="宋体" w:cs="Arial"/>
          <w:color w:val="000000" w:themeColor="text1"/>
          <w:sz w:val="24"/>
          <w:highlight w:val="none"/>
          <w14:textFill>
            <w14:solidFill>
              <w14:schemeClr w14:val="tx1"/>
            </w14:solidFill>
          </w14:textFill>
        </w:rPr>
        <w:t>100%</w:t>
      </w:r>
      <w:r>
        <w:rPr>
          <w:rFonts w:hint="eastAsia" w:ascii="Times New Roman" w:hAnsi="Times New Roman" w:eastAsia="宋体" w:cs="Arial"/>
          <w:color w:val="000000" w:themeColor="text1"/>
          <w:sz w:val="24"/>
          <w:highlight w:val="none"/>
          <w14:textFill>
            <w14:solidFill>
              <w14:schemeClr w14:val="tx1"/>
            </w14:solidFill>
          </w14:textFill>
        </w:rPr>
        <w:t>＜</w:t>
      </w:r>
      <w:r>
        <w:rPr>
          <w:rFonts w:ascii="Times New Roman" w:hAnsi="Times New Roman" w:eastAsia="宋体" w:cs="Arial"/>
          <w:color w:val="000000" w:themeColor="text1"/>
          <w:sz w:val="24"/>
          <w:highlight w:val="none"/>
          <w14:textFill>
            <w14:solidFill>
              <w14:schemeClr w14:val="tx1"/>
            </w14:solidFill>
          </w14:textFill>
        </w:rPr>
        <w:t>1mm</w:t>
      </w:r>
      <w:r>
        <w:rPr>
          <w:rFonts w:hint="eastAsia" w:ascii="Times New Roman" w:hAnsi="Times New Roman" w:eastAsia="宋体" w:cs="Arial"/>
          <w:color w:val="000000" w:themeColor="text1"/>
          <w:sz w:val="24"/>
          <w:highlight w:val="none"/>
          <w14:textFill>
            <w14:solidFill>
              <w14:schemeClr w14:val="tx1"/>
            </w14:solidFill>
          </w14:textFill>
        </w:rPr>
        <w:t>。</w:t>
      </w:r>
    </w:p>
    <w:p>
      <w:pPr>
        <w:tabs>
          <w:tab w:val="left" w:pos="1275"/>
        </w:tabs>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粉煤制备车间工作制度：</w:t>
      </w:r>
      <w:r>
        <w:rPr>
          <w:rFonts w:ascii="Times New Roman" w:hAnsi="Times New Roman" w:eastAsia="宋体" w:cs="Arial"/>
          <w:color w:val="000000" w:themeColor="text1"/>
          <w:sz w:val="24"/>
          <w:highlight w:val="none"/>
          <w14:textFill>
            <w14:solidFill>
              <w14:schemeClr w14:val="tx1"/>
            </w14:solidFill>
          </w14:textFill>
        </w:rPr>
        <w:t>330d/a</w:t>
      </w:r>
      <w:r>
        <w:rPr>
          <w:rFonts w:hint="eastAsia" w:ascii="Times New Roman" w:hAnsi="Times New Roman" w:eastAsia="宋体" w:cs="Arial"/>
          <w:color w:val="000000" w:themeColor="text1"/>
          <w:sz w:val="24"/>
          <w:highlight w:val="none"/>
          <w14:textFill>
            <w14:solidFill>
              <w14:schemeClr w14:val="tx1"/>
            </w14:solidFill>
          </w14:textFill>
        </w:rPr>
        <w:t>，</w:t>
      </w:r>
      <w:r>
        <w:rPr>
          <w:rFonts w:ascii="Times New Roman" w:hAnsi="Times New Roman" w:eastAsia="宋体" w:cs="Arial"/>
          <w:color w:val="000000" w:themeColor="text1"/>
          <w:sz w:val="24"/>
          <w:highlight w:val="none"/>
          <w14:textFill>
            <w14:solidFill>
              <w14:schemeClr w14:val="tx1"/>
            </w14:solidFill>
          </w14:textFill>
        </w:rPr>
        <w:t>16h/d</w:t>
      </w:r>
      <w:r>
        <w:rPr>
          <w:rFonts w:hint="eastAsia" w:ascii="Times New Roman" w:hAnsi="Times New Roman" w:eastAsia="宋体" w:cs="Arial"/>
          <w:color w:val="000000" w:themeColor="text1"/>
          <w:sz w:val="24"/>
          <w:highlight w:val="none"/>
          <w14:textFill>
            <w14:solidFill>
              <w14:schemeClr w14:val="tx1"/>
            </w14:solidFill>
          </w14:textFill>
        </w:rPr>
        <w:t>。</w:t>
      </w:r>
    </w:p>
    <w:p>
      <w:pPr>
        <w:tabs>
          <w:tab w:val="left" w:pos="1275"/>
        </w:tabs>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接收粉煤车间工作制度：</w:t>
      </w:r>
      <w:r>
        <w:rPr>
          <w:rFonts w:ascii="Times New Roman" w:hAnsi="Times New Roman" w:eastAsia="宋体" w:cs="Arial"/>
          <w:color w:val="000000" w:themeColor="text1"/>
          <w:sz w:val="24"/>
          <w:highlight w:val="none"/>
          <w14:textFill>
            <w14:solidFill>
              <w14:schemeClr w14:val="tx1"/>
            </w14:solidFill>
          </w14:textFill>
        </w:rPr>
        <w:t>330d/a</w:t>
      </w:r>
      <w:r>
        <w:rPr>
          <w:rFonts w:hint="eastAsia" w:ascii="Times New Roman" w:hAnsi="Times New Roman" w:eastAsia="宋体" w:cs="Arial"/>
          <w:color w:val="000000" w:themeColor="text1"/>
          <w:sz w:val="24"/>
          <w:highlight w:val="none"/>
          <w14:textFill>
            <w14:solidFill>
              <w14:schemeClr w14:val="tx1"/>
            </w14:solidFill>
          </w14:textFill>
        </w:rPr>
        <w:t>，</w:t>
      </w:r>
      <w:r>
        <w:rPr>
          <w:rFonts w:ascii="Times New Roman" w:hAnsi="Times New Roman" w:eastAsia="宋体" w:cs="Arial"/>
          <w:color w:val="000000" w:themeColor="text1"/>
          <w:sz w:val="24"/>
          <w:highlight w:val="none"/>
          <w14:textFill>
            <w14:solidFill>
              <w14:schemeClr w14:val="tx1"/>
            </w14:solidFill>
          </w14:textFill>
        </w:rPr>
        <w:t>24h/d</w:t>
      </w:r>
      <w:r>
        <w:rPr>
          <w:rFonts w:hint="eastAsia" w:ascii="Times New Roman" w:hAnsi="Times New Roman" w:eastAsia="宋体" w:cs="Arial"/>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Times New Roman" w:hAnsi="Times New Roman" w:eastAsia="宋体" w:cs="Arial"/>
          <w:b/>
          <w:color w:val="000000" w:themeColor="text1"/>
          <w:sz w:val="28"/>
          <w:szCs w:val="28"/>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ascii="Times New Roman" w:hAnsi="Times New Roman" w:eastAsia="宋体" w:cs="Arial"/>
          <w:b/>
          <w:color w:val="000000" w:themeColor="text1"/>
          <w:sz w:val="28"/>
          <w:szCs w:val="28"/>
          <w:highlight w:val="none"/>
          <w14:textFill>
            <w14:solidFill>
              <w14:schemeClr w14:val="tx1"/>
            </w14:solidFill>
          </w14:textFill>
        </w:rPr>
      </w:pPr>
      <w:r>
        <w:rPr>
          <w:rFonts w:hint="eastAsia" w:ascii="Times New Roman" w:hAnsi="Times New Roman" w:eastAsia="宋体" w:cs="Arial"/>
          <w:b/>
          <w:color w:val="000000" w:themeColor="text1"/>
          <w:sz w:val="28"/>
          <w:szCs w:val="28"/>
          <w:highlight w:val="none"/>
          <w14:textFill>
            <w14:solidFill>
              <w14:schemeClr w14:val="tx1"/>
            </w14:solidFill>
          </w14:textFill>
        </w:rPr>
        <w:t>二、项目公用工程条件</w:t>
      </w:r>
      <w:bookmarkStart w:id="117" w:name="_Toc468734926"/>
      <w:bookmarkStart w:id="118" w:name="_Toc470176679"/>
      <w:bookmarkStart w:id="119" w:name="_Toc470287820"/>
    </w:p>
    <w:p>
      <w:pPr>
        <w:spacing w:after="120" w:afterLines="50" w:line="500" w:lineRule="exact"/>
        <w:outlineLvl w:val="1"/>
        <w:rPr>
          <w:rFonts w:ascii="Times New Roman" w:hAnsi="Times New Roman" w:eastAsia="宋体" w:cs="Arial"/>
          <w:b/>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2.1</w:t>
      </w:r>
      <w:r>
        <w:rPr>
          <w:rFonts w:hint="eastAsia" w:ascii="Times New Roman" w:hAnsi="Times New Roman" w:eastAsia="宋体" w:cs="Arial"/>
          <w:b/>
          <w:bCs/>
          <w:color w:val="000000" w:themeColor="text1"/>
          <w:sz w:val="24"/>
          <w:highlight w:val="none"/>
          <w14:textFill>
            <w14:solidFill>
              <w14:schemeClr w14:val="tx1"/>
            </w14:solidFill>
          </w14:textFill>
        </w:rPr>
        <w:t>自然条件</w:t>
      </w:r>
    </w:p>
    <w:tbl>
      <w:tblPr>
        <w:tblStyle w:val="27"/>
        <w:tblW w:w="4758" w:type="pct"/>
        <w:jc w:val="center"/>
        <w:tblLayout w:type="fixed"/>
        <w:tblCellMar>
          <w:top w:w="0" w:type="dxa"/>
          <w:left w:w="0" w:type="dxa"/>
          <w:bottom w:w="0" w:type="dxa"/>
          <w:right w:w="0" w:type="dxa"/>
        </w:tblCellMar>
      </w:tblPr>
      <w:tblGrid>
        <w:gridCol w:w="888"/>
        <w:gridCol w:w="5142"/>
        <w:gridCol w:w="2817"/>
      </w:tblGrid>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b/>
                <w:color w:val="000000" w:themeColor="text1"/>
                <w:sz w:val="24"/>
                <w:szCs w:val="24"/>
                <w:highlight w:val="none"/>
                <w14:textFill>
                  <w14:solidFill>
                    <w14:schemeClr w14:val="tx1"/>
                  </w14:solidFill>
                </w14:textFill>
              </w:rPr>
            </w:pPr>
            <w:r>
              <w:rPr>
                <w:rFonts w:hint="eastAsia" w:ascii="Times New Roman" w:hAnsi="Times New Roman" w:eastAsia="宋体" w:cs="宋体"/>
                <w:b/>
                <w:color w:val="000000" w:themeColor="text1"/>
                <w:kern w:val="0"/>
                <w:sz w:val="24"/>
                <w:szCs w:val="24"/>
                <w:highlight w:val="none"/>
                <w14:textFill>
                  <w14:solidFill>
                    <w14:schemeClr w14:val="tx1"/>
                  </w14:solidFill>
                </w14:textFill>
              </w:rPr>
              <w:t>序号</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b/>
                <w:color w:val="000000" w:themeColor="text1"/>
                <w:sz w:val="24"/>
                <w:szCs w:val="24"/>
                <w:highlight w:val="none"/>
                <w14:textFill>
                  <w14:solidFill>
                    <w14:schemeClr w14:val="tx1"/>
                  </w14:solidFill>
                </w14:textFill>
              </w:rPr>
            </w:pPr>
            <w:r>
              <w:rPr>
                <w:rFonts w:hint="eastAsia" w:ascii="Times New Roman" w:hAnsi="Times New Roman" w:eastAsia="宋体" w:cs="宋体"/>
                <w:b/>
                <w:color w:val="000000" w:themeColor="text1"/>
                <w:kern w:val="0"/>
                <w:sz w:val="24"/>
                <w:szCs w:val="24"/>
                <w:highlight w:val="none"/>
                <w14:textFill>
                  <w14:solidFill>
                    <w14:schemeClr w14:val="tx1"/>
                  </w14:solidFill>
                </w14:textFill>
              </w:rPr>
              <w:t>项目</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参数</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年平均相对湿度</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0.77</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2</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常年主导风向</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南、东</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3</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夏季主导风向</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南、西南</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4</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年平均温度</w:t>
            </w:r>
            <w:r>
              <w:rPr>
                <w:rFonts w:hint="eastAsia" w:ascii="Times New Roman" w:hAnsi="Times New Roman" w:eastAsia="宋体" w:cs="宋体"/>
                <w:color w:val="000000" w:themeColor="text1"/>
                <w:kern w:val="0"/>
                <w:sz w:val="24"/>
                <w:szCs w:val="24"/>
                <w:highlight w:val="none"/>
                <w:lang w:eastAsia="zh-CN"/>
                <w14:textFill>
                  <w14:solidFill>
                    <w14:schemeClr w14:val="tx1"/>
                  </w14:solidFill>
                </w14:textFill>
              </w:rPr>
              <w:t>（</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19.6</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5</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极端最低温度</w:t>
            </w:r>
            <w:r>
              <w:rPr>
                <w:rStyle w:val="93"/>
                <w:rFonts w:hint="eastAsia" w:ascii="Times New Roman" w:hAnsi="Times New Roman" w:eastAsia="宋体" w:cs="宋体"/>
                <w:color w:val="000000" w:themeColor="text1"/>
                <w:sz w:val="24"/>
                <w:szCs w:val="24"/>
                <w:highlight w:val="none"/>
                <w:lang w:eastAsia="zh-CN"/>
                <w14:textFill>
                  <w14:solidFill>
                    <w14:schemeClr w14:val="tx1"/>
                  </w14:solidFill>
                </w14:textFill>
              </w:rPr>
              <w:t>（</w:t>
            </w:r>
            <w:r>
              <w:rPr>
                <w:rStyle w:val="93"/>
                <w:rFonts w:hint="eastAsia" w:ascii="Times New Roman" w:hAnsi="Times New Roman" w:eastAsia="宋体" w:cs="宋体"/>
                <w:color w:val="000000" w:themeColor="text1"/>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-5.4</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6</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极端最高温度</w:t>
            </w:r>
            <w:r>
              <w:rPr>
                <w:rStyle w:val="93"/>
                <w:rFonts w:hint="eastAsia" w:ascii="Times New Roman" w:hAnsi="Times New Roman" w:eastAsia="宋体" w:cs="宋体"/>
                <w:color w:val="000000" w:themeColor="text1"/>
                <w:sz w:val="24"/>
                <w:szCs w:val="24"/>
                <w:highlight w:val="none"/>
                <w:lang w:eastAsia="zh-CN"/>
                <w14:textFill>
                  <w14:solidFill>
                    <w14:schemeClr w14:val="tx1"/>
                  </w14:solidFill>
                </w14:textFill>
              </w:rPr>
              <w:t>（</w:t>
            </w:r>
            <w:r>
              <w:rPr>
                <w:rStyle w:val="93"/>
                <w:rFonts w:hint="eastAsia" w:ascii="Times New Roman" w:hAnsi="Times New Roman" w:eastAsia="宋体" w:cs="宋体"/>
                <w:color w:val="000000" w:themeColor="text1"/>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40</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7</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年平均降雨量</w:t>
            </w:r>
            <w:r>
              <w:rPr>
                <w:rFonts w:hint="eastAsia" w:ascii="Times New Roman" w:hAnsi="Times New Roman" w:eastAsia="宋体" w:cs="宋体"/>
                <w:color w:val="000000" w:themeColor="text1"/>
                <w:kern w:val="0"/>
                <w:sz w:val="24"/>
                <w:szCs w:val="24"/>
                <w:highlight w:val="none"/>
                <w:lang w:eastAsia="zh-CN"/>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mm</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1665</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8</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小时最大降雨量</w:t>
            </w:r>
            <w:r>
              <w:rPr>
                <w:rFonts w:hint="eastAsia" w:ascii="Times New Roman" w:hAnsi="Times New Roman" w:eastAsia="宋体" w:cs="宋体"/>
                <w:color w:val="000000" w:themeColor="text1"/>
                <w:kern w:val="0"/>
                <w:sz w:val="24"/>
                <w:szCs w:val="24"/>
                <w:highlight w:val="none"/>
                <w:lang w:eastAsia="zh-CN"/>
                <w14:textFill>
                  <w14:solidFill>
                    <w14:schemeClr w14:val="tx1"/>
                  </w14:solidFill>
                </w14:textFill>
              </w:rPr>
              <w:t>（</w:t>
            </w:r>
            <w:r>
              <w:rPr>
                <w:rFonts w:ascii="Times New Roman" w:hAnsi="Times New Roman" w:eastAsia="宋体"/>
                <w:color w:val="000000" w:themeColor="text1"/>
                <w:kern w:val="0"/>
                <w:sz w:val="24"/>
                <w:szCs w:val="24"/>
                <w:highlight w:val="none"/>
                <w14:textFill>
                  <w14:solidFill>
                    <w14:schemeClr w14:val="tx1"/>
                  </w14:solidFill>
                </w14:textFill>
              </w:rPr>
              <w:t>mm</w:t>
            </w:r>
            <w:r>
              <w:rPr>
                <w:rStyle w:val="93"/>
                <w:rFonts w:hint="eastAsia" w:ascii="Times New Roman" w:hAnsi="Times New Roman" w:eastAsia="宋体" w:cs="宋体"/>
                <w:color w:val="000000" w:themeColor="text1"/>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71.1</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9</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日最大降雨量</w:t>
            </w:r>
            <w:r>
              <w:rPr>
                <w:rFonts w:hint="eastAsia" w:ascii="Times New Roman" w:hAnsi="Times New Roman" w:eastAsia="宋体" w:cs="宋体"/>
                <w:color w:val="000000" w:themeColor="text1"/>
                <w:kern w:val="0"/>
                <w:sz w:val="24"/>
                <w:szCs w:val="24"/>
                <w:highlight w:val="none"/>
                <w:lang w:eastAsia="zh-CN"/>
                <w14:textFill>
                  <w14:solidFill>
                    <w14:schemeClr w14:val="tx1"/>
                  </w14:solidFill>
                </w14:textFill>
              </w:rPr>
              <w:t>（</w:t>
            </w:r>
            <w:r>
              <w:rPr>
                <w:rFonts w:ascii="Times New Roman" w:hAnsi="Times New Roman" w:eastAsia="宋体"/>
                <w:color w:val="000000" w:themeColor="text1"/>
                <w:kern w:val="0"/>
                <w:sz w:val="24"/>
                <w:szCs w:val="24"/>
                <w:highlight w:val="none"/>
                <w14:textFill>
                  <w14:solidFill>
                    <w14:schemeClr w14:val="tx1"/>
                  </w14:solidFill>
                </w14:textFill>
              </w:rPr>
              <w:t>mm</w:t>
            </w:r>
            <w:r>
              <w:rPr>
                <w:rStyle w:val="93"/>
                <w:rFonts w:hint="eastAsia" w:ascii="Times New Roman" w:hAnsi="Times New Roman" w:eastAsia="宋体" w:cs="宋体"/>
                <w:color w:val="000000" w:themeColor="text1"/>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162</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10</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海拔高度</w:t>
            </w:r>
            <w:r>
              <w:rPr>
                <w:rFonts w:hint="eastAsia" w:ascii="Times New Roman" w:hAnsi="Times New Roman" w:eastAsia="宋体" w:cs="宋体"/>
                <w:color w:val="000000" w:themeColor="text1"/>
                <w:kern w:val="0"/>
                <w:sz w:val="24"/>
                <w:szCs w:val="24"/>
                <w:highlight w:val="none"/>
                <w:lang w:eastAsia="zh-CN"/>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m</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hint="default" w:ascii="Times New Roman" w:hAnsi="Times New Roman" w:eastAsia="宋体" w:cs="宋体"/>
                <w:color w:val="000000" w:themeColor="text1"/>
                <w:sz w:val="24"/>
                <w:szCs w:val="24"/>
                <w:highlight w:val="none"/>
                <w:lang w:val="en-US" w:eastAsia="zh-CN"/>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70</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11</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夏季大气压力</w:t>
            </w:r>
            <w:r>
              <w:rPr>
                <w:rFonts w:hint="eastAsia" w:ascii="Times New Roman" w:hAnsi="Times New Roman" w:eastAsia="宋体" w:cs="宋体"/>
                <w:color w:val="000000" w:themeColor="text1"/>
                <w:kern w:val="0"/>
                <w:sz w:val="24"/>
                <w:szCs w:val="24"/>
                <w:highlight w:val="none"/>
                <w:lang w:eastAsia="zh-CN"/>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kPa</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99.71</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12</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冬季大气压力</w:t>
            </w:r>
            <w:r>
              <w:rPr>
                <w:rFonts w:hint="eastAsia" w:ascii="Times New Roman" w:hAnsi="Times New Roman" w:eastAsia="宋体" w:cs="宋体"/>
                <w:color w:val="000000" w:themeColor="text1"/>
                <w:kern w:val="0"/>
                <w:sz w:val="24"/>
                <w:szCs w:val="24"/>
                <w:highlight w:val="none"/>
                <w:lang w:eastAsia="zh-CN"/>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kPa</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101.38</w:t>
            </w:r>
          </w:p>
        </w:tc>
      </w:tr>
      <w:tr>
        <w:tblPrEx>
          <w:tblCellMar>
            <w:top w:w="0" w:type="dxa"/>
            <w:left w:w="0" w:type="dxa"/>
            <w:bottom w:w="0" w:type="dxa"/>
            <w:right w:w="0" w:type="dxa"/>
          </w:tblCellMar>
        </w:tblPrEx>
        <w:trPr>
          <w:trHeight w:val="454" w:hRule="atLeast"/>
          <w:jc w:val="center"/>
        </w:trPr>
        <w:tc>
          <w:tcPr>
            <w:tcW w:w="50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13</w:t>
            </w:r>
          </w:p>
        </w:tc>
        <w:tc>
          <w:tcPr>
            <w:tcW w:w="2906"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抗震设防烈度、设计基本地震加速度和设计地震分组</w:t>
            </w:r>
          </w:p>
        </w:tc>
        <w:tc>
          <w:tcPr>
            <w:tcW w:w="1591" w:type="pct"/>
            <w:tcBorders>
              <w:top w:val="single" w:color="000000" w:sz="4" w:space="0"/>
              <w:left w:val="single" w:color="000000" w:sz="4" w:space="0"/>
              <w:bottom w:val="single" w:color="000000" w:sz="4" w:space="0"/>
              <w:right w:val="single" w:color="000000" w:sz="4" w:space="0"/>
            </w:tcBorders>
            <w:noWrap/>
            <w:tcMar>
              <w:top w:w="0" w:type="dxa"/>
              <w:left w:w="113" w:type="dxa"/>
              <w:bottom w:w="0" w:type="dxa"/>
              <w:right w:w="113" w:type="dxa"/>
            </w:tcMar>
            <w:vAlign w:val="center"/>
          </w:tcPr>
          <w:p>
            <w:pPr>
              <w:widowControl/>
              <w:jc w:val="left"/>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 xml:space="preserve">6 </w:t>
            </w:r>
            <w:r>
              <w:rPr>
                <w:rFonts w:hint="eastAsia" w:ascii="Times New Roman" w:hAnsi="Times New Roman" w:eastAsia="宋体" w:cs="宋体"/>
                <w:color w:val="000000" w:themeColor="text1"/>
                <w:kern w:val="0"/>
                <w:sz w:val="24"/>
                <w:szCs w:val="24"/>
                <w:highlight w:val="none"/>
                <w14:textFill>
                  <w14:solidFill>
                    <w14:schemeClr w14:val="tx1"/>
                  </w14:solidFill>
                </w14:textFill>
              </w:rPr>
              <w:t>度、</w:t>
            </w:r>
            <w:r>
              <w:rPr>
                <w:rFonts w:ascii="Times New Roman" w:hAnsi="Times New Roman" w:eastAsia="宋体" w:cs="宋体"/>
                <w:color w:val="000000" w:themeColor="text1"/>
                <w:kern w:val="0"/>
                <w:sz w:val="24"/>
                <w:szCs w:val="24"/>
                <w:highlight w:val="none"/>
                <w14:textFill>
                  <w14:solidFill>
                    <w14:schemeClr w14:val="tx1"/>
                  </w14:solidFill>
                </w14:textFill>
              </w:rPr>
              <w:t>0.05g</w:t>
            </w:r>
            <w:r>
              <w:rPr>
                <w:rFonts w:hint="eastAsia" w:ascii="Times New Roman" w:hAnsi="Times New Roman" w:eastAsia="宋体" w:cs="宋体"/>
                <w:color w:val="000000" w:themeColor="text1"/>
                <w:kern w:val="0"/>
                <w:sz w:val="24"/>
                <w:szCs w:val="24"/>
                <w:highlight w:val="none"/>
                <w14:textFill>
                  <w14:solidFill>
                    <w14:schemeClr w14:val="tx1"/>
                  </w14:solidFill>
                </w14:textFill>
              </w:rPr>
              <w:t>、第一组</w:t>
            </w:r>
          </w:p>
        </w:tc>
      </w:tr>
    </w:tbl>
    <w:p>
      <w:pPr>
        <w:spacing w:after="120" w:afterLines="50" w:line="500" w:lineRule="exact"/>
        <w:outlineLvl w:val="1"/>
        <w:rPr>
          <w:rFonts w:ascii="Times New Roman" w:hAnsi="Times New Roman" w:eastAsia="宋体" w:cs="Arial"/>
          <w:b/>
          <w:bCs/>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2.2</w:t>
      </w:r>
      <w:r>
        <w:rPr>
          <w:rFonts w:hint="eastAsia" w:ascii="Times New Roman" w:hAnsi="Times New Roman" w:eastAsia="宋体" w:cs="Arial"/>
          <w:b/>
          <w:bCs/>
          <w:color w:val="000000" w:themeColor="text1"/>
          <w:sz w:val="24"/>
          <w:highlight w:val="none"/>
          <w14:textFill>
            <w14:solidFill>
              <w14:schemeClr w14:val="tx1"/>
            </w14:solidFill>
          </w14:textFill>
        </w:rPr>
        <w:t>燃料</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燃料为天然气，天然气热值按≥</w:t>
      </w:r>
      <w:r>
        <w:rPr>
          <w:rFonts w:ascii="Times New Roman" w:hAnsi="Times New Roman" w:eastAsia="宋体" w:cs="Arial"/>
          <w:color w:val="000000" w:themeColor="text1"/>
          <w:sz w:val="24"/>
          <w:highlight w:val="none"/>
          <w14:textFill>
            <w14:solidFill>
              <w14:schemeClr w14:val="tx1"/>
            </w14:solidFill>
          </w14:textFill>
        </w:rPr>
        <w:t>34MJ/m</w:t>
      </w:r>
      <w:r>
        <w:rPr>
          <w:rFonts w:ascii="Times New Roman" w:hAnsi="Times New Roman" w:eastAsia="宋体" w:cs="Arial"/>
          <w:color w:val="000000" w:themeColor="text1"/>
          <w:sz w:val="24"/>
          <w:highlight w:val="none"/>
          <w:vertAlign w:val="superscript"/>
          <w14:textFill>
            <w14:solidFill>
              <w14:schemeClr w14:val="tx1"/>
            </w14:solidFill>
          </w14:textFill>
        </w:rPr>
        <w:t>3</w:t>
      </w:r>
      <w:r>
        <w:rPr>
          <w:rFonts w:hint="eastAsia" w:ascii="Times New Roman" w:hAnsi="Times New Roman" w:eastAsia="宋体" w:cs="Arial"/>
          <w:color w:val="000000" w:themeColor="text1"/>
          <w:sz w:val="24"/>
          <w:highlight w:val="none"/>
          <w14:textFill>
            <w14:solidFill>
              <w14:schemeClr w14:val="tx1"/>
            </w14:solidFill>
          </w14:textFill>
        </w:rPr>
        <w:t>，天然气成分。</w:t>
      </w:r>
    </w:p>
    <w:p>
      <w:pPr>
        <w:keepNext w:val="0"/>
        <w:keepLines w:val="0"/>
        <w:pageBreakBefore w:val="0"/>
        <w:widowControl w:val="0"/>
        <w:kinsoku/>
        <w:wordWrap/>
        <w:overflowPunct/>
        <w:topLinePunct w:val="0"/>
        <w:autoSpaceDE/>
        <w:autoSpaceDN/>
        <w:bidi w:val="0"/>
        <w:adjustRightInd/>
        <w:snapToGrid/>
        <w:spacing w:line="360" w:lineRule="auto"/>
        <w:ind w:firstLine="3480" w:firstLineChars="1450"/>
        <w:textAlignment w:val="auto"/>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14:textFill>
            <w14:solidFill>
              <w14:schemeClr w14:val="tx1"/>
            </w14:solidFill>
          </w14:textFill>
        </w:rPr>
        <w:t>天然气成分表</w:t>
      </w:r>
    </w:p>
    <w:tbl>
      <w:tblPr>
        <w:tblStyle w:val="27"/>
        <w:tblW w:w="5000" w:type="pct"/>
        <w:jc w:val="center"/>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autofit"/>
        <w:tblCellMar>
          <w:top w:w="0" w:type="dxa"/>
          <w:left w:w="108" w:type="dxa"/>
          <w:bottom w:w="0" w:type="dxa"/>
          <w:right w:w="108" w:type="dxa"/>
        </w:tblCellMar>
      </w:tblPr>
      <w:tblGrid>
        <w:gridCol w:w="1084"/>
        <w:gridCol w:w="1136"/>
        <w:gridCol w:w="927"/>
        <w:gridCol w:w="1221"/>
        <w:gridCol w:w="1610"/>
        <w:gridCol w:w="909"/>
        <w:gridCol w:w="1100"/>
        <w:gridCol w:w="1100"/>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7"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CO</w:t>
            </w:r>
            <w:r>
              <w:rPr>
                <w:rFonts w:ascii="Times New Roman" w:hAnsi="Times New Roman" w:eastAsia="宋体"/>
                <w:color w:val="000000" w:themeColor="text1"/>
                <w:sz w:val="24"/>
                <w:szCs w:val="24"/>
                <w:highlight w:val="none"/>
                <w:vertAlign w:val="subscript"/>
                <w14:textFill>
                  <w14:solidFill>
                    <w14:schemeClr w14:val="tx1"/>
                  </w14:solidFill>
                </w14:textFill>
              </w:rPr>
              <w:t>2</w:t>
            </w:r>
            <w:r>
              <w:rPr>
                <w:rFonts w:ascii="Times New Roman" w:hAnsi="Times New Roman" w:eastAsia="宋体"/>
                <w:color w:val="000000" w:themeColor="text1"/>
                <w:sz w:val="24"/>
                <w:szCs w:val="24"/>
                <w:highlight w:val="none"/>
                <w14:textFill>
                  <w14:solidFill>
                    <w14:schemeClr w14:val="tx1"/>
                  </w14:solidFill>
                </w14:textFill>
              </w:rPr>
              <w:t>/%</w:t>
            </w:r>
          </w:p>
        </w:tc>
        <w:tc>
          <w:tcPr>
            <w:tcW w:w="625"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CH</w:t>
            </w:r>
            <w:r>
              <w:rPr>
                <w:rFonts w:ascii="Times New Roman" w:hAnsi="Times New Roman" w:eastAsia="宋体"/>
                <w:color w:val="000000" w:themeColor="text1"/>
                <w:sz w:val="24"/>
                <w:szCs w:val="24"/>
                <w:highlight w:val="none"/>
                <w:vertAlign w:val="subscript"/>
                <w14:textFill>
                  <w14:solidFill>
                    <w14:schemeClr w14:val="tx1"/>
                  </w14:solidFill>
                </w14:textFill>
              </w:rPr>
              <w:t>4</w:t>
            </w:r>
            <w:r>
              <w:rPr>
                <w:rFonts w:ascii="Times New Roman" w:hAnsi="Times New Roman" w:eastAsia="宋体"/>
                <w:color w:val="000000" w:themeColor="text1"/>
                <w:sz w:val="24"/>
                <w:szCs w:val="24"/>
                <w:highlight w:val="none"/>
                <w14:textFill>
                  <w14:solidFill>
                    <w14:schemeClr w14:val="tx1"/>
                  </w14:solidFill>
                </w14:textFill>
              </w:rPr>
              <w:t>/%</w:t>
            </w:r>
          </w:p>
        </w:tc>
        <w:tc>
          <w:tcPr>
            <w:tcW w:w="510"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C</w:t>
            </w:r>
            <w:r>
              <w:rPr>
                <w:rFonts w:ascii="Times New Roman" w:hAnsi="Times New Roman" w:eastAsia="宋体"/>
                <w:color w:val="000000" w:themeColor="text1"/>
                <w:sz w:val="24"/>
                <w:szCs w:val="24"/>
                <w:highlight w:val="none"/>
                <w:vertAlign w:val="subscript"/>
                <w14:textFill>
                  <w14:solidFill>
                    <w14:schemeClr w14:val="tx1"/>
                  </w14:solidFill>
                </w14:textFill>
              </w:rPr>
              <w:t>2</w:t>
            </w:r>
            <w:r>
              <w:rPr>
                <w:rFonts w:ascii="Times New Roman" w:hAnsi="Times New Roman" w:eastAsia="宋体"/>
                <w:color w:val="000000" w:themeColor="text1"/>
                <w:sz w:val="24"/>
                <w:szCs w:val="24"/>
                <w:highlight w:val="none"/>
                <w14:textFill>
                  <w14:solidFill>
                    <w14:schemeClr w14:val="tx1"/>
                  </w14:solidFill>
                </w14:textFill>
              </w:rPr>
              <w:t>H</w:t>
            </w:r>
            <w:r>
              <w:rPr>
                <w:rFonts w:ascii="Times New Roman" w:hAnsi="Times New Roman" w:eastAsia="宋体"/>
                <w:color w:val="000000" w:themeColor="text1"/>
                <w:sz w:val="24"/>
                <w:szCs w:val="24"/>
                <w:highlight w:val="none"/>
                <w:vertAlign w:val="subscript"/>
                <w14:textFill>
                  <w14:solidFill>
                    <w14:schemeClr w14:val="tx1"/>
                  </w14:solidFill>
                </w14:textFill>
              </w:rPr>
              <w:t>6</w:t>
            </w:r>
            <w:r>
              <w:rPr>
                <w:rFonts w:ascii="Times New Roman" w:hAnsi="Times New Roman" w:eastAsia="宋体"/>
                <w:color w:val="000000" w:themeColor="text1"/>
                <w:sz w:val="24"/>
                <w:szCs w:val="24"/>
                <w:highlight w:val="none"/>
                <w14:textFill>
                  <w14:solidFill>
                    <w14:schemeClr w14:val="tx1"/>
                  </w14:solidFill>
                </w14:textFill>
              </w:rPr>
              <w:t>/%</w:t>
            </w:r>
          </w:p>
        </w:tc>
        <w:tc>
          <w:tcPr>
            <w:tcW w:w="672"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N</w:t>
            </w:r>
            <w:r>
              <w:rPr>
                <w:rFonts w:ascii="Times New Roman" w:hAnsi="Times New Roman" w:eastAsia="宋体"/>
                <w:color w:val="000000" w:themeColor="text1"/>
                <w:sz w:val="24"/>
                <w:szCs w:val="24"/>
                <w:highlight w:val="none"/>
                <w:vertAlign w:val="subscript"/>
                <w14:textFill>
                  <w14:solidFill>
                    <w14:schemeClr w14:val="tx1"/>
                  </w14:solidFill>
                </w14:textFill>
              </w:rPr>
              <w:t>2</w:t>
            </w:r>
            <w:r>
              <w:rPr>
                <w:rFonts w:ascii="Times New Roman" w:hAnsi="Times New Roman" w:eastAsia="宋体"/>
                <w:color w:val="000000" w:themeColor="text1"/>
                <w:sz w:val="24"/>
                <w:szCs w:val="24"/>
                <w:highlight w:val="none"/>
                <w14:textFill>
                  <w14:solidFill>
                    <w14:schemeClr w14:val="tx1"/>
                  </w14:solidFill>
                </w14:textFill>
              </w:rPr>
              <w:t>/%</w:t>
            </w:r>
          </w:p>
        </w:tc>
        <w:tc>
          <w:tcPr>
            <w:tcW w:w="886"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C</w:t>
            </w:r>
            <w:r>
              <w:rPr>
                <w:rFonts w:ascii="Times New Roman" w:hAnsi="Times New Roman" w:eastAsia="宋体"/>
                <w:color w:val="000000" w:themeColor="text1"/>
                <w:sz w:val="24"/>
                <w:szCs w:val="24"/>
                <w:highlight w:val="none"/>
                <w:vertAlign w:val="subscript"/>
                <w14:textFill>
                  <w14:solidFill>
                    <w14:schemeClr w14:val="tx1"/>
                  </w14:solidFill>
                </w14:textFill>
              </w:rPr>
              <w:t>3</w:t>
            </w:r>
            <w:r>
              <w:rPr>
                <w:rFonts w:ascii="Times New Roman" w:hAnsi="Times New Roman" w:eastAsia="宋体"/>
                <w:color w:val="000000" w:themeColor="text1"/>
                <w:sz w:val="24"/>
                <w:szCs w:val="24"/>
                <w:highlight w:val="none"/>
                <w14:textFill>
                  <w14:solidFill>
                    <w14:schemeClr w14:val="tx1"/>
                  </w14:solidFill>
                </w14:textFill>
              </w:rPr>
              <w:t>H</w:t>
            </w:r>
            <w:r>
              <w:rPr>
                <w:rFonts w:ascii="Times New Roman" w:hAnsi="Times New Roman" w:eastAsia="宋体"/>
                <w:color w:val="000000" w:themeColor="text1"/>
                <w:sz w:val="24"/>
                <w:szCs w:val="24"/>
                <w:highlight w:val="none"/>
                <w:vertAlign w:val="subscript"/>
                <w14:textFill>
                  <w14:solidFill>
                    <w14:schemeClr w14:val="tx1"/>
                  </w14:solidFill>
                </w14:textFill>
              </w:rPr>
              <w:t>8</w:t>
            </w:r>
            <w:r>
              <w:rPr>
                <w:rFonts w:ascii="Times New Roman" w:hAnsi="Times New Roman" w:eastAsia="宋体"/>
                <w:color w:val="000000" w:themeColor="text1"/>
                <w:sz w:val="24"/>
                <w:szCs w:val="24"/>
                <w:highlight w:val="none"/>
                <w14:textFill>
                  <w14:solidFill>
                    <w14:schemeClr w14:val="tx1"/>
                  </w14:solidFill>
                </w14:textFill>
              </w:rPr>
              <w:t>/%</w:t>
            </w:r>
          </w:p>
        </w:tc>
        <w:tc>
          <w:tcPr>
            <w:tcW w:w="500"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C</w:t>
            </w:r>
            <w:r>
              <w:rPr>
                <w:rFonts w:ascii="Times New Roman" w:hAnsi="Times New Roman" w:eastAsia="宋体"/>
                <w:color w:val="000000" w:themeColor="text1"/>
                <w:sz w:val="24"/>
                <w:szCs w:val="24"/>
                <w:highlight w:val="none"/>
                <w:vertAlign w:val="subscript"/>
                <w14:textFill>
                  <w14:solidFill>
                    <w14:schemeClr w14:val="tx1"/>
                  </w14:solidFill>
                </w14:textFill>
              </w:rPr>
              <w:t>4</w:t>
            </w:r>
            <w:r>
              <w:rPr>
                <w:rFonts w:ascii="Times New Roman" w:hAnsi="Times New Roman" w:eastAsia="宋体"/>
                <w:color w:val="000000" w:themeColor="text1"/>
                <w:sz w:val="24"/>
                <w:szCs w:val="24"/>
                <w:highlight w:val="none"/>
                <w14:textFill>
                  <w14:solidFill>
                    <w14:schemeClr w14:val="tx1"/>
                  </w14:solidFill>
                </w14:textFill>
              </w:rPr>
              <w:t>H</w:t>
            </w:r>
            <w:r>
              <w:rPr>
                <w:rFonts w:ascii="Times New Roman" w:hAnsi="Times New Roman" w:eastAsia="宋体"/>
                <w:color w:val="000000" w:themeColor="text1"/>
                <w:sz w:val="24"/>
                <w:szCs w:val="24"/>
                <w:highlight w:val="none"/>
                <w:vertAlign w:val="subscript"/>
                <w14:textFill>
                  <w14:solidFill>
                    <w14:schemeClr w14:val="tx1"/>
                  </w14:solidFill>
                </w14:textFill>
              </w:rPr>
              <w:t>10</w:t>
            </w:r>
            <w:r>
              <w:rPr>
                <w:rFonts w:ascii="Times New Roman" w:hAnsi="Times New Roman" w:eastAsia="宋体"/>
                <w:color w:val="000000" w:themeColor="text1"/>
                <w:sz w:val="24"/>
                <w:szCs w:val="24"/>
                <w:highlight w:val="none"/>
                <w14:textFill>
                  <w14:solidFill>
                    <w14:schemeClr w14:val="tx1"/>
                  </w14:solidFill>
                </w14:textFill>
              </w:rPr>
              <w:t>/%</w:t>
            </w:r>
          </w:p>
        </w:tc>
        <w:tc>
          <w:tcPr>
            <w:tcW w:w="605" w:type="pct"/>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S/%</w:t>
            </w:r>
          </w:p>
        </w:tc>
        <w:tc>
          <w:tcPr>
            <w:tcW w:w="605"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Qnet/MJ</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597"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2.672</w:t>
            </w:r>
          </w:p>
        </w:tc>
        <w:tc>
          <w:tcPr>
            <w:tcW w:w="625"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91.114</w:t>
            </w:r>
          </w:p>
        </w:tc>
        <w:tc>
          <w:tcPr>
            <w:tcW w:w="510"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5.145</w:t>
            </w:r>
          </w:p>
        </w:tc>
        <w:tc>
          <w:tcPr>
            <w:tcW w:w="672"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0.427</w:t>
            </w:r>
          </w:p>
        </w:tc>
        <w:tc>
          <w:tcPr>
            <w:tcW w:w="886"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0.408</w:t>
            </w:r>
          </w:p>
        </w:tc>
        <w:tc>
          <w:tcPr>
            <w:tcW w:w="500"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0.134</w:t>
            </w:r>
          </w:p>
        </w:tc>
        <w:tc>
          <w:tcPr>
            <w:tcW w:w="605" w:type="pct"/>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0.225</w:t>
            </w:r>
          </w:p>
        </w:tc>
        <w:tc>
          <w:tcPr>
            <w:tcW w:w="605" w:type="pct"/>
            <w:shd w:val="clear" w:color="auto" w:fill="auto"/>
            <w:tcMar>
              <w:left w:w="0" w:type="dxa"/>
              <w:right w:w="0" w:type="dxa"/>
            </w:tcMar>
            <w:vAlign w:val="center"/>
          </w:tcPr>
          <w:p>
            <w:pPr>
              <w:spacing w:line="240" w:lineRule="exact"/>
              <w:jc w:val="center"/>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34.18</w:t>
            </w:r>
          </w:p>
        </w:tc>
      </w:tr>
    </w:tbl>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Times New Roman" w:hAnsi="Times New Roman" w:eastAsia="宋体"/>
          <w:color w:val="000000" w:themeColor="text1"/>
          <w:sz w:val="24"/>
          <w:szCs w:val="22"/>
          <w:highlight w:val="none"/>
          <w14:textFill>
            <w14:solidFill>
              <w14:schemeClr w14:val="tx1"/>
            </w14:solidFill>
          </w14:textFill>
        </w:rPr>
      </w:pPr>
      <w:r>
        <w:rPr>
          <w:rFonts w:hint="eastAsia" w:ascii="Times New Roman" w:hAnsi="Times New Roman" w:eastAsia="宋体"/>
          <w:color w:val="000000" w:themeColor="text1"/>
          <w:sz w:val="24"/>
          <w:szCs w:val="22"/>
          <w:highlight w:val="none"/>
          <w14:textFill>
            <w14:solidFill>
              <w14:schemeClr w14:val="tx1"/>
            </w14:solidFill>
          </w14:textFill>
        </w:rPr>
        <w:t>供气压力：用气车间入口处</w:t>
      </w:r>
      <w:r>
        <w:rPr>
          <w:rFonts w:ascii="Times New Roman" w:hAnsi="Times New Roman" w:eastAsia="宋体"/>
          <w:color w:val="000000" w:themeColor="text1"/>
          <w:sz w:val="24"/>
          <w:szCs w:val="22"/>
          <w:highlight w:val="none"/>
          <w14:textFill>
            <w14:solidFill>
              <w14:schemeClr w14:val="tx1"/>
            </w14:solidFill>
          </w14:textFill>
        </w:rPr>
        <w:t>80</w:t>
      </w:r>
      <w:r>
        <w:rPr>
          <w:rFonts w:hint="eastAsia" w:ascii="Times New Roman" w:hAnsi="Times New Roman" w:eastAsia="宋体"/>
          <w:color w:val="000000" w:themeColor="text1"/>
          <w:sz w:val="24"/>
          <w:szCs w:val="22"/>
          <w:highlight w:val="none"/>
          <w14:textFill>
            <w14:solidFill>
              <w14:schemeClr w14:val="tx1"/>
            </w14:solidFill>
          </w14:textFill>
        </w:rPr>
        <w:t>～</w:t>
      </w:r>
      <w:r>
        <w:rPr>
          <w:rFonts w:ascii="Times New Roman" w:hAnsi="Times New Roman" w:eastAsia="宋体"/>
          <w:color w:val="000000" w:themeColor="text1"/>
          <w:sz w:val="24"/>
          <w:szCs w:val="22"/>
          <w:highlight w:val="none"/>
          <w14:textFill>
            <w14:solidFill>
              <w14:schemeClr w14:val="tx1"/>
            </w14:solidFill>
          </w14:textFill>
        </w:rPr>
        <w:t>100kPa</w:t>
      </w:r>
      <w:r>
        <w:rPr>
          <w:rFonts w:hint="eastAsia" w:ascii="Times New Roman" w:hAnsi="Times New Roman" w:eastAsia="宋体"/>
          <w:color w:val="000000" w:themeColor="text1"/>
          <w:sz w:val="24"/>
          <w:szCs w:val="2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宋体" w:cs="Arial"/>
          <w:b/>
          <w:bCs/>
          <w:color w:val="000000" w:themeColor="text1"/>
          <w:sz w:val="24"/>
          <w:highlight w:val="none"/>
          <w14:textFill>
            <w14:solidFill>
              <w14:schemeClr w14:val="tx1"/>
            </w14:solidFill>
          </w14:textFill>
        </w:rPr>
      </w:pPr>
      <w:bookmarkStart w:id="120" w:name="_Toc468179741"/>
      <w:r>
        <w:rPr>
          <w:rFonts w:ascii="Times New Roman" w:hAnsi="Times New Roman" w:eastAsia="宋体" w:cs="Arial"/>
          <w:b/>
          <w:bCs/>
          <w:color w:val="000000" w:themeColor="text1"/>
          <w:sz w:val="24"/>
          <w:highlight w:val="none"/>
          <w14:textFill>
            <w14:solidFill>
              <w14:schemeClr w14:val="tx1"/>
            </w14:solidFill>
          </w14:textFill>
        </w:rPr>
        <w:t>2.</w:t>
      </w:r>
      <w:bookmarkEnd w:id="120"/>
      <w:r>
        <w:rPr>
          <w:rFonts w:ascii="Times New Roman" w:hAnsi="Times New Roman" w:eastAsia="宋体" w:cs="Arial"/>
          <w:b/>
          <w:bCs/>
          <w:color w:val="000000" w:themeColor="text1"/>
          <w:sz w:val="24"/>
          <w:highlight w:val="none"/>
          <w14:textFill>
            <w14:solidFill>
              <w14:schemeClr w14:val="tx1"/>
            </w14:solidFill>
          </w14:textFill>
        </w:rPr>
        <w:t>3</w:t>
      </w:r>
      <w:r>
        <w:rPr>
          <w:rFonts w:hint="eastAsia" w:ascii="Times New Roman" w:hAnsi="Times New Roman" w:eastAsia="宋体" w:cs="Arial"/>
          <w:b/>
          <w:bCs/>
          <w:color w:val="000000" w:themeColor="text1"/>
          <w:sz w:val="24"/>
          <w:highlight w:val="none"/>
          <w14:textFill>
            <w14:solidFill>
              <w14:schemeClr w14:val="tx1"/>
            </w14:solidFill>
          </w14:textFill>
        </w:rPr>
        <w:t>供电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Arial"/>
          <w:bCs/>
          <w:color w:val="000000" w:themeColor="text1"/>
          <w:sz w:val="24"/>
          <w:highlight w:val="none"/>
          <w14:textFill>
            <w14:solidFill>
              <w14:schemeClr w14:val="tx1"/>
            </w14:solidFill>
          </w14:textFill>
        </w:rPr>
      </w:pPr>
      <w:r>
        <w:rPr>
          <w:rFonts w:ascii="Times New Roman" w:hAnsi="Times New Roman" w:eastAsia="宋体" w:cs="Arial"/>
          <w:bCs/>
          <w:color w:val="000000" w:themeColor="text1"/>
          <w:sz w:val="24"/>
          <w:highlight w:val="none"/>
          <w14:textFill>
            <w14:solidFill>
              <w14:schemeClr w14:val="tx1"/>
            </w14:solidFill>
          </w14:textFill>
        </w:rPr>
        <w:t>2.3.1</w:t>
      </w:r>
      <w:r>
        <w:rPr>
          <w:rFonts w:hint="eastAsia" w:ascii="Times New Roman" w:hAnsi="Times New Roman" w:eastAsia="宋体" w:cs="Arial"/>
          <w:bCs/>
          <w:color w:val="000000" w:themeColor="text1"/>
          <w:sz w:val="24"/>
          <w:highlight w:val="none"/>
          <w14:textFill>
            <w14:solidFill>
              <w14:schemeClr w14:val="tx1"/>
            </w14:solidFill>
          </w14:textFill>
        </w:rPr>
        <w:t>供电标准</w:t>
      </w:r>
    </w:p>
    <w:tbl>
      <w:tblPr>
        <w:tblStyle w:val="27"/>
        <w:tblW w:w="4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3206"/>
        <w:gridCol w:w="3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657" w:type="pct"/>
            <w:noWrap/>
            <w:tcMar>
              <w:top w:w="15" w:type="dxa"/>
              <w:left w:w="15" w:type="dxa"/>
              <w:right w:w="15" w:type="dxa"/>
            </w:tcMar>
            <w:vAlign w:val="center"/>
          </w:tcPr>
          <w:p>
            <w:pPr>
              <w:widowControl/>
              <w:jc w:val="center"/>
              <w:textAlignment w:val="center"/>
              <w:rPr>
                <w:rFonts w:ascii="Times New Roman" w:hAnsi="Times New Roman" w:eastAsia="宋体" w:cs="宋体"/>
                <w:b/>
                <w:color w:val="000000" w:themeColor="text1"/>
                <w:sz w:val="24"/>
                <w:szCs w:val="24"/>
                <w:highlight w:val="none"/>
                <w14:textFill>
                  <w14:solidFill>
                    <w14:schemeClr w14:val="tx1"/>
                  </w14:solidFill>
                </w14:textFill>
              </w:rPr>
            </w:pPr>
            <w:r>
              <w:rPr>
                <w:rFonts w:hint="eastAsia" w:ascii="Times New Roman" w:hAnsi="Times New Roman" w:eastAsia="宋体" w:cs="宋体"/>
                <w:b/>
                <w:color w:val="000000" w:themeColor="text1"/>
                <w:kern w:val="0"/>
                <w:sz w:val="24"/>
                <w:szCs w:val="24"/>
                <w:highlight w:val="none"/>
                <w14:textFill>
                  <w14:solidFill>
                    <w14:schemeClr w14:val="tx1"/>
                  </w14:solidFill>
                </w14:textFill>
              </w:rPr>
              <w:t>序号</w:t>
            </w:r>
          </w:p>
        </w:tc>
        <w:tc>
          <w:tcPr>
            <w:tcW w:w="2132" w:type="pct"/>
            <w:noWrap/>
            <w:tcMar>
              <w:top w:w="15" w:type="dxa"/>
              <w:left w:w="15" w:type="dxa"/>
              <w:right w:w="15" w:type="dxa"/>
            </w:tcMar>
            <w:vAlign w:val="center"/>
          </w:tcPr>
          <w:p>
            <w:pPr>
              <w:widowControl/>
              <w:jc w:val="center"/>
              <w:textAlignment w:val="center"/>
              <w:rPr>
                <w:rFonts w:ascii="Times New Roman" w:hAnsi="Times New Roman" w:eastAsia="宋体" w:cs="宋体"/>
                <w:b/>
                <w:color w:val="000000" w:themeColor="text1"/>
                <w:sz w:val="24"/>
                <w:szCs w:val="24"/>
                <w:highlight w:val="none"/>
                <w14:textFill>
                  <w14:solidFill>
                    <w14:schemeClr w14:val="tx1"/>
                  </w14:solidFill>
                </w14:textFill>
              </w:rPr>
            </w:pPr>
            <w:r>
              <w:rPr>
                <w:rFonts w:hint="eastAsia" w:ascii="Times New Roman" w:hAnsi="Times New Roman" w:eastAsia="宋体" w:cs="宋体"/>
                <w:b/>
                <w:color w:val="000000" w:themeColor="text1"/>
                <w:kern w:val="0"/>
                <w:sz w:val="24"/>
                <w:szCs w:val="24"/>
                <w:highlight w:val="none"/>
                <w14:textFill>
                  <w14:solidFill>
                    <w14:schemeClr w14:val="tx1"/>
                  </w14:solidFill>
                </w14:textFill>
              </w:rPr>
              <w:t>项目</w:t>
            </w:r>
          </w:p>
        </w:tc>
        <w:tc>
          <w:tcPr>
            <w:tcW w:w="2210" w:type="pct"/>
            <w:noWrap/>
            <w:tcMar>
              <w:top w:w="15" w:type="dxa"/>
              <w:left w:w="15" w:type="dxa"/>
              <w:right w:w="15" w:type="dxa"/>
            </w:tcMar>
            <w:vAlign w:val="center"/>
          </w:tcPr>
          <w:p>
            <w:pPr>
              <w:widowControl/>
              <w:jc w:val="center"/>
              <w:textAlignment w:val="center"/>
              <w:rPr>
                <w:rFonts w:ascii="Times New Roman" w:hAnsi="Times New Roman" w:eastAsia="宋体" w:cs="宋体"/>
                <w:b/>
                <w:color w:val="000000" w:themeColor="text1"/>
                <w:sz w:val="24"/>
                <w:szCs w:val="24"/>
                <w:highlight w:val="none"/>
                <w14:textFill>
                  <w14:solidFill>
                    <w14:schemeClr w14:val="tx1"/>
                  </w14:solidFill>
                </w14:textFill>
              </w:rPr>
            </w:pPr>
            <w:r>
              <w:rPr>
                <w:rFonts w:hint="eastAsia" w:ascii="Times New Roman" w:hAnsi="Times New Roman" w:eastAsia="宋体" w:cs="宋体"/>
                <w:b/>
                <w:color w:val="000000" w:themeColor="text1"/>
                <w:kern w:val="0"/>
                <w:sz w:val="24"/>
                <w:szCs w:val="24"/>
                <w:highlight w:val="none"/>
                <w14:textFill>
                  <w14:solidFill>
                    <w14:schemeClr w14:val="tx1"/>
                  </w14:solidFill>
                </w14:textFill>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7" w:type="pct"/>
            <w:vMerge w:val="restart"/>
            <w:noWrap/>
            <w:tcMar>
              <w:top w:w="15" w:type="dxa"/>
              <w:left w:w="15" w:type="dxa"/>
              <w:right w:w="15"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c>
          <w:tcPr>
            <w:tcW w:w="2132" w:type="pct"/>
            <w:vMerge w:val="restart"/>
            <w:noWrap/>
            <w:tcMar>
              <w:top w:w="15" w:type="dxa"/>
              <w:left w:w="15" w:type="dxa"/>
              <w:right w:w="15"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供电标准</w:t>
            </w:r>
          </w:p>
        </w:tc>
        <w:tc>
          <w:tcPr>
            <w:tcW w:w="2210" w:type="pct"/>
            <w:noWrap/>
            <w:tcMar>
              <w:top w:w="15" w:type="dxa"/>
              <w:left w:w="15" w:type="dxa"/>
              <w:right w:w="15"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国际标准：</w:t>
            </w:r>
            <w:r>
              <w:rPr>
                <w:rFonts w:ascii="Times New Roman" w:hAnsi="Times New Roman" w:eastAsia="宋体" w:cs="宋体"/>
                <w:color w:val="000000" w:themeColor="text1"/>
                <w:kern w:val="0"/>
                <w:sz w:val="24"/>
                <w:szCs w:val="24"/>
                <w:highlight w:val="none"/>
                <w14:textFill>
                  <w14:solidFill>
                    <w14:schemeClr w14:val="tx1"/>
                  </w14:solidFill>
                </w14:textFill>
              </w:rPr>
              <w:t>IEC</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EMC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7"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132"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210" w:type="pct"/>
            <w:noWrap/>
            <w:tcMar>
              <w:top w:w="15" w:type="dxa"/>
              <w:left w:w="15" w:type="dxa"/>
              <w:right w:w="15"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国内标准：</w:t>
            </w:r>
            <w:r>
              <w:rPr>
                <w:rFonts w:ascii="Times New Roman" w:hAnsi="Times New Roman" w:eastAsia="宋体" w:cs="宋体"/>
                <w:color w:val="000000" w:themeColor="text1"/>
                <w:kern w:val="0"/>
                <w:sz w:val="24"/>
                <w:szCs w:val="24"/>
                <w:highlight w:val="none"/>
                <w14:textFill>
                  <w14:solidFill>
                    <w14:schemeClr w14:val="tx1"/>
                  </w14:solidFill>
                </w14:textFill>
              </w:rPr>
              <w:t>GB</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GB/T</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DL/T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7" w:type="pct"/>
            <w:vMerge w:val="restart"/>
            <w:noWrap/>
            <w:tcMar>
              <w:top w:w="15" w:type="dxa"/>
              <w:left w:w="15" w:type="dxa"/>
              <w:right w:w="15"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2</w:t>
            </w:r>
          </w:p>
        </w:tc>
        <w:tc>
          <w:tcPr>
            <w:tcW w:w="2132" w:type="pct"/>
            <w:vMerge w:val="restart"/>
            <w:noWrap/>
            <w:tcMar>
              <w:top w:w="15" w:type="dxa"/>
              <w:left w:w="15" w:type="dxa"/>
              <w:right w:w="15" w:type="dxa"/>
            </w:tcMar>
            <w:vAlign w:val="center"/>
          </w:tcPr>
          <w:p>
            <w:pPr>
              <w:widowControl/>
              <w:jc w:val="center"/>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低压供电网络</w:t>
            </w:r>
            <w:r>
              <w:rPr>
                <w:rFonts w:hint="eastAsia" w:ascii="Times New Roman" w:hAnsi="Times New Roman" w:eastAsia="宋体" w:cs="宋体"/>
                <w:color w:val="000000" w:themeColor="text1"/>
                <w:kern w:val="0"/>
                <w:sz w:val="24"/>
                <w:szCs w:val="24"/>
                <w:highlight w:val="none"/>
                <w:lang w:eastAsia="zh-CN"/>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380/220V</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p>
        </w:tc>
        <w:tc>
          <w:tcPr>
            <w:tcW w:w="2210" w:type="pct"/>
            <w:noWrap/>
            <w:tcMar>
              <w:top w:w="15" w:type="dxa"/>
              <w:left w:w="15" w:type="dxa"/>
              <w:right w:w="15"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允许偏差：</w:t>
            </w:r>
            <w:r>
              <w:rPr>
                <w:rFonts w:ascii="Times New Roman" w:hAnsi="Times New Roman" w:eastAsia="宋体" w:cs="宋体"/>
                <w:color w:val="000000" w:themeColor="text1"/>
                <w:kern w:val="0"/>
                <w:sz w:val="24"/>
                <w:szCs w:val="24"/>
                <w:highlight w:val="none"/>
                <w14:textFill>
                  <w14:solidFill>
                    <w14:schemeClr w14:val="tx1"/>
                  </w14:solidFill>
                </w14:textFill>
              </w:rPr>
              <w:t>+7</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7"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132"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210" w:type="pct"/>
            <w:noWrap/>
            <w:tcMar>
              <w:top w:w="15" w:type="dxa"/>
              <w:left w:w="15" w:type="dxa"/>
              <w:right w:w="15"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频率：</w:t>
            </w:r>
            <w:r>
              <w:rPr>
                <w:rFonts w:ascii="Times New Roman" w:hAnsi="Times New Roman" w:eastAsia="宋体" w:cs="宋体"/>
                <w:color w:val="000000" w:themeColor="text1"/>
                <w:kern w:val="0"/>
                <w:sz w:val="24"/>
                <w:szCs w:val="24"/>
                <w:highlight w:val="none"/>
                <w14:textFill>
                  <w14:solidFill>
                    <w14:schemeClr w14:val="tx1"/>
                  </w14:solidFill>
                </w14:textFill>
              </w:rPr>
              <w:t>50</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Calibri"/>
                <w:color w:val="000000" w:themeColor="text1"/>
                <w:kern w:val="0"/>
                <w:sz w:val="24"/>
                <w:szCs w:val="24"/>
                <w:highlight w:val="none"/>
                <w14:textFill>
                  <w14:solidFill>
                    <w14:schemeClr w14:val="tx1"/>
                  </w14:solidFill>
                </w14:textFill>
              </w:rPr>
              <w:t>0.5Hz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7"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132"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210" w:type="pct"/>
            <w:noWrap/>
            <w:tcMar>
              <w:top w:w="15" w:type="dxa"/>
              <w:left w:w="15" w:type="dxa"/>
              <w:right w:w="15"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相数：</w:t>
            </w:r>
            <w:r>
              <w:rPr>
                <w:rFonts w:ascii="Times New Roman" w:hAnsi="Times New Roman" w:eastAsia="宋体" w:cs="宋体"/>
                <w:color w:val="000000" w:themeColor="text1"/>
                <w:kern w:val="0"/>
                <w:sz w:val="24"/>
                <w:szCs w:val="24"/>
                <w:highlight w:val="none"/>
                <w14:textFill>
                  <w14:solidFill>
                    <w14:schemeClr w14:val="tx1"/>
                  </w14:solidFill>
                </w14:textFill>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7"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132"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210" w:type="pct"/>
            <w:noWrap/>
            <w:tcMar>
              <w:top w:w="15" w:type="dxa"/>
              <w:left w:w="15" w:type="dxa"/>
              <w:right w:w="15"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电压总谐波畸变率</w:t>
            </w:r>
            <w:r>
              <w:rPr>
                <w:rFonts w:hint="eastAsia" w:ascii="Times New Roman" w:hAnsi="Times New Roman" w:eastAsia="宋体" w:cs="Arial"/>
                <w:color w:val="000000" w:themeColor="text1"/>
                <w:sz w:val="24"/>
                <w:szCs w:val="24"/>
                <w:highlight w:val="none"/>
                <w14:textFill>
                  <w14:solidFill>
                    <w14:schemeClr w14:val="tx1"/>
                  </w14:solidFill>
                </w14:textFill>
              </w:rPr>
              <w:t>：</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Calibri"/>
                <w:color w:val="000000" w:themeColor="text1"/>
                <w:kern w:val="0"/>
                <w:sz w:val="24"/>
                <w:szCs w:val="24"/>
                <w:highlight w:val="none"/>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57"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132" w:type="pct"/>
            <w:vMerge w:val="continue"/>
            <w:noWrap/>
            <w:tcMar>
              <w:top w:w="15" w:type="dxa"/>
              <w:left w:w="15" w:type="dxa"/>
              <w:right w:w="15" w:type="dxa"/>
            </w:tcMar>
            <w:vAlign w:val="center"/>
          </w:tcPr>
          <w:p>
            <w:pPr>
              <w:widowControl/>
              <w:jc w:val="center"/>
              <w:rPr>
                <w:rFonts w:ascii="Times New Roman" w:hAnsi="Times New Roman" w:eastAsia="宋体" w:cs="宋体"/>
                <w:color w:val="000000" w:themeColor="text1"/>
                <w:sz w:val="24"/>
                <w:szCs w:val="24"/>
                <w:highlight w:val="none"/>
                <w14:textFill>
                  <w14:solidFill>
                    <w14:schemeClr w14:val="tx1"/>
                  </w14:solidFill>
                </w14:textFill>
              </w:rPr>
            </w:pPr>
          </w:p>
        </w:tc>
        <w:tc>
          <w:tcPr>
            <w:tcW w:w="2210" w:type="pct"/>
            <w:noWrap/>
            <w:tcMar>
              <w:top w:w="15" w:type="dxa"/>
              <w:left w:w="15" w:type="dxa"/>
              <w:right w:w="15" w:type="dxa"/>
            </w:tcMar>
            <w:vAlign w:val="center"/>
          </w:tcPr>
          <w:p>
            <w:pPr>
              <w:widowControl/>
              <w:textAlignment w:val="center"/>
              <w:rPr>
                <w:rFonts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系统接地形式：</w:t>
            </w:r>
            <w:r>
              <w:rPr>
                <w:rFonts w:ascii="Times New Roman" w:hAnsi="Times New Roman" w:eastAsia="宋体" w:cs="宋体"/>
                <w:color w:val="000000" w:themeColor="text1"/>
                <w:kern w:val="0"/>
                <w:sz w:val="24"/>
                <w:szCs w:val="24"/>
                <w:highlight w:val="none"/>
                <w14:textFill>
                  <w14:solidFill>
                    <w14:schemeClr w14:val="tx1"/>
                  </w14:solidFill>
                </w14:textFill>
              </w:rPr>
              <w:t>TN-C</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Arial"/>
          <w:color w:val="000000" w:themeColor="text1"/>
          <w:sz w:val="24"/>
          <w:highlight w:val="none"/>
          <w14:textFill>
            <w14:solidFill>
              <w14:schemeClr w14:val="tx1"/>
            </w14:solidFill>
          </w14:textFill>
        </w:rPr>
      </w:pPr>
      <w:r>
        <w:rPr>
          <w:rFonts w:ascii="Times New Roman" w:hAnsi="Times New Roman" w:eastAsia="宋体" w:cs="Arial"/>
          <w:color w:val="000000" w:themeColor="text1"/>
          <w:sz w:val="24"/>
          <w:highlight w:val="none"/>
          <w14:textFill>
            <w14:solidFill>
              <w14:schemeClr w14:val="tx1"/>
            </w14:solidFill>
          </w14:textFill>
        </w:rPr>
        <w:t>2.3.2</w:t>
      </w:r>
      <w:r>
        <w:rPr>
          <w:rFonts w:hint="eastAsia" w:ascii="Times New Roman" w:hAnsi="Times New Roman" w:eastAsia="宋体" w:cs="Arial"/>
          <w:color w:val="000000" w:themeColor="text1"/>
          <w:sz w:val="24"/>
          <w:highlight w:val="none"/>
          <w14:textFill>
            <w14:solidFill>
              <w14:schemeClr w14:val="tx1"/>
            </w14:solidFill>
          </w14:textFill>
        </w:rPr>
        <w:t>供电</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低压：</w:t>
      </w:r>
      <w:r>
        <w:rPr>
          <w:rFonts w:ascii="Times New Roman" w:hAnsi="Times New Roman" w:eastAsia="宋体" w:cs="Arial"/>
          <w:color w:val="000000" w:themeColor="text1"/>
          <w:sz w:val="24"/>
          <w:highlight w:val="none"/>
          <w14:textFill>
            <w14:solidFill>
              <w14:schemeClr w14:val="tx1"/>
            </w14:solidFill>
          </w14:textFill>
        </w:rPr>
        <w:t>380V</w:t>
      </w:r>
      <w:r>
        <w:rPr>
          <w:rFonts w:hint="eastAsia" w:ascii="Times New Roman" w:hAnsi="Times New Roman" w:eastAsia="宋体" w:cs="Arial"/>
          <w:color w:val="000000" w:themeColor="text1"/>
          <w:sz w:val="24"/>
          <w:highlight w:val="none"/>
          <w14:textFill>
            <w14:solidFill>
              <w14:schemeClr w14:val="tx1"/>
            </w14:solidFill>
          </w14:textFill>
        </w:rPr>
        <w:t>±</w:t>
      </w:r>
      <w:r>
        <w:rPr>
          <w:rFonts w:ascii="Times New Roman" w:hAnsi="Times New Roman" w:eastAsia="宋体" w:cs="Arial"/>
          <w:color w:val="000000" w:themeColor="text1"/>
          <w:sz w:val="24"/>
          <w:highlight w:val="none"/>
          <w14:textFill>
            <w14:solidFill>
              <w14:schemeClr w14:val="tx1"/>
            </w14:solidFill>
          </w14:textFill>
        </w:rPr>
        <w:t>7%</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低压：</w:t>
      </w:r>
      <w:r>
        <w:rPr>
          <w:rFonts w:ascii="Times New Roman" w:hAnsi="Times New Roman" w:eastAsia="宋体" w:cs="Arial"/>
          <w:color w:val="000000" w:themeColor="text1"/>
          <w:sz w:val="24"/>
          <w:highlight w:val="none"/>
          <w14:textFill>
            <w14:solidFill>
              <w14:schemeClr w14:val="tx1"/>
            </w14:solidFill>
          </w14:textFill>
        </w:rPr>
        <w:t xml:space="preserve">220V </w:t>
      </w:r>
      <w:r>
        <w:rPr>
          <w:rFonts w:hint="eastAsia" w:ascii="Times New Roman" w:hAnsi="Times New Roman" w:eastAsia="宋体" w:cs="Arial"/>
          <w:color w:val="000000" w:themeColor="text1"/>
          <w:sz w:val="24"/>
          <w:highlight w:val="none"/>
          <w14:textFill>
            <w14:solidFill>
              <w14:schemeClr w14:val="tx1"/>
            </w14:solidFill>
          </w14:textFill>
        </w:rPr>
        <w:t>单相：</w:t>
      </w:r>
      <w:r>
        <w:rPr>
          <w:rFonts w:ascii="Times New Roman" w:hAnsi="Times New Roman" w:eastAsia="宋体" w:cs="Arial"/>
          <w:color w:val="000000" w:themeColor="text1"/>
          <w:sz w:val="24"/>
          <w:highlight w:val="none"/>
          <w14:textFill>
            <w14:solidFill>
              <w14:schemeClr w14:val="tx1"/>
            </w14:solidFill>
          </w14:textFill>
        </w:rPr>
        <w:t>+7%</w:t>
      </w:r>
      <w:r>
        <w:rPr>
          <w:rFonts w:hint="eastAsia" w:ascii="Times New Roman" w:hAnsi="Times New Roman" w:eastAsia="宋体" w:cs="Arial"/>
          <w:color w:val="000000" w:themeColor="text1"/>
          <w:sz w:val="24"/>
          <w:highlight w:val="none"/>
          <w14:textFill>
            <w14:solidFill>
              <w14:schemeClr w14:val="tx1"/>
            </w14:solidFill>
          </w14:textFill>
        </w:rPr>
        <w:t>，</w:t>
      </w:r>
      <w:r>
        <w:rPr>
          <w:rFonts w:ascii="Times New Roman" w:hAnsi="Times New Roman" w:eastAsia="宋体" w:cs="Arial"/>
          <w:color w:val="000000" w:themeColor="text1"/>
          <w:sz w:val="24"/>
          <w:highlight w:val="none"/>
          <w14:textFill>
            <w14:solidFill>
              <w14:schemeClr w14:val="tx1"/>
            </w14:solidFill>
          </w14:textFill>
        </w:rPr>
        <w:t xml:space="preserve">-10% </w:t>
      </w:r>
    </w:p>
    <w:p>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电源及电气设备电压见表。</w:t>
      </w:r>
    </w:p>
    <w:p>
      <w:pPr>
        <w:spacing w:before="120" w:beforeLines="50"/>
        <w:ind w:firstLine="3480" w:firstLineChars="1450"/>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14:textFill>
            <w14:solidFill>
              <w14:schemeClr w14:val="tx1"/>
            </w14:solidFill>
          </w14:textFill>
        </w:rPr>
        <w:t>电源及电气设备电压</w:t>
      </w:r>
    </w:p>
    <w:tbl>
      <w:tblPr>
        <w:tblStyle w:val="27"/>
        <w:tblW w:w="4642" w:type="pct"/>
        <w:jc w:val="center"/>
        <w:tblLayout w:type="autofit"/>
        <w:tblCellMar>
          <w:top w:w="0" w:type="dxa"/>
          <w:left w:w="0" w:type="dxa"/>
          <w:bottom w:w="0" w:type="dxa"/>
          <w:right w:w="0" w:type="dxa"/>
        </w:tblCellMar>
      </w:tblPr>
      <w:tblGrid>
        <w:gridCol w:w="2619"/>
        <w:gridCol w:w="5812"/>
      </w:tblGrid>
      <w:tr>
        <w:tblPrEx>
          <w:tblCellMar>
            <w:top w:w="0" w:type="dxa"/>
            <w:left w:w="0" w:type="dxa"/>
            <w:bottom w:w="0" w:type="dxa"/>
            <w:right w:w="0" w:type="dxa"/>
          </w:tblCellMar>
        </w:tblPrEx>
        <w:trPr>
          <w:trHeight w:val="397" w:hRule="atLeast"/>
          <w:jc w:val="center"/>
        </w:trPr>
        <w:tc>
          <w:tcPr>
            <w:tcW w:w="1553" w:type="pct"/>
            <w:tcBorders>
              <w:top w:val="single" w:color="000000" w:sz="4" w:space="0"/>
              <w:left w:val="single" w:color="000000" w:sz="4" w:space="0"/>
              <w:bottom w:val="single" w:color="000000" w:sz="4" w:space="0"/>
              <w:right w:val="single" w:color="000000" w:sz="4" w:space="0"/>
            </w:tcBorders>
            <w:vAlign w:val="center"/>
          </w:tcPr>
          <w:p>
            <w:pPr>
              <w:pStyle w:val="74"/>
              <w:kinsoku w:val="0"/>
              <w:overflowPunct w:val="0"/>
              <w:spacing w:line="240" w:lineRule="auto"/>
              <w:ind w:firstLine="0" w:firstLineChars="0"/>
              <w:jc w:val="center"/>
              <w:rPr>
                <w:rFonts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低压配电和动力</w:t>
            </w:r>
          </w:p>
        </w:tc>
        <w:tc>
          <w:tcPr>
            <w:tcW w:w="3446" w:type="pct"/>
            <w:tcBorders>
              <w:top w:val="single" w:color="000000" w:sz="4" w:space="0"/>
              <w:left w:val="single" w:color="000000" w:sz="4" w:space="0"/>
              <w:bottom w:val="single" w:color="000000" w:sz="4" w:space="0"/>
              <w:right w:val="single" w:color="000000" w:sz="4" w:space="0"/>
            </w:tcBorders>
            <w:vAlign w:val="center"/>
          </w:tcPr>
          <w:p>
            <w:pPr>
              <w:pStyle w:val="74"/>
              <w:tabs>
                <w:tab w:val="left" w:pos="2441"/>
              </w:tabs>
              <w:kinsoku w:val="0"/>
              <w:overflowPunct w:val="0"/>
              <w:spacing w:line="240" w:lineRule="auto"/>
              <w:ind w:firstLine="0" w:firstLineChars="0"/>
              <w:rPr>
                <w:rFonts w:ascii="Times New Roman" w:hAnsi="Times New Roman" w:eastAsia="宋体"/>
                <w:color w:val="000000" w:themeColor="text1"/>
                <w:highlight w:val="none"/>
                <w:lang w:eastAsia="zh-CN"/>
                <w14:textFill>
                  <w14:solidFill>
                    <w14:schemeClr w14:val="tx1"/>
                  </w14:solidFill>
                </w14:textFill>
              </w:rPr>
            </w:pPr>
            <w:r>
              <w:rPr>
                <w:rFonts w:ascii="Times New Roman" w:hAnsi="Times New Roman" w:eastAsia="宋体"/>
                <w:color w:val="000000" w:themeColor="text1"/>
                <w:highlight w:val="none"/>
                <w:lang w:eastAsia="zh-CN"/>
                <w14:textFill>
                  <w14:solidFill>
                    <w14:schemeClr w14:val="tx1"/>
                  </w14:solidFill>
                </w14:textFill>
              </w:rPr>
              <w:t>380V</w:t>
            </w:r>
            <w:r>
              <w:rPr>
                <w:rFonts w:hint="eastAsia" w:ascii="Times New Roman" w:hAnsi="Times New Roman" w:eastAsia="宋体"/>
                <w:color w:val="000000" w:themeColor="text1"/>
                <w:highlight w:val="none"/>
                <w:lang w:eastAsia="zh-CN"/>
                <w14:textFill>
                  <w14:solidFill>
                    <w14:schemeClr w14:val="tx1"/>
                  </w14:solidFill>
                </w14:textFill>
              </w:rPr>
              <w:t>，</w:t>
            </w:r>
            <w:r>
              <w:rPr>
                <w:rFonts w:ascii="Times New Roman" w:hAnsi="Times New Roman" w:eastAsia="宋体"/>
                <w:color w:val="000000" w:themeColor="text1"/>
                <w:highlight w:val="none"/>
                <w:lang w:eastAsia="zh-CN"/>
                <w14:textFill>
                  <w14:solidFill>
                    <w14:schemeClr w14:val="tx1"/>
                  </w14:solidFill>
                </w14:textFill>
              </w:rPr>
              <w:t>3</w:t>
            </w:r>
            <w:r>
              <w:rPr>
                <w:rFonts w:hint="eastAsia" w:ascii="Times New Roman" w:hAnsi="Times New Roman" w:eastAsia="宋体"/>
                <w:color w:val="000000" w:themeColor="text1"/>
                <w:highlight w:val="none"/>
                <w:lang w:eastAsia="zh-CN"/>
                <w14:textFill>
                  <w14:solidFill>
                    <w14:schemeClr w14:val="tx1"/>
                  </w14:solidFill>
                </w14:textFill>
              </w:rPr>
              <w:t>相，</w:t>
            </w:r>
            <w:r>
              <w:rPr>
                <w:rFonts w:ascii="Times New Roman" w:hAnsi="Times New Roman" w:eastAsia="宋体"/>
                <w:color w:val="000000" w:themeColor="text1"/>
                <w:highlight w:val="none"/>
                <w:lang w:eastAsia="zh-CN"/>
                <w14:textFill>
                  <w14:solidFill>
                    <w14:schemeClr w14:val="tx1"/>
                  </w14:solidFill>
                </w14:textFill>
              </w:rPr>
              <w:t>50Hz</w:t>
            </w:r>
            <w:r>
              <w:rPr>
                <w:rFonts w:hint="eastAsia" w:ascii="Times New Roman" w:hAnsi="Times New Roman" w:eastAsia="宋体"/>
                <w:color w:val="000000" w:themeColor="text1"/>
                <w:highlight w:val="none"/>
                <w:lang w:eastAsia="zh-CN"/>
                <w14:textFill>
                  <w14:solidFill>
                    <w14:schemeClr w14:val="tx1"/>
                  </w14:solidFill>
                </w14:textFill>
              </w:rPr>
              <w:t>，中性点直接接地</w:t>
            </w:r>
          </w:p>
        </w:tc>
      </w:tr>
      <w:tr>
        <w:tblPrEx>
          <w:tblCellMar>
            <w:top w:w="0" w:type="dxa"/>
            <w:left w:w="0" w:type="dxa"/>
            <w:bottom w:w="0" w:type="dxa"/>
            <w:right w:w="0" w:type="dxa"/>
          </w:tblCellMar>
        </w:tblPrEx>
        <w:trPr>
          <w:trHeight w:val="397" w:hRule="atLeast"/>
          <w:jc w:val="center"/>
        </w:trPr>
        <w:tc>
          <w:tcPr>
            <w:tcW w:w="1553" w:type="pct"/>
            <w:tcBorders>
              <w:top w:val="single" w:color="000000" w:sz="4" w:space="0"/>
              <w:left w:val="single" w:color="000000" w:sz="4" w:space="0"/>
              <w:bottom w:val="single" w:color="000000" w:sz="4" w:space="0"/>
              <w:right w:val="single" w:color="000000" w:sz="4" w:space="0"/>
            </w:tcBorders>
            <w:vAlign w:val="center"/>
          </w:tcPr>
          <w:p>
            <w:pPr>
              <w:pStyle w:val="74"/>
              <w:kinsoku w:val="0"/>
              <w:overflowPunct w:val="0"/>
              <w:spacing w:line="240" w:lineRule="auto"/>
              <w:ind w:firstLine="0" w:firstLineChars="0"/>
              <w:jc w:val="center"/>
              <w:rPr>
                <w:rFonts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维修电源</w:t>
            </w:r>
          </w:p>
        </w:tc>
        <w:tc>
          <w:tcPr>
            <w:tcW w:w="3446" w:type="pct"/>
            <w:tcBorders>
              <w:top w:val="single" w:color="000000" w:sz="4" w:space="0"/>
              <w:left w:val="single" w:color="000000" w:sz="4" w:space="0"/>
              <w:bottom w:val="single" w:color="000000" w:sz="4" w:space="0"/>
              <w:right w:val="single" w:color="000000" w:sz="4" w:space="0"/>
            </w:tcBorders>
            <w:vAlign w:val="center"/>
          </w:tcPr>
          <w:p>
            <w:pPr>
              <w:pStyle w:val="74"/>
              <w:tabs>
                <w:tab w:val="left" w:pos="1200"/>
              </w:tabs>
              <w:kinsoku w:val="0"/>
              <w:overflowPunct w:val="0"/>
              <w:spacing w:line="240" w:lineRule="auto"/>
              <w:ind w:firstLine="0" w:firstLineChars="0"/>
              <w:rPr>
                <w:rFonts w:ascii="Times New Roman" w:hAnsi="Times New Roman" w:eastAsia="宋体"/>
                <w:color w:val="000000" w:themeColor="text1"/>
                <w:highlight w:val="none"/>
                <w14:textFill>
                  <w14:solidFill>
                    <w14:schemeClr w14:val="tx1"/>
                  </w14:solidFill>
                </w14:textFill>
              </w:rPr>
            </w:pPr>
            <w:r>
              <w:rPr>
                <w:rFonts w:ascii="Times New Roman" w:hAnsi="Times New Roman" w:eastAsia="宋体"/>
                <w:color w:val="000000" w:themeColor="text1"/>
                <w:highlight w:val="none"/>
                <w14:textFill>
                  <w14:solidFill>
                    <w14:schemeClr w14:val="tx1"/>
                  </w14:solidFill>
                </w14:textFill>
              </w:rPr>
              <w:t>380/220V</w:t>
            </w:r>
            <w:r>
              <w:rPr>
                <w:rFonts w:ascii="Times New Roman" w:hAnsi="Times New Roman" w:eastAsia="宋体"/>
                <w:color w:val="000000" w:themeColor="text1"/>
                <w:highlight w:val="none"/>
                <w14:textFill>
                  <w14:solidFill>
                    <w14:schemeClr w14:val="tx1"/>
                  </w14:solidFill>
                </w14:textFill>
              </w:rPr>
              <w:tab/>
            </w:r>
            <w:r>
              <w:rPr>
                <w:rFonts w:ascii="Times New Roman" w:hAnsi="Times New Roman" w:eastAsia="宋体"/>
                <w:color w:val="000000" w:themeColor="text1"/>
                <w:highlight w:val="none"/>
                <w14:textFill>
                  <w14:solidFill>
                    <w14:schemeClr w14:val="tx1"/>
                  </w14:solidFill>
                </w14:textFill>
              </w:rPr>
              <w:t>AC</w:t>
            </w:r>
            <w:r>
              <w:rPr>
                <w:rFonts w:hint="eastAsia" w:ascii="Times New Roman" w:hAnsi="Times New Roman" w:eastAsia="宋体"/>
                <w:color w:val="000000" w:themeColor="text1"/>
                <w:highlight w:val="none"/>
                <w14:textFill>
                  <w14:solidFill>
                    <w14:schemeClr w14:val="tx1"/>
                  </w14:solidFill>
                </w14:textFill>
              </w:rPr>
              <w:t>，</w:t>
            </w:r>
            <w:r>
              <w:rPr>
                <w:rFonts w:ascii="Times New Roman" w:hAnsi="Times New Roman" w:eastAsia="宋体"/>
                <w:color w:val="000000" w:themeColor="text1"/>
                <w:highlight w:val="none"/>
                <w14:textFill>
                  <w14:solidFill>
                    <w14:schemeClr w14:val="tx1"/>
                  </w14:solidFill>
                </w14:textFill>
              </w:rPr>
              <w:t>50Hz</w:t>
            </w:r>
          </w:p>
        </w:tc>
      </w:tr>
      <w:tr>
        <w:tblPrEx>
          <w:tblCellMar>
            <w:top w:w="0" w:type="dxa"/>
            <w:left w:w="0" w:type="dxa"/>
            <w:bottom w:w="0" w:type="dxa"/>
            <w:right w:w="0" w:type="dxa"/>
          </w:tblCellMar>
        </w:tblPrEx>
        <w:trPr>
          <w:trHeight w:val="397" w:hRule="atLeast"/>
          <w:jc w:val="center"/>
        </w:trPr>
        <w:tc>
          <w:tcPr>
            <w:tcW w:w="1553" w:type="pct"/>
            <w:tcBorders>
              <w:top w:val="single" w:color="000000" w:sz="4" w:space="0"/>
              <w:left w:val="single" w:color="000000" w:sz="4" w:space="0"/>
              <w:bottom w:val="single" w:color="000000" w:sz="4" w:space="0"/>
              <w:right w:val="single" w:color="000000" w:sz="4" w:space="0"/>
            </w:tcBorders>
            <w:vAlign w:val="center"/>
          </w:tcPr>
          <w:p>
            <w:pPr>
              <w:pStyle w:val="74"/>
              <w:kinsoku w:val="0"/>
              <w:overflowPunct w:val="0"/>
              <w:spacing w:line="240" w:lineRule="auto"/>
              <w:ind w:firstLine="0" w:firstLineChars="0"/>
              <w:jc w:val="center"/>
              <w:rPr>
                <w:rFonts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照明和小功率设</w:t>
            </w:r>
          </w:p>
        </w:tc>
        <w:tc>
          <w:tcPr>
            <w:tcW w:w="3446" w:type="pct"/>
            <w:tcBorders>
              <w:top w:val="single" w:color="000000" w:sz="4" w:space="0"/>
              <w:left w:val="single" w:color="000000" w:sz="4" w:space="0"/>
              <w:bottom w:val="single" w:color="000000" w:sz="4" w:space="0"/>
              <w:right w:val="single" w:color="000000" w:sz="4" w:space="0"/>
            </w:tcBorders>
            <w:vAlign w:val="center"/>
          </w:tcPr>
          <w:p>
            <w:pPr>
              <w:pStyle w:val="74"/>
              <w:kinsoku w:val="0"/>
              <w:overflowPunct w:val="0"/>
              <w:spacing w:line="240" w:lineRule="auto"/>
              <w:ind w:firstLine="0" w:firstLineChars="0"/>
              <w:rPr>
                <w:rFonts w:ascii="Times New Roman" w:hAnsi="Times New Roman" w:eastAsia="宋体"/>
                <w:color w:val="000000" w:themeColor="text1"/>
                <w:highlight w:val="none"/>
                <w14:textFill>
                  <w14:solidFill>
                    <w14:schemeClr w14:val="tx1"/>
                  </w14:solidFill>
                </w14:textFill>
              </w:rPr>
            </w:pPr>
            <w:r>
              <w:rPr>
                <w:rFonts w:ascii="Times New Roman" w:hAnsi="Times New Roman" w:eastAsia="宋体"/>
                <w:color w:val="000000" w:themeColor="text1"/>
                <w:highlight w:val="none"/>
                <w14:textFill>
                  <w14:solidFill>
                    <w14:schemeClr w14:val="tx1"/>
                  </w14:solidFill>
                </w14:textFill>
              </w:rPr>
              <w:t>220V</w:t>
            </w:r>
            <w:r>
              <w:rPr>
                <w:rFonts w:hint="eastAsia" w:ascii="Times New Roman" w:hAnsi="Times New Roman" w:eastAsia="宋体"/>
                <w:color w:val="000000" w:themeColor="text1"/>
                <w:highlight w:val="none"/>
                <w14:textFill>
                  <w14:solidFill>
                    <w14:schemeClr w14:val="tx1"/>
                  </w14:solidFill>
                </w14:textFill>
              </w:rPr>
              <w:t>，单相，</w:t>
            </w:r>
            <w:r>
              <w:rPr>
                <w:rFonts w:ascii="Times New Roman" w:hAnsi="Times New Roman" w:eastAsia="宋体"/>
                <w:color w:val="000000" w:themeColor="text1"/>
                <w:highlight w:val="none"/>
                <w14:textFill>
                  <w14:solidFill>
                    <w14:schemeClr w14:val="tx1"/>
                  </w14:solidFill>
                </w14:textFill>
              </w:rPr>
              <w:t>50Hz</w:t>
            </w:r>
          </w:p>
        </w:tc>
      </w:tr>
      <w:tr>
        <w:tblPrEx>
          <w:tblCellMar>
            <w:top w:w="0" w:type="dxa"/>
            <w:left w:w="0" w:type="dxa"/>
            <w:bottom w:w="0" w:type="dxa"/>
            <w:right w:w="0" w:type="dxa"/>
          </w:tblCellMar>
        </w:tblPrEx>
        <w:trPr>
          <w:trHeight w:val="397" w:hRule="atLeast"/>
          <w:jc w:val="center"/>
        </w:trPr>
        <w:tc>
          <w:tcPr>
            <w:tcW w:w="1553" w:type="pct"/>
            <w:tcBorders>
              <w:top w:val="single" w:color="000000" w:sz="4" w:space="0"/>
              <w:left w:val="single" w:color="000000" w:sz="4" w:space="0"/>
              <w:bottom w:val="single" w:color="000000" w:sz="4" w:space="0"/>
              <w:right w:val="single" w:color="000000" w:sz="4" w:space="0"/>
            </w:tcBorders>
            <w:vAlign w:val="center"/>
          </w:tcPr>
          <w:p>
            <w:pPr>
              <w:pStyle w:val="74"/>
              <w:kinsoku w:val="0"/>
              <w:overflowPunct w:val="0"/>
              <w:spacing w:line="240" w:lineRule="auto"/>
              <w:ind w:firstLine="0" w:firstLineChars="0"/>
              <w:jc w:val="center"/>
              <w:rPr>
                <w:rFonts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电动机控制电压</w:t>
            </w:r>
          </w:p>
        </w:tc>
        <w:tc>
          <w:tcPr>
            <w:tcW w:w="3446" w:type="pct"/>
            <w:tcBorders>
              <w:top w:val="single" w:color="000000" w:sz="4" w:space="0"/>
              <w:left w:val="single" w:color="000000" w:sz="4" w:space="0"/>
              <w:bottom w:val="single" w:color="000000" w:sz="4" w:space="0"/>
              <w:right w:val="single" w:color="000000" w:sz="4" w:space="0"/>
            </w:tcBorders>
            <w:vAlign w:val="center"/>
          </w:tcPr>
          <w:p>
            <w:pPr>
              <w:pStyle w:val="74"/>
              <w:tabs>
                <w:tab w:val="left" w:pos="720"/>
              </w:tabs>
              <w:kinsoku w:val="0"/>
              <w:overflowPunct w:val="0"/>
              <w:spacing w:line="240" w:lineRule="auto"/>
              <w:ind w:firstLine="0" w:firstLineChars="0"/>
              <w:rPr>
                <w:rFonts w:ascii="Times New Roman" w:hAnsi="Times New Roman" w:eastAsia="宋体"/>
                <w:color w:val="000000" w:themeColor="text1"/>
                <w:highlight w:val="none"/>
                <w14:textFill>
                  <w14:solidFill>
                    <w14:schemeClr w14:val="tx1"/>
                  </w14:solidFill>
                </w14:textFill>
              </w:rPr>
            </w:pPr>
            <w:r>
              <w:rPr>
                <w:rFonts w:ascii="Times New Roman" w:hAnsi="Times New Roman" w:eastAsia="宋体"/>
                <w:color w:val="000000" w:themeColor="text1"/>
                <w:highlight w:val="none"/>
                <w14:textFill>
                  <w14:solidFill>
                    <w14:schemeClr w14:val="tx1"/>
                  </w14:solidFill>
                </w14:textFill>
              </w:rPr>
              <w:t>220VAC</w:t>
            </w:r>
          </w:p>
        </w:tc>
      </w:tr>
      <w:tr>
        <w:tblPrEx>
          <w:tblCellMar>
            <w:top w:w="0" w:type="dxa"/>
            <w:left w:w="0" w:type="dxa"/>
            <w:bottom w:w="0" w:type="dxa"/>
            <w:right w:w="0" w:type="dxa"/>
          </w:tblCellMar>
        </w:tblPrEx>
        <w:trPr>
          <w:trHeight w:val="397" w:hRule="atLeast"/>
          <w:jc w:val="center"/>
        </w:trPr>
        <w:tc>
          <w:tcPr>
            <w:tcW w:w="1553" w:type="pct"/>
            <w:tcBorders>
              <w:top w:val="single" w:color="000000" w:sz="4" w:space="0"/>
              <w:left w:val="single" w:color="000000" w:sz="4" w:space="0"/>
              <w:bottom w:val="single" w:color="000000" w:sz="4" w:space="0"/>
              <w:right w:val="single" w:color="000000" w:sz="4" w:space="0"/>
            </w:tcBorders>
            <w:vAlign w:val="center"/>
          </w:tcPr>
          <w:p>
            <w:pPr>
              <w:pStyle w:val="74"/>
              <w:kinsoku w:val="0"/>
              <w:overflowPunct w:val="0"/>
              <w:spacing w:line="240" w:lineRule="auto"/>
              <w:ind w:firstLine="0" w:firstLineChars="0"/>
              <w:jc w:val="center"/>
              <w:rPr>
                <w:rFonts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仪表电源</w:t>
            </w:r>
          </w:p>
        </w:tc>
        <w:tc>
          <w:tcPr>
            <w:tcW w:w="3446" w:type="pct"/>
            <w:tcBorders>
              <w:top w:val="single" w:color="000000" w:sz="4" w:space="0"/>
              <w:left w:val="single" w:color="000000" w:sz="4" w:space="0"/>
              <w:bottom w:val="single" w:color="000000" w:sz="4" w:space="0"/>
              <w:right w:val="single" w:color="000000" w:sz="4" w:space="0"/>
            </w:tcBorders>
            <w:vAlign w:val="center"/>
          </w:tcPr>
          <w:p>
            <w:pPr>
              <w:pStyle w:val="74"/>
              <w:tabs>
                <w:tab w:val="left" w:pos="2201"/>
                <w:tab w:val="left" w:pos="2681"/>
                <w:tab w:val="left" w:pos="3401"/>
                <w:tab w:val="left" w:pos="4601"/>
              </w:tabs>
              <w:kinsoku w:val="0"/>
              <w:overflowPunct w:val="0"/>
              <w:spacing w:line="240" w:lineRule="auto"/>
              <w:ind w:firstLine="0" w:firstLineChars="0"/>
              <w:rPr>
                <w:rFonts w:ascii="Times New Roman" w:hAnsi="Times New Roman" w:eastAsia="宋体"/>
                <w:color w:val="000000" w:themeColor="text1"/>
                <w:highlight w:val="none"/>
                <w14:textFill>
                  <w14:solidFill>
                    <w14:schemeClr w14:val="tx1"/>
                  </w14:solidFill>
                </w14:textFill>
              </w:rPr>
            </w:pPr>
            <w:r>
              <w:rPr>
                <w:rFonts w:ascii="Times New Roman" w:hAnsi="Times New Roman" w:eastAsia="宋体"/>
                <w:color w:val="000000" w:themeColor="text1"/>
                <w:highlight w:val="none"/>
                <w14:textFill>
                  <w14:solidFill>
                    <w14:schemeClr w14:val="tx1"/>
                  </w14:solidFill>
                </w14:textFill>
              </w:rPr>
              <w:t>220VAC</w:t>
            </w:r>
            <w:r>
              <w:rPr>
                <w:rFonts w:hint="eastAsia" w:ascii="Times New Roman" w:hAnsi="Times New Roman" w:eastAsia="宋体"/>
                <w:color w:val="000000" w:themeColor="text1"/>
                <w:highlight w:val="none"/>
                <w14:textFill>
                  <w14:solidFill>
                    <w14:schemeClr w14:val="tx1"/>
                  </w14:solidFill>
                </w14:textFill>
              </w:rPr>
              <w:t>单相</w:t>
            </w:r>
            <w:r>
              <w:rPr>
                <w:rFonts w:ascii="Times New Roman" w:hAnsi="Times New Roman" w:eastAsia="宋体"/>
                <w:color w:val="000000" w:themeColor="text1"/>
                <w:highlight w:val="none"/>
                <w14:textFill>
                  <w14:solidFill>
                    <w14:schemeClr w14:val="tx1"/>
                  </w14:solidFill>
                </w14:textFill>
              </w:rPr>
              <w:t>50Hz</w:t>
            </w:r>
            <w:r>
              <w:rPr>
                <w:rFonts w:hint="eastAsia" w:ascii="Times New Roman" w:hAnsi="Times New Roman" w:eastAsia="宋体"/>
                <w:color w:val="000000" w:themeColor="text1"/>
                <w:highlight w:val="none"/>
                <w14:textFill>
                  <w14:solidFill>
                    <w14:schemeClr w14:val="tx1"/>
                  </w14:solidFill>
                </w14:textFill>
              </w:rPr>
              <w:t>，或</w:t>
            </w:r>
            <w:r>
              <w:rPr>
                <w:rFonts w:ascii="Times New Roman" w:hAnsi="Times New Roman" w:eastAsia="宋体"/>
                <w:color w:val="000000" w:themeColor="text1"/>
                <w:highlight w:val="none"/>
                <w14:textFill>
                  <w14:solidFill>
                    <w14:schemeClr w14:val="tx1"/>
                  </w14:solidFill>
                </w14:textFill>
              </w:rPr>
              <w:t>24VDC</w:t>
            </w:r>
          </w:p>
        </w:tc>
      </w:tr>
      <w:tr>
        <w:tblPrEx>
          <w:tblCellMar>
            <w:top w:w="0" w:type="dxa"/>
            <w:left w:w="0" w:type="dxa"/>
            <w:bottom w:w="0" w:type="dxa"/>
            <w:right w:w="0" w:type="dxa"/>
          </w:tblCellMar>
        </w:tblPrEx>
        <w:trPr>
          <w:trHeight w:val="397" w:hRule="atLeast"/>
          <w:jc w:val="center"/>
        </w:trPr>
        <w:tc>
          <w:tcPr>
            <w:tcW w:w="1553" w:type="pct"/>
            <w:tcBorders>
              <w:top w:val="single" w:color="000000" w:sz="4" w:space="0"/>
              <w:left w:val="single" w:color="000000" w:sz="4" w:space="0"/>
              <w:bottom w:val="single" w:color="000000" w:sz="4" w:space="0"/>
              <w:right w:val="single" w:color="000000" w:sz="4" w:space="0"/>
            </w:tcBorders>
            <w:vAlign w:val="center"/>
          </w:tcPr>
          <w:p>
            <w:pPr>
              <w:pStyle w:val="74"/>
              <w:kinsoku w:val="0"/>
              <w:overflowPunct w:val="0"/>
              <w:spacing w:line="240" w:lineRule="auto"/>
              <w:ind w:firstLine="0" w:firstLineChars="0"/>
              <w:jc w:val="center"/>
              <w:rPr>
                <w:rFonts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olor w:val="000000" w:themeColor="text1"/>
                <w:highlight w:val="none"/>
                <w14:textFill>
                  <w14:solidFill>
                    <w14:schemeClr w14:val="tx1"/>
                  </w14:solidFill>
                </w14:textFill>
              </w:rPr>
              <w:t>仪表回路电源</w:t>
            </w:r>
          </w:p>
        </w:tc>
        <w:tc>
          <w:tcPr>
            <w:tcW w:w="3446" w:type="pct"/>
            <w:tcBorders>
              <w:top w:val="single" w:color="000000" w:sz="4" w:space="0"/>
              <w:left w:val="single" w:color="000000" w:sz="4" w:space="0"/>
              <w:bottom w:val="single" w:color="000000" w:sz="4" w:space="0"/>
              <w:right w:val="single" w:color="000000" w:sz="4" w:space="0"/>
            </w:tcBorders>
            <w:vAlign w:val="center"/>
          </w:tcPr>
          <w:p>
            <w:pPr>
              <w:pStyle w:val="74"/>
              <w:kinsoku w:val="0"/>
              <w:overflowPunct w:val="0"/>
              <w:spacing w:line="240" w:lineRule="auto"/>
              <w:ind w:firstLine="0" w:firstLineChars="0"/>
              <w:rPr>
                <w:rFonts w:ascii="Times New Roman" w:hAnsi="Times New Roman" w:eastAsia="宋体"/>
                <w:color w:val="000000" w:themeColor="text1"/>
                <w:highlight w:val="none"/>
                <w14:textFill>
                  <w14:solidFill>
                    <w14:schemeClr w14:val="tx1"/>
                  </w14:solidFill>
                </w14:textFill>
              </w:rPr>
            </w:pPr>
            <w:r>
              <w:rPr>
                <w:rFonts w:ascii="Times New Roman" w:hAnsi="Times New Roman" w:eastAsia="宋体"/>
                <w:color w:val="000000" w:themeColor="text1"/>
                <w:highlight w:val="none"/>
                <w14:textFill>
                  <w14:solidFill>
                    <w14:schemeClr w14:val="tx1"/>
                  </w14:solidFill>
                </w14:textFill>
              </w:rPr>
              <w:t>24VDC</w:t>
            </w:r>
          </w:p>
        </w:tc>
      </w:tr>
    </w:tbl>
    <w:p>
      <w:pPr>
        <w:spacing w:line="500" w:lineRule="exact"/>
        <w:ind w:firstLine="482"/>
        <w:rPr>
          <w:rFonts w:ascii="Times New Roman" w:hAnsi="Times New Roman" w:eastAsia="宋体" w:cs="Arial"/>
          <w:bCs/>
          <w:color w:val="000000" w:themeColor="text1"/>
          <w:sz w:val="24"/>
          <w:highlight w:val="none"/>
          <w14:textFill>
            <w14:solidFill>
              <w14:schemeClr w14:val="tx1"/>
            </w14:solidFill>
          </w14:textFill>
        </w:rPr>
      </w:pPr>
      <w:r>
        <w:rPr>
          <w:rFonts w:ascii="Times New Roman" w:hAnsi="Times New Roman" w:eastAsia="宋体" w:cs="Arial"/>
          <w:bCs/>
          <w:color w:val="000000" w:themeColor="text1"/>
          <w:sz w:val="24"/>
          <w:highlight w:val="none"/>
          <w14:textFill>
            <w14:solidFill>
              <w14:schemeClr w14:val="tx1"/>
            </w14:solidFill>
          </w14:textFill>
        </w:rPr>
        <w:t>2.3.3</w:t>
      </w:r>
      <w:r>
        <w:rPr>
          <w:rFonts w:hint="eastAsia" w:ascii="Times New Roman" w:hAnsi="Times New Roman" w:eastAsia="宋体" w:cs="Arial"/>
          <w:bCs/>
          <w:color w:val="000000" w:themeColor="text1"/>
          <w:sz w:val="24"/>
          <w:highlight w:val="none"/>
          <w14:textFill>
            <w14:solidFill>
              <w14:schemeClr w14:val="tx1"/>
            </w14:solidFill>
          </w14:textFill>
        </w:rPr>
        <w:t>防护等级及能效等级要求</w:t>
      </w:r>
    </w:p>
    <w:p>
      <w:pPr>
        <w:spacing w:line="500" w:lineRule="exact"/>
        <w:ind w:firstLine="482"/>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户内安装：专用电控装置室</w:t>
      </w:r>
      <w:r>
        <w:rPr>
          <w:rFonts w:ascii="Times New Roman" w:hAnsi="Times New Roman" w:eastAsia="宋体" w:cs="Arial"/>
          <w:color w:val="000000" w:themeColor="text1"/>
          <w:sz w:val="24"/>
          <w:highlight w:val="none"/>
          <w14:textFill>
            <w14:solidFill>
              <w14:schemeClr w14:val="tx1"/>
            </w14:solidFill>
          </w14:textFill>
        </w:rPr>
        <w:t>IP44</w:t>
      </w:r>
      <w:r>
        <w:rPr>
          <w:rFonts w:hint="eastAsia" w:ascii="Times New Roman" w:hAnsi="Times New Roman" w:eastAsia="宋体" w:cs="Arial"/>
          <w:color w:val="000000" w:themeColor="text1"/>
          <w:sz w:val="24"/>
          <w:highlight w:val="none"/>
          <w14:textFill>
            <w14:solidFill>
              <w14:schemeClr w14:val="tx1"/>
            </w14:solidFill>
          </w14:textFill>
        </w:rPr>
        <w:t>，其他场所</w:t>
      </w:r>
      <w:r>
        <w:rPr>
          <w:rFonts w:ascii="Times New Roman" w:hAnsi="Times New Roman" w:eastAsia="宋体" w:cs="Arial"/>
          <w:color w:val="000000" w:themeColor="text1"/>
          <w:sz w:val="24"/>
          <w:highlight w:val="none"/>
          <w14:textFill>
            <w14:solidFill>
              <w14:schemeClr w14:val="tx1"/>
            </w14:solidFill>
          </w14:textFill>
        </w:rPr>
        <w:t>IP54</w:t>
      </w:r>
    </w:p>
    <w:p>
      <w:pPr>
        <w:spacing w:line="500" w:lineRule="exact"/>
        <w:ind w:firstLine="482"/>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户外安装：</w:t>
      </w:r>
      <w:r>
        <w:rPr>
          <w:rFonts w:ascii="Times New Roman" w:hAnsi="Times New Roman" w:eastAsia="宋体" w:cs="Arial"/>
          <w:color w:val="000000" w:themeColor="text1"/>
          <w:sz w:val="24"/>
          <w:highlight w:val="none"/>
          <w14:textFill>
            <w14:solidFill>
              <w14:schemeClr w14:val="tx1"/>
            </w14:solidFill>
          </w14:textFill>
        </w:rPr>
        <w:t>IP65</w:t>
      </w:r>
      <w:r>
        <w:rPr>
          <w:rFonts w:hint="eastAsia" w:ascii="Times New Roman" w:hAnsi="Times New Roman" w:eastAsia="宋体" w:cs="Arial"/>
          <w:color w:val="000000" w:themeColor="text1"/>
          <w:sz w:val="24"/>
          <w:highlight w:val="none"/>
          <w14:textFill>
            <w14:solidFill>
              <w14:schemeClr w14:val="tx1"/>
            </w14:solidFill>
          </w14:textFill>
        </w:rPr>
        <w:t>，电机绝缘等级</w:t>
      </w:r>
      <w:r>
        <w:rPr>
          <w:rFonts w:ascii="Times New Roman" w:hAnsi="Times New Roman" w:eastAsia="宋体" w:cs="Arial"/>
          <w:color w:val="000000" w:themeColor="text1"/>
          <w:sz w:val="24"/>
          <w:highlight w:val="none"/>
          <w14:textFill>
            <w14:solidFill>
              <w14:schemeClr w14:val="tx1"/>
            </w14:solidFill>
          </w14:textFill>
        </w:rPr>
        <w:t>F</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温升按</w:t>
      </w:r>
      <w:r>
        <w:rPr>
          <w:rFonts w:ascii="Times New Roman" w:hAnsi="Times New Roman" w:eastAsia="宋体" w:cs="Arial"/>
          <w:color w:val="000000" w:themeColor="text1"/>
          <w:sz w:val="24"/>
          <w:highlight w:val="none"/>
          <w14:textFill>
            <w14:solidFill>
              <w14:schemeClr w14:val="tx1"/>
            </w14:solidFill>
          </w14:textFill>
        </w:rPr>
        <w:t>B</w:t>
      </w:r>
      <w:r>
        <w:rPr>
          <w:rFonts w:hint="eastAsia" w:ascii="Times New Roman" w:hAnsi="Times New Roman" w:eastAsia="宋体" w:cs="Arial"/>
          <w:color w:val="000000" w:themeColor="text1"/>
          <w:sz w:val="24"/>
          <w:highlight w:val="none"/>
          <w14:textFill>
            <w14:solidFill>
              <w14:schemeClr w14:val="tx1"/>
            </w14:solidFill>
          </w14:textFill>
        </w:rPr>
        <w:t>级考核）</w:t>
      </w:r>
    </w:p>
    <w:p>
      <w:pPr>
        <w:spacing w:line="500" w:lineRule="exact"/>
        <w:ind w:firstLine="482"/>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一次仪表：</w:t>
      </w:r>
      <w:r>
        <w:rPr>
          <w:rFonts w:ascii="Times New Roman" w:hAnsi="Times New Roman" w:eastAsia="宋体" w:cs="Arial"/>
          <w:color w:val="000000" w:themeColor="text1"/>
          <w:sz w:val="24"/>
          <w:highlight w:val="none"/>
          <w14:textFill>
            <w14:solidFill>
              <w14:schemeClr w14:val="tx1"/>
            </w14:solidFill>
          </w14:textFill>
        </w:rPr>
        <w:t>IP65</w:t>
      </w:r>
      <w:r>
        <w:rPr>
          <w:rFonts w:hint="eastAsia" w:ascii="Times New Roman" w:hAnsi="Times New Roman" w:eastAsia="宋体" w:cs="Arial"/>
          <w:color w:val="000000" w:themeColor="text1"/>
          <w:sz w:val="24"/>
          <w:highlight w:val="none"/>
          <w14:textFill>
            <w14:solidFill>
              <w14:schemeClr w14:val="tx1"/>
            </w14:solidFill>
          </w14:textFill>
        </w:rPr>
        <w:t>以上。</w:t>
      </w:r>
    </w:p>
    <w:p>
      <w:pPr>
        <w:spacing w:line="500" w:lineRule="exact"/>
        <w:ind w:firstLine="482"/>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电动机能效等级：二级及以上。</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宋体" w:cs="Arial"/>
          <w:b/>
          <w:bCs/>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2.4</w:t>
      </w:r>
      <w:r>
        <w:rPr>
          <w:rFonts w:hint="eastAsia" w:ascii="Times New Roman" w:hAnsi="Times New Roman" w:eastAsia="宋体" w:cs="Arial"/>
          <w:b/>
          <w:bCs/>
          <w:color w:val="000000" w:themeColor="text1"/>
          <w:sz w:val="24"/>
          <w:highlight w:val="none"/>
          <w14:textFill>
            <w14:solidFill>
              <w14:schemeClr w14:val="tx1"/>
            </w14:solidFill>
          </w14:textFill>
        </w:rPr>
        <w:t>消耗材料和公用设施</w:t>
      </w:r>
    </w:p>
    <w:p>
      <w:pPr>
        <w:spacing w:line="500" w:lineRule="exact"/>
        <w:ind w:firstLine="482"/>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s="Arial"/>
          <w:bCs/>
          <w:color w:val="000000" w:themeColor="text1"/>
          <w:sz w:val="24"/>
          <w:highlight w:val="none"/>
          <w14:textFill>
            <w14:solidFill>
              <w14:schemeClr w14:val="tx1"/>
            </w14:solidFill>
          </w14:textFill>
        </w:rPr>
        <w:t xml:space="preserve">2.4.1 </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1）生活用水</w:t>
      </w:r>
    </w:p>
    <w:p>
      <w:pPr>
        <w:spacing w:line="500" w:lineRule="exact"/>
        <w:ind w:firstLine="482"/>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14:textFill>
            <w14:solidFill>
              <w14:schemeClr w14:val="tx1"/>
            </w14:solidFill>
          </w14:textFill>
        </w:rPr>
        <w:t>生活用水由工厂统一供给，水质满足《生活饮用水卫生标准》</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GB5749-2006</w:t>
      </w:r>
      <w:r>
        <w:rPr>
          <w:rFonts w:hint="eastAsia" w:ascii="Times New Roman" w:hAnsi="Times New Roman" w:eastAsia="宋体"/>
          <w:color w:val="000000" w:themeColor="text1"/>
          <w:sz w:val="24"/>
          <w:szCs w:val="24"/>
          <w:highlight w:val="none"/>
          <w14:textFill>
            <w14:solidFill>
              <w14:schemeClr w14:val="tx1"/>
            </w14:solidFill>
          </w14:textFill>
        </w:rPr>
        <w:t>）</w:t>
      </w:r>
    </w:p>
    <w:p>
      <w:pPr>
        <w:spacing w:line="500" w:lineRule="exact"/>
        <w:ind w:firstLine="482"/>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2）工业水</w:t>
      </w:r>
    </w:p>
    <w:p>
      <w:pPr>
        <w:keepNext w:val="0"/>
        <w:keepLines w:val="0"/>
        <w:pageBreakBefore w:val="0"/>
        <w:widowControl w:val="0"/>
        <w:kinsoku/>
        <w:wordWrap/>
        <w:overflowPunct/>
        <w:topLinePunct w:val="0"/>
        <w:autoSpaceDE/>
        <w:autoSpaceDN/>
        <w:bidi w:val="0"/>
        <w:adjustRightInd/>
        <w:snapToGrid/>
        <w:spacing w:after="144" w:afterLines="50"/>
        <w:ind w:right="-1299" w:rightChars="-464" w:firstLine="480" w:firstLineChars="200"/>
        <w:jc w:val="both"/>
        <w:textAlignment w:val="auto"/>
        <w:rPr>
          <w:rFonts w:hint="eastAsia" w:ascii="Times New Roman" w:hAnsi="Times New Roman" w:eastAsia="宋体"/>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olor w:val="000000" w:themeColor="text1"/>
          <w:sz w:val="24"/>
          <w:szCs w:val="24"/>
          <w:highlight w:val="none"/>
          <w14:textFill>
            <w14:solidFill>
              <w14:schemeClr w14:val="tx1"/>
            </w14:solidFill>
          </w14:textFill>
        </w:rPr>
        <w:t>工业水水质条件</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如下（</w:t>
      </w:r>
      <w:r>
        <w:rPr>
          <w:rFonts w:hint="eastAsia" w:ascii="Times New Roman" w:hAnsi="Times New Roman" w:eastAsia="宋体"/>
          <w:b/>
          <w:color w:val="000000" w:themeColor="text1"/>
          <w:sz w:val="24"/>
          <w:szCs w:val="24"/>
          <w:highlight w:val="none"/>
          <w14:textFill>
            <w14:solidFill>
              <w14:schemeClr w14:val="tx1"/>
            </w14:solidFill>
          </w14:textFill>
        </w:rPr>
        <w:t>单位：mg/L</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1218"/>
        <w:gridCol w:w="1218"/>
        <w:gridCol w:w="1218"/>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3" w:type="dxa"/>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p</w:t>
            </w:r>
            <w:r>
              <w:rPr>
                <w:rFonts w:hint="eastAsia" w:ascii="宋体" w:hAnsi="宋体" w:eastAsia="宋体" w:cs="宋体"/>
                <w:color w:val="000000" w:themeColor="text1"/>
                <w:sz w:val="24"/>
                <w:szCs w:val="24"/>
                <w:highlight w:val="none"/>
                <w14:textFill>
                  <w14:solidFill>
                    <w14:schemeClr w14:val="tx1"/>
                  </w14:solidFill>
                </w14:textFill>
              </w:rPr>
              <w:t>H值</w:t>
            </w:r>
          </w:p>
          <w:p>
            <w:pPr>
              <w:jc w:val="cente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无单位）</w:t>
            </w:r>
          </w:p>
        </w:tc>
        <w:tc>
          <w:tcPr>
            <w:tcW w:w="1218" w:type="dxa"/>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电导率</w:t>
            </w:r>
          </w:p>
          <w:p>
            <w:pPr>
              <w:jc w:val="cente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shd w:val="clear" w:color="auto" w:fill="FFFFEE"/>
                <w:lang w:val="en-US" w:eastAsia="zh-CN"/>
                <w14:textFill>
                  <w14:solidFill>
                    <w14:schemeClr w14:val="tx1"/>
                  </w14:solidFill>
                </w14:textFill>
              </w:rPr>
              <w:t>μ</w:t>
            </w:r>
            <w:r>
              <w:rPr>
                <w:rFonts w:hint="eastAsia" w:ascii="宋体" w:hAnsi="宋体" w:eastAsia="宋体" w:cs="宋体"/>
                <w:color w:val="000000" w:themeColor="text1"/>
                <w:sz w:val="24"/>
                <w:szCs w:val="24"/>
                <w:highlight w:val="none"/>
                <w:shd w:val="clear" w:color="auto" w:fill="FFFFEE"/>
                <w14:textFill>
                  <w14:solidFill>
                    <w14:schemeClr w14:val="tx1"/>
                  </w14:solidFill>
                </w14:textFill>
              </w:rPr>
              <w:t>s/cm</w:t>
            </w:r>
            <w:r>
              <w:rPr>
                <w:rFonts w:hint="eastAsia" w:ascii="宋体" w:hAnsi="宋体" w:eastAsia="宋体" w:cs="宋体"/>
                <w:color w:val="000000" w:themeColor="text1"/>
                <w:sz w:val="24"/>
                <w:szCs w:val="24"/>
                <w:highlight w:val="none"/>
                <w:shd w:val="clear" w:color="auto" w:fill="FFFFFF"/>
                <w:lang w:eastAsia="zh-CN"/>
                <w14:textFill>
                  <w14:solidFill>
                    <w14:schemeClr w14:val="tx1"/>
                  </w14:solidFill>
                </w14:textFill>
              </w:rPr>
              <w:t>）</w:t>
            </w:r>
          </w:p>
        </w:tc>
        <w:tc>
          <w:tcPr>
            <w:tcW w:w="1218" w:type="dxa"/>
            <w:vAlign w:val="center"/>
          </w:tcPr>
          <w:p>
            <w:pPr>
              <w:jc w:val="cente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Ca</w:t>
            </w:r>
          </w:p>
        </w:tc>
        <w:tc>
          <w:tcPr>
            <w:tcW w:w="1218" w:type="dxa"/>
            <w:vAlign w:val="center"/>
          </w:tcPr>
          <w:p>
            <w:pPr>
              <w:jc w:val="cente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浊度</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度）</w:t>
            </w:r>
          </w:p>
        </w:tc>
        <w:tc>
          <w:tcPr>
            <w:tcW w:w="1218" w:type="dxa"/>
            <w:vAlign w:val="center"/>
          </w:tcPr>
          <w:p>
            <w:pPr>
              <w:jc w:val="cente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SO</w:t>
            </w:r>
            <w:r>
              <w:rPr>
                <w:rFonts w:hint="eastAsia" w:ascii="宋体" w:hAnsi="宋体" w:eastAsia="宋体" w:cs="宋体"/>
                <w:color w:val="000000" w:themeColor="text1"/>
                <w:sz w:val="24"/>
                <w:szCs w:val="24"/>
                <w:highlight w:val="none"/>
                <w:vertAlign w:val="subscript"/>
                <w14:textFill>
                  <w14:solidFill>
                    <w14:schemeClr w14:val="tx1"/>
                  </w14:solidFill>
                </w14:textFill>
              </w:rPr>
              <w:t>4</w:t>
            </w:r>
            <w:r>
              <w:rPr>
                <w:rFonts w:hint="eastAsia" w:ascii="宋体" w:hAnsi="宋体" w:eastAsia="宋体" w:cs="宋体"/>
                <w:color w:val="000000" w:themeColor="text1"/>
                <w:sz w:val="24"/>
                <w:szCs w:val="24"/>
                <w:highlight w:val="none"/>
                <w:vertAlign w:val="superscript"/>
                <w14:textFill>
                  <w14:solidFill>
                    <w14:schemeClr w14:val="tx1"/>
                  </w14:solidFill>
                </w14:textFill>
              </w:rPr>
              <w:t>2-</w:t>
            </w:r>
          </w:p>
        </w:tc>
        <w:tc>
          <w:tcPr>
            <w:tcW w:w="1218" w:type="dxa"/>
            <w:vAlign w:val="center"/>
          </w:tcPr>
          <w:p>
            <w:pPr>
              <w:jc w:val="cente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总碱度</w:t>
            </w:r>
          </w:p>
        </w:tc>
        <w:tc>
          <w:tcPr>
            <w:tcW w:w="1218" w:type="dxa"/>
            <w:vAlign w:val="center"/>
          </w:tcPr>
          <w:p>
            <w:pPr>
              <w:jc w:val="center"/>
              <w:rPr>
                <w:rFonts w:hint="eastAsia" w:ascii="宋体" w:hAnsi="宋体" w:eastAsia="宋体" w:cs="宋体"/>
                <w:color w:val="000000" w:themeColor="text1"/>
                <w:sz w:val="24"/>
                <w:szCs w:val="24"/>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Cl</w:t>
            </w:r>
            <w:r>
              <w:rPr>
                <w:rFonts w:hint="eastAsia" w:ascii="宋体" w:hAnsi="宋体" w:eastAsia="宋体" w:cs="宋体"/>
                <w:color w:val="000000" w:themeColor="text1"/>
                <w:sz w:val="24"/>
                <w:szCs w:val="24"/>
                <w:highlight w:val="none"/>
                <w:vertAlign w:val="superscript"/>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803" w:type="dxa"/>
            <w:vAlign w:val="center"/>
          </w:tcPr>
          <w:p>
            <w:pPr>
              <w:bidi w:val="0"/>
              <w:jc w:val="center"/>
              <w:rPr>
                <w:rFonts w:hint="eastAsia"/>
                <w:sz w:val="24"/>
                <w:szCs w:val="22"/>
                <w:lang w:val="en-US" w:eastAsia="zh-CN"/>
              </w:rPr>
            </w:pPr>
            <w:r>
              <w:rPr>
                <w:rFonts w:hint="eastAsia"/>
                <w:sz w:val="24"/>
                <w:szCs w:val="22"/>
                <w:lang w:val="en-US" w:eastAsia="zh-CN"/>
              </w:rPr>
              <w:t>7.22</w:t>
            </w:r>
          </w:p>
        </w:tc>
        <w:tc>
          <w:tcPr>
            <w:tcW w:w="1218" w:type="dxa"/>
            <w:vAlign w:val="center"/>
          </w:tcPr>
          <w:p>
            <w:pPr>
              <w:bidi w:val="0"/>
              <w:jc w:val="center"/>
              <w:rPr>
                <w:rFonts w:hint="eastAsia"/>
                <w:sz w:val="24"/>
                <w:szCs w:val="22"/>
                <w:lang w:val="en-US" w:eastAsia="zh-CN"/>
              </w:rPr>
            </w:pPr>
            <w:r>
              <w:rPr>
                <w:rFonts w:hint="eastAsia"/>
                <w:sz w:val="24"/>
                <w:szCs w:val="22"/>
                <w:lang w:val="en-US" w:eastAsia="zh-CN"/>
              </w:rPr>
              <w:t>600</w:t>
            </w:r>
          </w:p>
        </w:tc>
        <w:tc>
          <w:tcPr>
            <w:tcW w:w="1218" w:type="dxa"/>
            <w:vAlign w:val="center"/>
          </w:tcPr>
          <w:p>
            <w:pPr>
              <w:bidi w:val="0"/>
              <w:jc w:val="center"/>
              <w:rPr>
                <w:rFonts w:hint="eastAsia"/>
                <w:sz w:val="24"/>
                <w:szCs w:val="22"/>
                <w:lang w:val="en-US" w:eastAsia="zh-CN"/>
              </w:rPr>
            </w:pPr>
            <w:r>
              <w:rPr>
                <w:rFonts w:hint="eastAsia"/>
                <w:sz w:val="24"/>
                <w:szCs w:val="22"/>
                <w:lang w:val="en-US" w:eastAsia="zh-CN"/>
              </w:rPr>
              <w:t>106</w:t>
            </w:r>
          </w:p>
        </w:tc>
        <w:tc>
          <w:tcPr>
            <w:tcW w:w="1218" w:type="dxa"/>
            <w:vAlign w:val="center"/>
          </w:tcPr>
          <w:p>
            <w:pPr>
              <w:bidi w:val="0"/>
              <w:jc w:val="center"/>
              <w:rPr>
                <w:rFonts w:hint="eastAsia"/>
                <w:sz w:val="24"/>
                <w:szCs w:val="22"/>
                <w:lang w:val="en-US" w:eastAsia="zh-CN"/>
              </w:rPr>
            </w:pPr>
            <w:r>
              <w:rPr>
                <w:rFonts w:hint="eastAsia"/>
                <w:sz w:val="24"/>
                <w:szCs w:val="22"/>
                <w:lang w:val="en-US" w:eastAsia="zh-CN"/>
              </w:rPr>
              <w:t>3.14</w:t>
            </w:r>
          </w:p>
        </w:tc>
        <w:tc>
          <w:tcPr>
            <w:tcW w:w="1218" w:type="dxa"/>
            <w:vAlign w:val="center"/>
          </w:tcPr>
          <w:p>
            <w:pPr>
              <w:bidi w:val="0"/>
              <w:jc w:val="center"/>
              <w:rPr>
                <w:rFonts w:hint="eastAsia"/>
                <w:sz w:val="24"/>
                <w:szCs w:val="22"/>
                <w:lang w:val="en-US" w:eastAsia="zh-CN"/>
              </w:rPr>
            </w:pPr>
            <w:r>
              <w:rPr>
                <w:rFonts w:hint="eastAsia"/>
                <w:sz w:val="24"/>
                <w:szCs w:val="22"/>
                <w:lang w:val="en-US" w:eastAsia="zh-CN"/>
              </w:rPr>
              <w:t>774</w:t>
            </w:r>
          </w:p>
        </w:tc>
        <w:tc>
          <w:tcPr>
            <w:tcW w:w="1218" w:type="dxa"/>
            <w:vAlign w:val="center"/>
          </w:tcPr>
          <w:p>
            <w:pPr>
              <w:bidi w:val="0"/>
              <w:jc w:val="center"/>
              <w:rPr>
                <w:rFonts w:hint="eastAsia"/>
                <w:sz w:val="24"/>
                <w:szCs w:val="22"/>
                <w:lang w:val="en-US" w:eastAsia="zh-CN"/>
              </w:rPr>
            </w:pPr>
            <w:r>
              <w:rPr>
                <w:rFonts w:hint="eastAsia"/>
                <w:sz w:val="24"/>
                <w:szCs w:val="22"/>
                <w:lang w:val="en-US" w:eastAsia="zh-CN"/>
              </w:rPr>
              <w:t>118</w:t>
            </w:r>
          </w:p>
        </w:tc>
        <w:tc>
          <w:tcPr>
            <w:tcW w:w="1218" w:type="dxa"/>
            <w:vAlign w:val="center"/>
          </w:tcPr>
          <w:p>
            <w:pPr>
              <w:bidi w:val="0"/>
              <w:jc w:val="center"/>
              <w:rPr>
                <w:rFonts w:hint="eastAsia"/>
                <w:sz w:val="24"/>
                <w:szCs w:val="22"/>
                <w:lang w:val="en-US" w:eastAsia="zh-CN"/>
              </w:rPr>
            </w:pPr>
            <w:r>
              <w:rPr>
                <w:rFonts w:hint="eastAsia"/>
                <w:sz w:val="24"/>
                <w:szCs w:val="22"/>
                <w:lang w:val="en-US" w:eastAsia="zh-CN"/>
              </w:rPr>
              <w:t>324</w:t>
            </w:r>
          </w:p>
        </w:tc>
      </w:tr>
    </w:tbl>
    <w:p>
      <w:pPr>
        <w:spacing w:line="500" w:lineRule="exact"/>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 xml:space="preserve">2.4.2  </w:t>
      </w:r>
      <w:r>
        <w:rPr>
          <w:rFonts w:hint="eastAsia" w:ascii="Times New Roman" w:hAnsi="Times New Roman" w:eastAsia="宋体"/>
          <w:color w:val="000000" w:themeColor="text1"/>
          <w:sz w:val="24"/>
          <w:szCs w:val="24"/>
          <w:highlight w:val="none"/>
          <w14:textFill>
            <w14:solidFill>
              <w14:schemeClr w14:val="tx1"/>
            </w14:solidFill>
          </w14:textFill>
        </w:rPr>
        <w:t>供气</w:t>
      </w:r>
    </w:p>
    <w:p>
      <w:pPr>
        <w:spacing w:line="500" w:lineRule="exact"/>
        <w:ind w:firstLine="482"/>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1</w:t>
      </w:r>
      <w:r>
        <w:rPr>
          <w:rFonts w:hint="eastAsia" w:ascii="Times New Roman" w:hAnsi="Times New Roman" w:eastAsia="宋体"/>
          <w:color w:val="000000" w:themeColor="text1"/>
          <w:sz w:val="24"/>
          <w:szCs w:val="24"/>
          <w:highlight w:val="none"/>
          <w14:textFill>
            <w14:solidFill>
              <w14:schemeClr w14:val="tx1"/>
            </w14:solidFill>
          </w14:textFill>
        </w:rPr>
        <w:t>）氮气</w:t>
      </w:r>
    </w:p>
    <w:p>
      <w:pPr>
        <w:spacing w:line="500" w:lineRule="exact"/>
        <w:ind w:firstLine="482"/>
        <w:rPr>
          <w:rFonts w:hint="eastAsia" w:ascii="Times New Roman" w:hAnsi="Times New Roman" w:eastAsia="宋体"/>
          <w:color w:val="000000" w:themeColor="text1"/>
          <w:sz w:val="24"/>
          <w:szCs w:val="24"/>
          <w:highlight w:val="none"/>
          <w:lang w:eastAsia="zh-CN"/>
          <w14:textFill>
            <w14:solidFill>
              <w14:schemeClr w14:val="tx1"/>
            </w14:solidFill>
          </w14:textFill>
        </w:rPr>
      </w:pPr>
      <w:r>
        <w:rPr>
          <w:rFonts w:hint="eastAsia" w:ascii="Times New Roman" w:hAnsi="Times New Roman" w:eastAsia="宋体"/>
          <w:color w:val="000000" w:themeColor="text1"/>
          <w:sz w:val="24"/>
          <w:szCs w:val="24"/>
          <w:highlight w:val="none"/>
          <w14:textFill>
            <w14:solidFill>
              <w14:schemeClr w14:val="tx1"/>
            </w14:solidFill>
          </w14:textFill>
        </w:rPr>
        <w:t>纯度：含</w:t>
      </w:r>
      <w:r>
        <w:rPr>
          <w:rFonts w:ascii="Times New Roman" w:hAnsi="Times New Roman" w:eastAsia="宋体"/>
          <w:color w:val="000000" w:themeColor="text1"/>
          <w:sz w:val="24"/>
          <w:szCs w:val="24"/>
          <w:highlight w:val="none"/>
          <w14:textFill>
            <w14:solidFill>
              <w14:schemeClr w14:val="tx1"/>
            </w14:solidFill>
          </w14:textFill>
        </w:rPr>
        <w:t xml:space="preserve"> N</w:t>
      </w:r>
      <w:r>
        <w:rPr>
          <w:rFonts w:ascii="Times New Roman" w:hAnsi="Times New Roman" w:eastAsia="宋体"/>
          <w:color w:val="000000" w:themeColor="text1"/>
          <w:sz w:val="24"/>
          <w:szCs w:val="24"/>
          <w:highlight w:val="none"/>
          <w:vertAlign w:val="subscript"/>
          <w14:textFill>
            <w14:solidFill>
              <w14:schemeClr w14:val="tx1"/>
            </w14:solidFill>
          </w14:textFill>
        </w:rPr>
        <w:t>2</w:t>
      </w:r>
      <w:r>
        <w:rPr>
          <w:rFonts w:hint="eastAsia" w:ascii="Times New Roman" w:hAnsi="Times New Roman" w:eastAsia="宋体"/>
          <w:color w:val="000000" w:themeColor="text1"/>
          <w:sz w:val="24"/>
          <w:szCs w:val="24"/>
          <w:highlight w:val="none"/>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99</w:t>
      </w:r>
      <w:r>
        <w:rPr>
          <w:rFonts w:hint="eastAsia" w:ascii="Times New Roman" w:hAnsi="Times New Roman" w:eastAsia="宋体"/>
          <w:color w:val="000000" w:themeColor="text1"/>
          <w:sz w:val="24"/>
          <w:szCs w:val="24"/>
          <w:highlight w:val="none"/>
          <w14:textFill>
            <w14:solidFill>
              <w14:schemeClr w14:val="tx1"/>
            </w14:solidFill>
          </w14:textFill>
        </w:rPr>
        <w:t>.95</w:t>
      </w:r>
      <w:r>
        <w:rPr>
          <w:rFonts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压力：</w:t>
      </w:r>
      <w:r>
        <w:rPr>
          <w:rFonts w:ascii="Times New Roman" w:hAnsi="Times New Roman" w:eastAsia="宋体"/>
          <w:color w:val="000000" w:themeColor="text1"/>
          <w:sz w:val="24"/>
          <w:szCs w:val="24"/>
          <w:highlight w:val="none"/>
          <w14:textFill>
            <w14:solidFill>
              <w14:schemeClr w14:val="tx1"/>
            </w14:solidFill>
          </w14:textFill>
        </w:rPr>
        <w:t>0.</w:t>
      </w:r>
      <w:r>
        <w:rPr>
          <w:rFonts w:hint="eastAsia" w:ascii="Times New Roman" w:hAnsi="Times New Roman" w:eastAsia="宋体"/>
          <w:color w:val="000000" w:themeColor="text1"/>
          <w:sz w:val="24"/>
          <w:szCs w:val="24"/>
          <w:highlight w:val="none"/>
          <w14:textFill>
            <w14:solidFill>
              <w14:schemeClr w14:val="tx1"/>
            </w14:solidFill>
          </w14:textFill>
        </w:rPr>
        <w:t>65</w:t>
      </w:r>
      <w:r>
        <w:rPr>
          <w:rFonts w:ascii="Times New Roman" w:hAnsi="Times New Roman" w:eastAsia="宋体"/>
          <w:color w:val="000000" w:themeColor="text1"/>
          <w:sz w:val="24"/>
          <w:szCs w:val="24"/>
          <w:highlight w:val="none"/>
          <w14:textFill>
            <w14:solidFill>
              <w14:schemeClr w14:val="tx1"/>
            </w14:solidFill>
          </w14:textFill>
        </w:rPr>
        <w:t>MPa</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界区红线外</w:t>
      </w:r>
      <w:r>
        <w:rPr>
          <w:rFonts w:ascii="Times New Roman" w:hAnsi="Times New Roman" w:eastAsia="宋体"/>
          <w:color w:val="000000" w:themeColor="text1"/>
          <w:sz w:val="24"/>
          <w:szCs w:val="24"/>
          <w:highlight w:val="none"/>
          <w14:textFill>
            <w14:solidFill>
              <w14:schemeClr w14:val="tx1"/>
            </w14:solidFill>
          </w14:textFill>
        </w:rPr>
        <w:t xml:space="preserve"> 1 m</w:t>
      </w:r>
      <w:r>
        <w:rPr>
          <w:rFonts w:hint="eastAsia" w:ascii="Times New Roman" w:hAnsi="Times New Roman" w:eastAsia="宋体"/>
          <w:color w:val="000000" w:themeColor="text1"/>
          <w:sz w:val="24"/>
          <w:szCs w:val="24"/>
          <w:highlight w:val="none"/>
          <w14:textFill>
            <w14:solidFill>
              <w14:schemeClr w14:val="tx1"/>
            </w14:solidFill>
          </w14:textFill>
        </w:rPr>
        <w:t>）</w:t>
      </w:r>
      <w:r>
        <w:rPr>
          <w:rFonts w:hint="eastAsia" w:ascii="Times New Roman" w:hAnsi="Times New Roman"/>
          <w:color w:val="000000" w:themeColor="text1"/>
          <w:sz w:val="24"/>
          <w:szCs w:val="24"/>
          <w:highlight w:val="none"/>
          <w:lang w:eastAsia="zh-CN"/>
          <w14:textFill>
            <w14:solidFill>
              <w14:schemeClr w14:val="tx1"/>
            </w14:solidFill>
          </w14:textFill>
        </w:rPr>
        <w:t>；</w:t>
      </w:r>
    </w:p>
    <w:p>
      <w:pPr>
        <w:spacing w:line="500" w:lineRule="exact"/>
        <w:ind w:firstLine="482"/>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14:textFill>
            <w14:solidFill>
              <w14:schemeClr w14:val="tx1"/>
            </w14:solidFill>
          </w14:textFill>
        </w:rPr>
        <w:t>流量</w:t>
      </w:r>
      <w:r>
        <w:rPr>
          <w:rFonts w:hint="eastAsia"/>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正常</w:t>
      </w:r>
      <w:r>
        <w:rPr>
          <w:rFonts w:ascii="Times New Roman" w:hAnsi="Times New Roman" w:eastAsia="宋体"/>
          <w:color w:val="000000" w:themeColor="text1"/>
          <w:sz w:val="24"/>
          <w:szCs w:val="24"/>
          <w:highlight w:val="none"/>
          <w14:textFill>
            <w14:solidFill>
              <w14:schemeClr w14:val="tx1"/>
            </w14:solidFill>
          </w14:textFill>
        </w:rPr>
        <w:t xml:space="preserve"> </w:t>
      </w:r>
      <w:r>
        <w:rPr>
          <w:rFonts w:hint="eastAsia" w:ascii="Times New Roman" w:hAnsi="Times New Roman" w:eastAsia="宋体"/>
          <w:color w:val="000000" w:themeColor="text1"/>
          <w:sz w:val="24"/>
          <w:szCs w:val="24"/>
          <w:highlight w:val="none"/>
          <w14:textFill>
            <w14:solidFill>
              <w14:schemeClr w14:val="tx1"/>
            </w14:solidFill>
          </w14:textFill>
        </w:rPr>
        <w:t>1</w:t>
      </w:r>
      <w:r>
        <w:rPr>
          <w:rFonts w:ascii="Times New Roman" w:hAnsi="Times New Roman" w:eastAsia="宋体"/>
          <w:color w:val="000000" w:themeColor="text1"/>
          <w:sz w:val="24"/>
          <w:szCs w:val="24"/>
          <w:highlight w:val="none"/>
          <w14:textFill>
            <w14:solidFill>
              <w14:schemeClr w14:val="tx1"/>
            </w14:solidFill>
          </w14:textFill>
        </w:rPr>
        <w:t>800Nm</w:t>
      </w:r>
      <w:r>
        <w:rPr>
          <w:rFonts w:hint="eastAsia" w:ascii="Times New Roman" w:hAnsi="Times New Roman" w:eastAsia="宋体"/>
          <w:color w:val="000000" w:themeColor="text1"/>
          <w:sz w:val="24"/>
          <w:szCs w:val="24"/>
          <w:highlight w:val="none"/>
          <w14:textFill>
            <w14:solidFill>
              <w14:schemeClr w14:val="tx1"/>
            </w14:solidFill>
          </w14:textFill>
        </w:rPr>
        <w:t>³</w:t>
      </w:r>
      <w:r>
        <w:rPr>
          <w:rFonts w:ascii="Times New Roman" w:hAnsi="Times New Roman" w:eastAsia="宋体"/>
          <w:color w:val="000000" w:themeColor="text1"/>
          <w:sz w:val="24"/>
          <w:szCs w:val="24"/>
          <w:highlight w:val="none"/>
          <w14:textFill>
            <w14:solidFill>
              <w14:schemeClr w14:val="tx1"/>
            </w14:solidFill>
          </w14:textFill>
        </w:rPr>
        <w:t>/h</w:t>
      </w:r>
      <w:r>
        <w:rPr>
          <w:rFonts w:hint="eastAsia" w:ascii="Times New Roman" w:hAnsi="Times New Roman"/>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发生事故时，气量确保3</w:t>
      </w:r>
      <w:r>
        <w:rPr>
          <w:rFonts w:ascii="Times New Roman" w:hAnsi="Times New Roman" w:eastAsia="宋体"/>
          <w:color w:val="000000" w:themeColor="text1"/>
          <w:sz w:val="24"/>
          <w:szCs w:val="24"/>
          <w:highlight w:val="none"/>
          <w14:textFill>
            <w14:solidFill>
              <w14:schemeClr w14:val="tx1"/>
            </w14:solidFill>
          </w14:textFill>
        </w:rPr>
        <w:t>000 Nm</w:t>
      </w:r>
      <w:r>
        <w:rPr>
          <w:rFonts w:hint="eastAsia" w:ascii="Times New Roman" w:hAnsi="Times New Roman" w:eastAsia="宋体"/>
          <w:color w:val="000000" w:themeColor="text1"/>
          <w:sz w:val="24"/>
          <w:szCs w:val="24"/>
          <w:highlight w:val="none"/>
          <w14:textFill>
            <w14:solidFill>
              <w14:schemeClr w14:val="tx1"/>
            </w14:solidFill>
          </w14:textFill>
        </w:rPr>
        <w:t>³</w:t>
      </w:r>
      <w:r>
        <w:rPr>
          <w:rFonts w:ascii="Times New Roman" w:hAnsi="Times New Roman" w:eastAsia="宋体"/>
          <w:color w:val="000000" w:themeColor="text1"/>
          <w:sz w:val="24"/>
          <w:szCs w:val="24"/>
          <w:highlight w:val="none"/>
          <w14:textFill>
            <w14:solidFill>
              <w14:schemeClr w14:val="tx1"/>
            </w14:solidFill>
          </w14:textFill>
        </w:rPr>
        <w:t xml:space="preserve">/h </w:t>
      </w:r>
      <w:r>
        <w:rPr>
          <w:rFonts w:hint="eastAsia" w:ascii="Times New Roman" w:hAnsi="Times New Roman" w:eastAsia="宋体"/>
          <w:color w:val="000000" w:themeColor="text1"/>
          <w:sz w:val="24"/>
          <w:szCs w:val="24"/>
          <w:highlight w:val="none"/>
          <w14:textFill>
            <w14:solidFill>
              <w14:schemeClr w14:val="tx1"/>
            </w14:solidFill>
          </w14:textFill>
        </w:rPr>
        <w:t>持续用气</w:t>
      </w:r>
      <w:r>
        <w:rPr>
          <w:rFonts w:ascii="Times New Roman" w:hAnsi="Times New Roman" w:eastAsia="宋体"/>
          <w:color w:val="000000" w:themeColor="text1"/>
          <w:sz w:val="24"/>
          <w:szCs w:val="24"/>
          <w:highlight w:val="none"/>
          <w14:textFill>
            <w14:solidFill>
              <w14:schemeClr w14:val="tx1"/>
            </w14:solidFill>
          </w14:textFill>
        </w:rPr>
        <w:t>30min</w:t>
      </w:r>
      <w:r>
        <w:rPr>
          <w:rFonts w:hint="eastAsia" w:ascii="Times New Roman" w:hAnsi="Times New Roman" w:eastAsia="宋体"/>
          <w:color w:val="000000" w:themeColor="text1"/>
          <w:sz w:val="24"/>
          <w:szCs w:val="24"/>
          <w:highlight w:val="none"/>
          <w14:textFill>
            <w14:solidFill>
              <w14:schemeClr w14:val="tx1"/>
            </w14:solidFill>
          </w14:textFill>
        </w:rPr>
        <w:t>，满足本项目需求。</w:t>
      </w:r>
    </w:p>
    <w:p>
      <w:pPr>
        <w:spacing w:line="500" w:lineRule="exact"/>
        <w:ind w:firstLine="482"/>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2</w:t>
      </w:r>
      <w:r>
        <w:rPr>
          <w:rFonts w:hint="eastAsia" w:ascii="Times New Roman" w:hAnsi="Times New Roman" w:eastAsia="宋体"/>
          <w:color w:val="000000" w:themeColor="text1"/>
          <w:sz w:val="24"/>
          <w:szCs w:val="24"/>
          <w:highlight w:val="none"/>
          <w14:textFill>
            <w14:solidFill>
              <w14:schemeClr w14:val="tx1"/>
            </w14:solidFill>
          </w14:textFill>
        </w:rPr>
        <w:t>）压缩空气</w:t>
      </w:r>
    </w:p>
    <w:p>
      <w:pPr>
        <w:spacing w:line="500" w:lineRule="exact"/>
        <w:ind w:firstLine="482"/>
        <w:rPr>
          <w:rFonts w:hint="eastAsia"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14:textFill>
            <w14:solidFill>
              <w14:schemeClr w14:val="tx1"/>
            </w14:solidFill>
          </w14:textFill>
        </w:rPr>
        <w:t>压力</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ascii="Times New Roman" w:hAnsi="Times New Roman" w:eastAsia="宋体"/>
          <w:color w:val="000000" w:themeColor="text1"/>
          <w:sz w:val="24"/>
          <w:szCs w:val="24"/>
          <w:highlight w:val="none"/>
          <w14:textFill>
            <w14:solidFill>
              <w14:schemeClr w14:val="tx1"/>
            </w14:solidFill>
          </w14:textFill>
        </w:rPr>
        <w:t>0.</w:t>
      </w:r>
      <w:r>
        <w:rPr>
          <w:rFonts w:hint="eastAsia" w:ascii="Times New Roman" w:hAnsi="Times New Roman" w:eastAsia="宋体"/>
          <w:color w:val="000000" w:themeColor="text1"/>
          <w:sz w:val="24"/>
          <w:szCs w:val="24"/>
          <w:highlight w:val="none"/>
          <w14:textFill>
            <w14:solidFill>
              <w14:schemeClr w14:val="tx1"/>
            </w14:solidFill>
          </w14:textFill>
        </w:rPr>
        <w:t>6</w:t>
      </w:r>
      <w:r>
        <w:rPr>
          <w:rFonts w:ascii="Times New Roman" w:hAnsi="Times New Roman" w:eastAsia="宋体"/>
          <w:color w:val="000000" w:themeColor="text1"/>
          <w:sz w:val="24"/>
          <w:szCs w:val="24"/>
          <w:highlight w:val="none"/>
          <w14:textFill>
            <w14:solidFill>
              <w14:schemeClr w14:val="tx1"/>
            </w14:solidFill>
          </w14:textFill>
        </w:rPr>
        <w:t>MPa</w:t>
      </w:r>
      <w:r>
        <w:rPr>
          <w:rFonts w:hint="eastAsia" w:ascii="Times New Roman" w:hAnsi="Times New Roman" w:eastAsia="宋体"/>
          <w:color w:val="000000" w:themeColor="text1"/>
          <w:sz w:val="24"/>
          <w:szCs w:val="24"/>
          <w:highlight w:val="none"/>
          <w14:textFill>
            <w14:solidFill>
              <w14:schemeClr w14:val="tx1"/>
            </w14:solidFill>
          </w14:textFill>
        </w:rPr>
        <w:t>。</w:t>
      </w:r>
      <w:bookmarkEnd w:id="117"/>
      <w:bookmarkEnd w:id="118"/>
      <w:bookmarkEnd w:id="119"/>
    </w:p>
    <w:p>
      <w:pPr>
        <w:spacing w:line="500" w:lineRule="exact"/>
        <w:ind w:firstLine="482"/>
        <w:rPr>
          <w:rFonts w:hint="eastAsia" w:ascii="Times New Roman" w:hAnsi="Times New Roman" w:eastAsia="宋体" w:cs="Arial"/>
          <w:b/>
          <w:color w:val="000000" w:themeColor="text1"/>
          <w:sz w:val="28"/>
          <w:szCs w:val="28"/>
          <w:highlight w:val="none"/>
          <w14:textFill>
            <w14:solidFill>
              <w14:schemeClr w14:val="tx1"/>
            </w14:solidFill>
          </w14:textFill>
        </w:rPr>
      </w:pPr>
    </w:p>
    <w:p>
      <w:pPr>
        <w:spacing w:line="500" w:lineRule="exact"/>
        <w:ind w:firstLine="482"/>
        <w:rPr>
          <w:rFonts w:ascii="Times New Roman" w:hAnsi="Times New Roman" w:eastAsia="宋体" w:cs="Arial"/>
          <w:color w:val="000000" w:themeColor="text1"/>
          <w:sz w:val="28"/>
          <w:szCs w:val="28"/>
          <w:highlight w:val="none"/>
          <w14:textFill>
            <w14:solidFill>
              <w14:schemeClr w14:val="tx1"/>
            </w14:solidFill>
          </w14:textFill>
        </w:rPr>
      </w:pPr>
      <w:r>
        <w:rPr>
          <w:rFonts w:hint="eastAsia" w:ascii="Times New Roman" w:hAnsi="Times New Roman" w:eastAsia="宋体" w:cs="Arial"/>
          <w:b/>
          <w:color w:val="000000" w:themeColor="text1"/>
          <w:sz w:val="28"/>
          <w:szCs w:val="28"/>
          <w:highlight w:val="none"/>
          <w14:textFill>
            <w14:solidFill>
              <w14:schemeClr w14:val="tx1"/>
            </w14:solidFill>
          </w14:textFill>
        </w:rPr>
        <w:t>三、粉煤制备工艺流程及配置</w:t>
      </w:r>
    </w:p>
    <w:p>
      <w:pPr>
        <w:spacing w:line="360" w:lineRule="auto"/>
        <w:ind w:firstLine="480" w:firstLineChars="200"/>
        <w:rPr>
          <w:rFonts w:hint="eastAsia"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原煤由皮带送至制粉系统原煤仓，原煤仓中的原煤经密封式定量给料机加进立式磨煤机内，干燥介质用热风炉烟气和系统废气的混合气。原煤在磨煤机内磨碎并同时干燥，合格的粉煤沿管道进入高浓度防爆袋式收尘器被收集，由收尘器下部的粉煤筛筛除杂质后送往粉煤仓，粉煤仓设两座，一座通过单罐定量喷吹泵送至ISF炉喷煤系统，一座通过仓式泵分别送至烟化炉喷煤系统、中试平台喷煤系统</w:t>
      </w:r>
      <w:r>
        <w:rPr>
          <w:rFonts w:hint="eastAsia" w:ascii="Times New Roman" w:hAnsi="Times New Roman" w:eastAsia="宋体" w:cs="Arial"/>
          <w:color w:val="000000" w:themeColor="text1"/>
          <w:sz w:val="24"/>
          <w:szCs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szCs w:val="24"/>
          <w:highlight w:val="none"/>
          <w14:textFill>
            <w14:solidFill>
              <w14:schemeClr w14:val="tx1"/>
            </w14:solidFill>
          </w14:textFill>
        </w:rPr>
        <w:t>中试平台仓式泵不在此合同内）。详见附件</w:t>
      </w:r>
      <w:r>
        <w:rPr>
          <w:rFonts w:hint="eastAsia" w:ascii="Times New Roman" w:hAnsi="Times New Roman" w:cs="Arial"/>
          <w:color w:val="000000" w:themeColor="text1"/>
          <w:sz w:val="24"/>
          <w:szCs w:val="24"/>
          <w:highlight w:val="none"/>
          <w:lang w:eastAsia="zh-CN"/>
          <w14:textFill>
            <w14:solidFill>
              <w14:schemeClr w14:val="tx1"/>
            </w14:solidFill>
          </w14:textFill>
        </w:rPr>
        <w:t>初步设计图纸</w:t>
      </w:r>
      <w:r>
        <w:rPr>
          <w:rFonts w:hint="eastAsia" w:ascii="Times New Roman" w:hAnsi="Times New Roman" w:eastAsia="宋体" w:cs="Arial"/>
          <w:color w:val="000000" w:themeColor="text1"/>
          <w:sz w:val="24"/>
          <w:szCs w:val="24"/>
          <w:highlight w:val="none"/>
          <w14:textFill>
            <w14:solidFill>
              <w14:schemeClr w14:val="tx1"/>
            </w14:solidFill>
          </w14:textFill>
        </w:rPr>
        <w:t>。</w:t>
      </w:r>
    </w:p>
    <w:p>
      <w:pPr>
        <w:spacing w:line="360" w:lineRule="auto"/>
        <w:ind w:firstLine="482" w:firstLineChars="200"/>
        <w:rPr>
          <w:rFonts w:hint="eastAsia" w:ascii="Times New Roman" w:hAnsi="Times New Roman" w:eastAsia="宋体" w:cs="Arial"/>
          <w:b/>
          <w:bCs/>
          <w:color w:val="000000" w:themeColor="text1"/>
          <w:sz w:val="24"/>
          <w:szCs w:val="24"/>
          <w:highlight w:val="none"/>
          <w:lang w:eastAsia="zh-CN"/>
          <w14:textFill>
            <w14:solidFill>
              <w14:schemeClr w14:val="tx1"/>
            </w14:solidFill>
          </w14:textFill>
        </w:rPr>
      </w:pPr>
      <w:r>
        <w:rPr>
          <w:rFonts w:hint="eastAsia" w:ascii="Times New Roman" w:hAnsi="Times New Roman" w:cs="Arial"/>
          <w:b/>
          <w:bCs/>
          <w:color w:val="000000" w:themeColor="text1"/>
          <w:sz w:val="24"/>
          <w:szCs w:val="24"/>
          <w:highlight w:val="none"/>
          <w:lang w:eastAsia="zh-CN"/>
          <w14:textFill>
            <w14:solidFill>
              <w14:schemeClr w14:val="tx1"/>
            </w14:solidFill>
          </w14:textFill>
        </w:rPr>
        <w:t>该系统全套设备需达到国家相关规定的防爆要求。</w:t>
      </w:r>
    </w:p>
    <w:p>
      <w:pPr>
        <w:spacing w:line="360" w:lineRule="auto"/>
        <w:ind w:firstLine="480" w:firstLineChars="200"/>
        <w:rPr>
          <w:rFonts w:ascii="Times New Roman" w:hAnsi="Times New Roman" w:eastAsia="宋体" w:cs="Arial"/>
          <w:color w:val="000000" w:themeColor="text1"/>
          <w:sz w:val="24"/>
          <w:szCs w:val="24"/>
          <w:highlight w:val="none"/>
          <w14:textFill>
            <w14:solidFill>
              <w14:schemeClr w14:val="tx1"/>
            </w14:solidFill>
          </w14:textFill>
        </w:rPr>
      </w:pPr>
    </w:p>
    <w:p>
      <w:pPr>
        <w:spacing w:line="360" w:lineRule="auto"/>
        <w:outlineLvl w:val="0"/>
        <w:rPr>
          <w:rFonts w:ascii="Times New Roman" w:hAnsi="Times New Roman" w:eastAsia="宋体" w:cs="Arial"/>
          <w:b/>
          <w:color w:val="000000" w:themeColor="text1"/>
          <w:sz w:val="28"/>
          <w:szCs w:val="28"/>
          <w:highlight w:val="none"/>
          <w14:textFill>
            <w14:solidFill>
              <w14:schemeClr w14:val="tx1"/>
            </w14:solidFill>
          </w14:textFill>
        </w:rPr>
      </w:pPr>
      <w:r>
        <w:rPr>
          <w:rFonts w:hint="eastAsia" w:ascii="Times New Roman" w:hAnsi="Times New Roman" w:eastAsia="宋体" w:cs="Arial"/>
          <w:b/>
          <w:color w:val="000000" w:themeColor="text1"/>
          <w:sz w:val="28"/>
          <w:szCs w:val="28"/>
          <w:highlight w:val="none"/>
          <w14:textFill>
            <w14:solidFill>
              <w14:schemeClr w14:val="tx1"/>
            </w14:solidFill>
          </w14:textFill>
        </w:rPr>
        <w:t>四、工艺设备清单</w:t>
      </w:r>
    </w:p>
    <w:p>
      <w:pPr>
        <w:spacing w:line="360" w:lineRule="auto"/>
        <w:ind w:firstLine="480" w:firstLineChars="200"/>
        <w:rPr>
          <w:rFonts w:hint="eastAsia" w:ascii="Times New Roman" w:hAnsi="Times New Roman" w:eastAsia="宋体" w:cs="Arial"/>
          <w:color w:val="000000" w:themeColor="text1"/>
          <w:sz w:val="24"/>
          <w:highlight w:val="none"/>
          <w:lang w:eastAsia="zh-CN"/>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供货设备范围</w:t>
      </w:r>
      <w:r>
        <w:rPr>
          <w:rFonts w:hint="eastAsia" w:ascii="Times New Roman" w:hAnsi="Times New Roman" w:eastAsia="宋体" w:cs="Arial"/>
          <w:color w:val="000000" w:themeColor="text1"/>
          <w:sz w:val="24"/>
          <w:highlight w:val="none"/>
          <w:lang w:eastAsia="zh-CN"/>
          <w14:textFill>
            <w14:solidFill>
              <w14:schemeClr w14:val="tx1"/>
            </w14:solidFill>
          </w14:textFill>
        </w:rPr>
        <w:t>：</w:t>
      </w:r>
    </w:p>
    <w:p>
      <w:pPr>
        <w:numPr>
          <w:ilvl w:val="0"/>
          <w:numId w:val="4"/>
        </w:numPr>
        <w:spacing w:line="360" w:lineRule="auto"/>
        <w:ind w:left="-60" w:leftChars="0" w:firstLine="480" w:firstLineChars="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原煤仓开始到粉煤输送系统仓式泵、</w:t>
      </w:r>
      <w:r>
        <w:rPr>
          <w:rFonts w:hint="eastAsia" w:ascii="Times New Roman" w:hAnsi="Times New Roman" w:eastAsia="宋体" w:cs="Arial"/>
          <w:color w:val="000000" w:themeColor="text1"/>
          <w:sz w:val="24"/>
          <w:szCs w:val="24"/>
          <w:highlight w:val="none"/>
          <w14:textFill>
            <w14:solidFill>
              <w14:schemeClr w14:val="tx1"/>
            </w14:solidFill>
          </w14:textFill>
        </w:rPr>
        <w:t>单罐定量喷吹泵</w:t>
      </w:r>
      <w:r>
        <w:rPr>
          <w:rFonts w:hint="eastAsia" w:ascii="Times New Roman" w:hAnsi="Times New Roman" w:eastAsia="宋体" w:cs="Arial"/>
          <w:color w:val="000000" w:themeColor="text1"/>
          <w:sz w:val="24"/>
          <w:highlight w:val="none"/>
          <w14:textFill>
            <w14:solidFill>
              <w14:schemeClr w14:val="tx1"/>
            </w14:solidFill>
          </w14:textFill>
        </w:rPr>
        <w:t>为止所有设备、管道系统及电气仪表</w:t>
      </w:r>
      <w:r>
        <w:rPr>
          <w:rFonts w:hint="eastAsia" w:ascii="Times New Roman" w:hAnsi="Times New Roman" w:cs="Arial"/>
          <w:color w:val="000000" w:themeColor="text1"/>
          <w:sz w:val="24"/>
          <w:highlight w:val="none"/>
          <w:lang w:eastAsia="zh-CN"/>
          <w14:textFill>
            <w14:solidFill>
              <w14:schemeClr w14:val="tx1"/>
            </w14:solidFill>
          </w14:textFill>
        </w:rPr>
        <w:t>；</w:t>
      </w:r>
    </w:p>
    <w:p>
      <w:pPr>
        <w:numPr>
          <w:ilvl w:val="0"/>
          <w:numId w:val="4"/>
        </w:numPr>
        <w:spacing w:line="360" w:lineRule="auto"/>
        <w:ind w:left="-60" w:leftChars="0" w:firstLine="480" w:firstLineChars="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单罐定量喷吹泵</w:t>
      </w:r>
      <w:r>
        <w:rPr>
          <w:rFonts w:hint="eastAsia" w:ascii="Times New Roman" w:hAnsi="Times New Roman" w:eastAsia="宋体" w:cs="Arial"/>
          <w:color w:val="000000" w:themeColor="text1"/>
          <w:sz w:val="24"/>
          <w:highlight w:val="none"/>
          <w14:textFill>
            <w14:solidFill>
              <w14:schemeClr w14:val="tx1"/>
            </w14:solidFill>
          </w14:textFill>
        </w:rPr>
        <w:t>至ISF炉粉煤分配器输送管道</w:t>
      </w:r>
      <w:r>
        <w:rPr>
          <w:rFonts w:hint="eastAsia" w:ascii="Times New Roman" w:hAnsi="Times New Roman" w:eastAsia="宋体" w:cs="Arial"/>
          <w:color w:val="000000" w:themeColor="text1"/>
          <w:sz w:val="24"/>
          <w:highlight w:val="none"/>
          <w:lang w:val="en-US" w:eastAsia="zh-CN"/>
          <w14:textFill>
            <w14:solidFill>
              <w14:schemeClr w14:val="tx1"/>
            </w14:solidFill>
          </w14:textFill>
        </w:rPr>
        <w:t>为止</w:t>
      </w:r>
      <w:r>
        <w:rPr>
          <w:rFonts w:hint="eastAsia" w:ascii="Times New Roman" w:hAnsi="Times New Roman" w:eastAsia="宋体" w:cs="Arial"/>
          <w:color w:val="000000" w:themeColor="text1"/>
          <w:sz w:val="24"/>
          <w:highlight w:val="none"/>
          <w14:textFill>
            <w14:solidFill>
              <w14:schemeClr w14:val="tx1"/>
            </w14:solidFill>
          </w14:textFill>
        </w:rPr>
        <w:t>所有设备、管道系统及电气仪表</w:t>
      </w:r>
      <w:r>
        <w:rPr>
          <w:rFonts w:hint="eastAsia" w:ascii="Times New Roman" w:hAnsi="Times New Roman" w:cs="Arial"/>
          <w:color w:val="000000" w:themeColor="text1"/>
          <w:sz w:val="24"/>
          <w:highlight w:val="none"/>
          <w:lang w:eastAsia="zh-CN"/>
          <w14:textFill>
            <w14:solidFill>
              <w14:schemeClr w14:val="tx1"/>
            </w14:solidFill>
          </w14:textFill>
        </w:rPr>
        <w:t>；</w:t>
      </w:r>
    </w:p>
    <w:p>
      <w:pPr>
        <w:numPr>
          <w:ilvl w:val="0"/>
          <w:numId w:val="4"/>
        </w:numPr>
        <w:spacing w:line="360" w:lineRule="auto"/>
        <w:ind w:left="-60" w:leftChars="0" w:firstLine="480" w:firstLineChars="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lang w:val="en-US" w:eastAsia="zh-CN"/>
          <w14:textFill>
            <w14:solidFill>
              <w14:schemeClr w14:val="tx1"/>
            </w14:solidFill>
          </w14:textFill>
        </w:rPr>
        <w:t>以上设备（含磨煤、输送、喷煤等）控制系统设计和软件开发</w:t>
      </w:r>
      <w:r>
        <w:rPr>
          <w:rFonts w:hint="eastAsia" w:ascii="Times New Roman" w:hAnsi="Times New Roman" w:cs="Arial"/>
          <w:color w:val="000000" w:themeColor="text1"/>
          <w:sz w:val="24"/>
          <w:highlight w:val="none"/>
          <w:lang w:val="en-US" w:eastAsia="zh-CN"/>
          <w14:textFill>
            <w14:solidFill>
              <w14:schemeClr w14:val="tx1"/>
            </w14:solidFill>
          </w14:textFill>
        </w:rPr>
        <w:t>（开放通讯接口）</w:t>
      </w:r>
      <w:r>
        <w:rPr>
          <w:rFonts w:hint="eastAsia" w:ascii="Times New Roman" w:hAnsi="Times New Roman" w:eastAsia="宋体" w:cs="Arial"/>
          <w:color w:val="000000" w:themeColor="text1"/>
          <w:sz w:val="24"/>
          <w:highlight w:val="none"/>
          <w:lang w:val="en-US" w:eastAsia="zh-CN"/>
          <w14:textFill>
            <w14:solidFill>
              <w14:schemeClr w14:val="tx1"/>
            </w14:solidFill>
          </w14:textFill>
        </w:rPr>
        <w:t>。</w:t>
      </w:r>
    </w:p>
    <w:p>
      <w:pPr>
        <w:numPr>
          <w:ilvl w:val="0"/>
          <w:numId w:val="4"/>
        </w:numPr>
        <w:spacing w:line="360" w:lineRule="auto"/>
        <w:ind w:left="-60" w:leftChars="0" w:firstLine="480" w:firstLineChars="0"/>
        <w:rPr>
          <w:rFonts w:ascii="Times New Roman" w:hAnsi="Times New Roman" w:eastAsia="宋体" w:cs="Arial"/>
          <w:b w:val="0"/>
          <w:bCs w:val="0"/>
          <w:color w:val="000000" w:themeColor="text1"/>
          <w:sz w:val="24"/>
          <w:highlight w:val="none"/>
          <w14:textFill>
            <w14:solidFill>
              <w14:schemeClr w14:val="tx1"/>
            </w14:solidFill>
          </w14:textFill>
        </w:rPr>
      </w:pPr>
      <w:r>
        <w:rPr>
          <w:rFonts w:hint="eastAsia" w:ascii="Times New Roman" w:hAnsi="Times New Roman" w:cs="Arial"/>
          <w:color w:val="000000" w:themeColor="text1"/>
          <w:sz w:val="24"/>
          <w:highlight w:val="none"/>
          <w14:textFill>
            <w14:solidFill>
              <w14:schemeClr w14:val="tx1"/>
            </w14:solidFill>
          </w14:textFill>
        </w:rPr>
        <w:t>收尘器的爬梯护栏</w:t>
      </w:r>
      <w:r>
        <w:rPr>
          <w:rFonts w:hint="eastAsia" w:ascii="Times New Roman" w:hAnsi="Times New Roman" w:cs="Arial"/>
          <w:color w:val="000000" w:themeColor="text1"/>
          <w:sz w:val="24"/>
          <w:highlight w:val="none"/>
          <w:lang w:val="en-US" w:eastAsia="zh-CN"/>
          <w14:textFill>
            <w14:solidFill>
              <w14:schemeClr w14:val="tx1"/>
            </w14:solidFill>
          </w14:textFill>
        </w:rPr>
        <w:t>及</w:t>
      </w:r>
      <w:r>
        <w:rPr>
          <w:rFonts w:hint="eastAsia" w:ascii="Times New Roman" w:hAnsi="Times New Roman" w:cs="Arial"/>
          <w:color w:val="000000" w:themeColor="text1"/>
          <w:sz w:val="24"/>
          <w:highlight w:val="none"/>
          <w14:textFill>
            <w14:solidFill>
              <w14:schemeClr w14:val="tx1"/>
            </w14:solidFill>
          </w14:textFill>
        </w:rPr>
        <w:t>检修平台、立磨机的检修平台、煤粉仓的检修平台</w:t>
      </w:r>
      <w:r>
        <w:rPr>
          <w:rFonts w:hint="eastAsia" w:ascii="Times New Roman" w:hAnsi="Times New Roman" w:cs="Arial"/>
          <w:color w:val="000000" w:themeColor="text1"/>
          <w:sz w:val="24"/>
          <w:highlight w:val="none"/>
          <w:lang w:eastAsia="zh-CN"/>
          <w14:textFill>
            <w14:solidFill>
              <w14:schemeClr w14:val="tx1"/>
            </w14:solidFill>
          </w14:textFill>
        </w:rPr>
        <w:t>、</w:t>
      </w:r>
      <w:r>
        <w:rPr>
          <w:rFonts w:hint="eastAsia" w:ascii="Times New Roman" w:hAnsi="Times New Roman" w:cs="Arial"/>
          <w:b w:val="0"/>
          <w:bCs w:val="0"/>
          <w:color w:val="000000" w:themeColor="text1"/>
          <w:sz w:val="24"/>
          <w:highlight w:val="none"/>
          <w14:textFill>
            <w14:solidFill>
              <w14:schemeClr w14:val="tx1"/>
            </w14:solidFill>
          </w14:textFill>
        </w:rPr>
        <w:t>管路支架及对接法兰</w:t>
      </w:r>
      <w:r>
        <w:rPr>
          <w:rFonts w:hint="eastAsia" w:ascii="Times New Roman" w:hAnsi="Times New Roman" w:cs="Arial"/>
          <w:b w:val="0"/>
          <w:bCs w:val="0"/>
          <w:color w:val="000000" w:themeColor="text1"/>
          <w:sz w:val="24"/>
          <w:highlight w:val="none"/>
          <w:lang w:eastAsia="zh-CN"/>
          <w14:textFill>
            <w14:solidFill>
              <w14:schemeClr w14:val="tx1"/>
            </w14:solidFill>
          </w14:textFill>
        </w:rPr>
        <w:t>等，检修平台</w:t>
      </w:r>
      <w:r>
        <w:rPr>
          <w:rFonts w:hint="eastAsia" w:ascii="Times New Roman" w:hAnsi="Times New Roman" w:cs="Arial"/>
          <w:b w:val="0"/>
          <w:bCs w:val="0"/>
          <w:color w:val="000000" w:themeColor="text1"/>
          <w:sz w:val="24"/>
          <w:highlight w:val="none"/>
          <w14:textFill>
            <w14:solidFill>
              <w14:schemeClr w14:val="tx1"/>
            </w14:solidFill>
          </w14:textFill>
        </w:rPr>
        <w:t>爬梯选用折梯</w:t>
      </w:r>
      <w:r>
        <w:rPr>
          <w:rFonts w:hint="eastAsia" w:ascii="Times New Roman" w:hAnsi="Times New Roman" w:cs="Arial"/>
          <w:b w:val="0"/>
          <w:bCs w:val="0"/>
          <w:color w:val="000000" w:themeColor="text1"/>
          <w:sz w:val="24"/>
          <w:highlight w:val="none"/>
          <w:lang w:eastAsia="zh-CN"/>
          <w14:textFill>
            <w14:solidFill>
              <w14:schemeClr w14:val="tx1"/>
            </w14:solidFill>
          </w14:textFill>
        </w:rPr>
        <w:t>，</w:t>
      </w:r>
      <w:r>
        <w:rPr>
          <w:rFonts w:hint="eastAsia" w:ascii="Times New Roman" w:hAnsi="Times New Roman" w:cs="Arial"/>
          <w:b w:val="0"/>
          <w:bCs w:val="0"/>
          <w:color w:val="000000" w:themeColor="text1"/>
          <w:sz w:val="24"/>
          <w:highlight w:val="none"/>
          <w14:textFill>
            <w14:solidFill>
              <w14:schemeClr w14:val="tx1"/>
            </w14:solidFill>
          </w14:textFill>
        </w:rPr>
        <w:t>检修平台</w:t>
      </w:r>
      <w:r>
        <w:rPr>
          <w:rFonts w:hint="eastAsia" w:ascii="Times New Roman" w:hAnsi="Times New Roman" w:cs="Arial"/>
          <w:b w:val="0"/>
          <w:bCs w:val="0"/>
          <w:color w:val="000000" w:themeColor="text1"/>
          <w:sz w:val="24"/>
          <w:highlight w:val="none"/>
          <w:lang w:eastAsia="zh-CN"/>
          <w14:textFill>
            <w14:solidFill>
              <w14:schemeClr w14:val="tx1"/>
            </w14:solidFill>
          </w14:textFill>
        </w:rPr>
        <w:t>符合安全规范要求。</w:t>
      </w:r>
    </w:p>
    <w:p>
      <w:pPr>
        <w:numPr>
          <w:ilvl w:val="0"/>
          <w:numId w:val="4"/>
        </w:numPr>
        <w:spacing w:line="360" w:lineRule="auto"/>
        <w:ind w:left="-60" w:leftChars="0" w:firstLine="480" w:firstLineChars="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cs="Arial"/>
          <w:color w:val="000000" w:themeColor="text1"/>
          <w:sz w:val="24"/>
          <w:highlight w:val="none"/>
          <w:lang w:eastAsia="zh-CN"/>
          <w14:textFill>
            <w14:solidFill>
              <w14:schemeClr w14:val="tx1"/>
            </w14:solidFill>
          </w14:textFill>
        </w:rPr>
        <w:t>特种设备、压力容器及管道、配套仪表、安全阀、流量计等报装报检。取得相关检定证书。</w:t>
      </w:r>
    </w:p>
    <w:p>
      <w:pPr>
        <w:numPr>
          <w:ilvl w:val="0"/>
          <w:numId w:val="4"/>
        </w:numPr>
        <w:spacing w:line="360" w:lineRule="auto"/>
        <w:ind w:left="-60" w:leftChars="0" w:firstLine="480" w:firstLineChars="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cs="Arial"/>
          <w:color w:val="000000" w:themeColor="text1"/>
          <w:sz w:val="24"/>
          <w:highlight w:val="none"/>
          <w:lang w:eastAsia="zh-CN"/>
          <w14:textFill>
            <w14:solidFill>
              <w14:schemeClr w14:val="tx1"/>
            </w14:solidFill>
          </w14:textFill>
        </w:rPr>
        <w:t>根据现场实际情况对原煤仓进行优化改造（含配套设施）。</w:t>
      </w:r>
    </w:p>
    <w:p>
      <w:pPr>
        <w:numPr>
          <w:ilvl w:val="0"/>
          <w:numId w:val="4"/>
        </w:numPr>
        <w:spacing w:line="360" w:lineRule="auto"/>
        <w:ind w:left="-60" w:leftChars="0" w:firstLine="480" w:firstLineChars="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cs="Arial"/>
          <w:color w:val="000000" w:themeColor="text1"/>
          <w:sz w:val="24"/>
          <w:highlight w:val="none"/>
          <w14:textFill>
            <w14:solidFill>
              <w14:schemeClr w14:val="tx1"/>
            </w14:solidFill>
          </w14:textFill>
        </w:rPr>
        <w:t>不含土建施工（具体见初设图）、电缆沟施工及盖板</w:t>
      </w:r>
      <w:r>
        <w:rPr>
          <w:rFonts w:hint="eastAsia" w:ascii="Times New Roman" w:hAnsi="Times New Roman" w:cs="Arial"/>
          <w:color w:val="000000" w:themeColor="text1"/>
          <w:sz w:val="24"/>
          <w:highlight w:val="none"/>
          <w:lang w:eastAsia="zh-CN"/>
          <w14:textFill>
            <w14:solidFill>
              <w14:schemeClr w14:val="tx1"/>
            </w14:solidFill>
          </w14:textFill>
        </w:rPr>
        <w:t>、</w:t>
      </w:r>
      <w:r>
        <w:rPr>
          <w:rFonts w:hint="eastAsia" w:ascii="Times New Roman" w:hAnsi="Times New Roman" w:cs="Arial"/>
          <w:color w:val="000000" w:themeColor="text1"/>
          <w:sz w:val="24"/>
          <w:highlight w:val="none"/>
          <w14:textFill>
            <w14:solidFill>
              <w14:schemeClr w14:val="tx1"/>
            </w14:solidFill>
          </w14:textFill>
        </w:rPr>
        <w:t>管廊等。不包含旧设备的拆除</w:t>
      </w:r>
      <w:r>
        <w:rPr>
          <w:rFonts w:hint="eastAsia" w:ascii="Times New Roman" w:hAnsi="Times New Roman" w:cs="Arial"/>
          <w:color w:val="000000" w:themeColor="text1"/>
          <w:sz w:val="24"/>
          <w:highlight w:val="none"/>
          <w:lang w:eastAsia="zh-CN"/>
          <w14:textFill>
            <w14:solidFill>
              <w14:schemeClr w14:val="tx1"/>
            </w14:solidFill>
          </w14:textFill>
        </w:rPr>
        <w:t>。</w:t>
      </w:r>
    </w:p>
    <w:p>
      <w:pPr>
        <w:spacing w:line="360" w:lineRule="auto"/>
        <w:ind w:firstLine="480" w:firstLineChars="200"/>
        <w:rPr>
          <w:rFonts w:ascii="Times New Roman" w:hAnsi="Times New Roman" w:eastAsia="宋体" w:cs="Arial"/>
          <w:color w:val="000000" w:themeColor="text1"/>
          <w:sz w:val="24"/>
          <w:szCs w:val="28"/>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本制备系统要求充分利用粉煤制备系统尾气，以降低系统含氧量及节能降耗。</w:t>
      </w:r>
      <w:r>
        <w:rPr>
          <w:rFonts w:hint="eastAsia" w:ascii="Times New Roman" w:hAnsi="Times New Roman" w:eastAsia="宋体" w:cs="Arial"/>
          <w:color w:val="000000" w:themeColor="text1"/>
          <w:sz w:val="24"/>
          <w:szCs w:val="28"/>
          <w:highlight w:val="none"/>
          <w14:textFill>
            <w14:solidFill>
              <w14:schemeClr w14:val="tx1"/>
            </w14:solidFill>
          </w14:textFill>
        </w:rPr>
        <w:t>要求供货商提供生产过程的整套设备</w:t>
      </w:r>
      <w:r>
        <w:rPr>
          <w:rFonts w:hint="eastAsia" w:ascii="Times New Roman" w:hAnsi="Times New Roman" w:eastAsia="宋体" w:cs="Arial"/>
          <w:color w:val="000000" w:themeColor="text1"/>
          <w:sz w:val="24"/>
          <w:szCs w:val="28"/>
          <w:highlight w:val="none"/>
          <w:lang w:eastAsia="zh-CN"/>
          <w14:textFill>
            <w14:solidFill>
              <w14:schemeClr w14:val="tx1"/>
            </w14:solidFill>
          </w14:textFill>
        </w:rPr>
        <w:t>（</w:t>
      </w:r>
      <w:r>
        <w:rPr>
          <w:rFonts w:hint="eastAsia" w:ascii="Times New Roman" w:hAnsi="Times New Roman" w:eastAsia="宋体" w:cs="Arial"/>
          <w:color w:val="000000" w:themeColor="text1"/>
          <w:sz w:val="24"/>
          <w:szCs w:val="28"/>
          <w:highlight w:val="none"/>
          <w14:textFill>
            <w14:solidFill>
              <w14:schemeClr w14:val="tx1"/>
            </w14:solidFill>
          </w14:textFill>
        </w:rPr>
        <w:t>含：设备、工装、附件、控制系统、供电、保护、电器仪表、所有设备和管道的防腐及保温等</w:t>
      </w:r>
      <w:r>
        <w:rPr>
          <w:rFonts w:hint="eastAsia" w:ascii="Times New Roman" w:hAnsi="Times New Roman" w:cs="Arial"/>
          <w:color w:val="000000" w:themeColor="text1"/>
          <w:sz w:val="24"/>
          <w:szCs w:val="28"/>
          <w:highlight w:val="none"/>
          <w:lang w:val="en-US" w:eastAsia="zh-CN"/>
          <w14:textFill>
            <w14:solidFill>
              <w14:schemeClr w14:val="tx1"/>
            </w14:solidFill>
          </w14:textFill>
        </w:rPr>
        <w:t>的</w:t>
      </w:r>
      <w:r>
        <w:rPr>
          <w:rFonts w:hint="eastAsia" w:ascii="Times New Roman" w:hAnsi="Times New Roman" w:eastAsia="宋体" w:cs="Arial"/>
          <w:color w:val="000000" w:themeColor="text1"/>
          <w:sz w:val="24"/>
          <w:szCs w:val="28"/>
          <w:highlight w:val="none"/>
          <w14:textFill>
            <w14:solidFill>
              <w14:schemeClr w14:val="tx1"/>
            </w14:solidFill>
          </w14:textFill>
        </w:rPr>
        <w:t>设计、供货、安装、调试</w:t>
      </w:r>
      <w:r>
        <w:rPr>
          <w:rFonts w:hint="eastAsia" w:ascii="Times New Roman" w:hAnsi="Times New Roman" w:cs="Arial"/>
          <w:color w:val="000000" w:themeColor="text1"/>
          <w:sz w:val="24"/>
          <w:szCs w:val="28"/>
          <w:highlight w:val="none"/>
          <w:lang w:eastAsia="zh-CN"/>
          <w14:textFill>
            <w14:solidFill>
              <w14:schemeClr w14:val="tx1"/>
            </w14:solidFill>
          </w14:textFill>
        </w:rPr>
        <w:t>、培训售后、质保</w:t>
      </w:r>
      <w:r>
        <w:rPr>
          <w:rFonts w:hint="eastAsia" w:ascii="Times New Roman" w:hAnsi="Times New Roman" w:eastAsia="宋体" w:cs="Arial"/>
          <w:color w:val="000000" w:themeColor="text1"/>
          <w:sz w:val="24"/>
          <w:szCs w:val="28"/>
          <w:highlight w:val="none"/>
          <w14:textFill>
            <w14:solidFill>
              <w14:schemeClr w14:val="tx1"/>
            </w14:solidFill>
          </w14:textFill>
        </w:rPr>
        <w:t>），主要工艺设备清单如下：</w:t>
      </w:r>
    </w:p>
    <w:tbl>
      <w:tblPr>
        <w:tblStyle w:val="27"/>
        <w:tblW w:w="5000" w:type="pct"/>
        <w:tblInd w:w="0" w:type="dxa"/>
        <w:tblLayout w:type="autofit"/>
        <w:tblCellMar>
          <w:top w:w="0" w:type="dxa"/>
          <w:left w:w="108" w:type="dxa"/>
          <w:bottom w:w="0" w:type="dxa"/>
          <w:right w:w="108" w:type="dxa"/>
        </w:tblCellMar>
      </w:tblPr>
      <w:tblGrid>
        <w:gridCol w:w="838"/>
        <w:gridCol w:w="1286"/>
        <w:gridCol w:w="5615"/>
        <w:gridCol w:w="1548"/>
      </w:tblGrid>
      <w:tr>
        <w:tblPrEx>
          <w:tblCellMar>
            <w:top w:w="0" w:type="dxa"/>
            <w:left w:w="108" w:type="dxa"/>
            <w:bottom w:w="0" w:type="dxa"/>
            <w:right w:w="108" w:type="dxa"/>
          </w:tblCellMar>
        </w:tblPrEx>
        <w:trPr>
          <w:trHeight w:val="312" w:hRule="atLeast"/>
          <w:tblHeader/>
        </w:trPr>
        <w:tc>
          <w:tcPr>
            <w:tcW w:w="451"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Times New Roman" w:hAnsi="Times New Roman" w:eastAsia="宋体" w:cs="宋体"/>
                <w:b/>
                <w:bCs/>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color w:val="000000" w:themeColor="text1"/>
                <w:kern w:val="0"/>
                <w:sz w:val="24"/>
                <w:szCs w:val="24"/>
                <w:highlight w:val="none"/>
                <w14:textFill>
                  <w14:solidFill>
                    <w14:schemeClr w14:val="tx1"/>
                  </w14:solidFill>
                </w14:textFill>
              </w:rPr>
              <w:t>序号</w:t>
            </w:r>
          </w:p>
        </w:tc>
        <w:tc>
          <w:tcPr>
            <w:tcW w:w="692"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Times New Roman" w:hAnsi="Times New Roman" w:eastAsia="宋体" w:cs="宋体"/>
                <w:b/>
                <w:bCs/>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color w:val="000000" w:themeColor="text1"/>
                <w:kern w:val="0"/>
                <w:sz w:val="24"/>
                <w:szCs w:val="24"/>
                <w:highlight w:val="none"/>
                <w14:textFill>
                  <w14:solidFill>
                    <w14:schemeClr w14:val="tx1"/>
                  </w14:solidFill>
                </w14:textFill>
              </w:rPr>
              <w:t>设备位号</w:t>
            </w:r>
          </w:p>
        </w:tc>
        <w:tc>
          <w:tcPr>
            <w:tcW w:w="3021"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Times New Roman" w:hAnsi="Times New Roman" w:eastAsia="宋体" w:cs="宋体"/>
                <w:b/>
                <w:bCs/>
                <w:color w:val="000000" w:themeColor="text1"/>
                <w:kern w:val="0"/>
                <w:sz w:val="24"/>
                <w:szCs w:val="24"/>
                <w:highlight w:val="none"/>
                <w14:textFill>
                  <w14:solidFill>
                    <w14:schemeClr w14:val="tx1"/>
                  </w14:solidFill>
                </w14:textFill>
              </w:rPr>
            </w:pPr>
            <w:r>
              <w:rPr>
                <w:rFonts w:hint="eastAsia" w:ascii="Times New Roman" w:hAnsi="Times New Roman" w:eastAsia="宋体" w:cs="宋体"/>
                <w:b/>
                <w:bCs/>
                <w:color w:val="000000" w:themeColor="text1"/>
                <w:kern w:val="0"/>
                <w:sz w:val="24"/>
                <w:szCs w:val="24"/>
                <w:highlight w:val="none"/>
                <w14:textFill>
                  <w14:solidFill>
                    <w14:schemeClr w14:val="tx1"/>
                  </w14:solidFill>
                </w14:textFill>
              </w:rPr>
              <w:t>设备名称及型号</w:t>
            </w:r>
          </w:p>
        </w:tc>
        <w:tc>
          <w:tcPr>
            <w:tcW w:w="833" w:type="pct"/>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宋体" w:cs="宋体"/>
                <w:b/>
                <w:bCs/>
                <w:color w:val="000000" w:themeColor="text1"/>
                <w:kern w:val="0"/>
                <w:sz w:val="24"/>
                <w:szCs w:val="24"/>
                <w:highlight w:val="none"/>
                <w:lang w:eastAsia="zh-CN"/>
                <w14:textFill>
                  <w14:solidFill>
                    <w14:schemeClr w14:val="tx1"/>
                  </w14:solidFill>
                </w14:textFill>
              </w:rPr>
            </w:pPr>
            <w:r>
              <w:rPr>
                <w:rFonts w:hint="eastAsia" w:ascii="Times New Roman" w:hAnsi="Times New Roman" w:eastAsia="宋体" w:cs="宋体"/>
                <w:b/>
                <w:bCs/>
                <w:color w:val="000000" w:themeColor="text1"/>
                <w:kern w:val="0"/>
                <w:sz w:val="24"/>
                <w:szCs w:val="24"/>
                <w:highlight w:val="none"/>
                <w14:textFill>
                  <w14:solidFill>
                    <w14:schemeClr w14:val="tx1"/>
                  </w14:solidFill>
                </w14:textFill>
              </w:rPr>
              <w:t>数量</w:t>
            </w:r>
            <w:r>
              <w:rPr>
                <w:rFonts w:hint="eastAsia" w:ascii="Times New Roman" w:hAnsi="Times New Roman" w:cs="宋体"/>
                <w:b/>
                <w:bCs/>
                <w:color w:val="000000" w:themeColor="text1"/>
                <w:kern w:val="0"/>
                <w:sz w:val="24"/>
                <w:szCs w:val="24"/>
                <w:highlight w:val="none"/>
                <w:lang w:eastAsia="zh-CN"/>
                <w14:textFill>
                  <w14:solidFill>
                    <w14:schemeClr w14:val="tx1"/>
                  </w14:solidFill>
                </w14:textFill>
              </w:rPr>
              <w:t>（套）</w:t>
            </w:r>
          </w:p>
        </w:tc>
      </w:tr>
      <w:tr>
        <w:tblPrEx>
          <w:tblCellMar>
            <w:top w:w="0" w:type="dxa"/>
            <w:left w:w="108" w:type="dxa"/>
            <w:bottom w:w="0" w:type="dxa"/>
            <w:right w:w="108" w:type="dxa"/>
          </w:tblCellMar>
        </w:tblPrEx>
        <w:trPr>
          <w:trHeight w:val="312" w:hRule="atLeast"/>
          <w:tblHeader/>
        </w:trPr>
        <w:tc>
          <w:tcPr>
            <w:tcW w:w="45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宋体"/>
                <w:b/>
                <w:bCs/>
                <w:color w:val="000000" w:themeColor="text1"/>
                <w:kern w:val="0"/>
                <w:sz w:val="24"/>
                <w:szCs w:val="24"/>
                <w:highlight w:val="none"/>
                <w14:textFill>
                  <w14:solidFill>
                    <w14:schemeClr w14:val="tx1"/>
                  </w14:solidFill>
                </w14:textFill>
              </w:rPr>
            </w:pPr>
          </w:p>
        </w:tc>
        <w:tc>
          <w:tcPr>
            <w:tcW w:w="69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宋体"/>
                <w:b/>
                <w:bCs/>
                <w:color w:val="000000" w:themeColor="text1"/>
                <w:kern w:val="0"/>
                <w:sz w:val="24"/>
                <w:szCs w:val="24"/>
                <w:highlight w:val="none"/>
                <w14:textFill>
                  <w14:solidFill>
                    <w14:schemeClr w14:val="tx1"/>
                  </w14:solidFill>
                </w14:textFill>
              </w:rPr>
            </w:pPr>
          </w:p>
        </w:tc>
        <w:tc>
          <w:tcPr>
            <w:tcW w:w="302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宋体"/>
                <w:b/>
                <w:bCs/>
                <w:color w:val="000000" w:themeColor="text1"/>
                <w:kern w:val="0"/>
                <w:sz w:val="24"/>
                <w:szCs w:val="24"/>
                <w:highlight w:val="none"/>
                <w14:textFill>
                  <w14:solidFill>
                    <w14:schemeClr w14:val="tx1"/>
                  </w14:solidFill>
                </w14:textFill>
              </w:rPr>
            </w:pPr>
          </w:p>
        </w:tc>
        <w:tc>
          <w:tcPr>
            <w:tcW w:w="83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宋体"/>
                <w:b/>
                <w:bCs/>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1</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cs="Arial"/>
                <w:color w:val="000000" w:themeColor="text1"/>
                <w:sz w:val="24"/>
                <w:szCs w:val="24"/>
                <w:highlight w:val="none"/>
                <w14:textFill>
                  <w14:solidFill>
                    <w14:schemeClr w14:val="tx1"/>
                  </w14:solidFill>
                </w14:textFill>
              </w:rPr>
              <w:t>定量给料机</w:t>
            </w:r>
            <w:r>
              <w:rPr>
                <w:rFonts w:hint="eastAsia" w:ascii="Times New Roman" w:hAnsi="Times New Roman" w:cs="Arial"/>
                <w:color w:val="000000" w:themeColor="text1"/>
                <w:sz w:val="24"/>
                <w:szCs w:val="24"/>
                <w:highlight w:val="none"/>
                <w:lang w:eastAsia="zh-CN"/>
                <w14:textFill>
                  <w14:solidFill>
                    <w14:schemeClr w14:val="tx1"/>
                  </w14:solidFill>
                </w14:textFill>
              </w:rPr>
              <w:t>：</w:t>
            </w:r>
            <w:r>
              <w:rPr>
                <w:rFonts w:hint="eastAsia" w:ascii="Times New Roman" w:hAnsi="Times New Roman" w:cs="Arial"/>
                <w:color w:val="000000" w:themeColor="text1"/>
                <w:sz w:val="24"/>
                <w:szCs w:val="24"/>
                <w:highlight w:val="none"/>
                <w14:textFill>
                  <w14:solidFill>
                    <w14:schemeClr w14:val="tx1"/>
                  </w14:solidFill>
                </w14:textFill>
              </w:rPr>
              <w:t>配锁风阀，确保无泄漏、无扬尘</w:t>
            </w:r>
          </w:p>
        </w:tc>
        <w:tc>
          <w:tcPr>
            <w:tcW w:w="833"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2</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立式磨煤机</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p>
          <w:p>
            <w:pPr>
              <w:widowControl/>
              <w:jc w:val="left"/>
              <w:rPr>
                <w:rFonts w:hint="eastAsia" w:ascii="Times New Roman" w:hAnsi="Times New Roman" w:cs="宋体"/>
                <w:color w:val="000000" w:themeColor="text1"/>
                <w:kern w:val="0"/>
                <w:sz w:val="24"/>
                <w:szCs w:val="24"/>
                <w:highlight w:val="none"/>
                <w:lang w:eastAsia="zh-CN"/>
                <w14:textFill>
                  <w14:solidFill>
                    <w14:schemeClr w14:val="tx1"/>
                  </w14:solidFill>
                </w14:textFill>
              </w:rPr>
            </w:pPr>
            <w:r>
              <w:rPr>
                <w:rFonts w:hint="eastAsia" w:ascii="Times New Roman" w:hAnsi="Times New Roman" w:cs="宋体"/>
                <w:color w:val="000000" w:themeColor="text1"/>
                <w:kern w:val="0"/>
                <w:sz w:val="24"/>
                <w:szCs w:val="24"/>
                <w:highlight w:val="none"/>
                <w14:textFill>
                  <w14:solidFill>
                    <w14:schemeClr w14:val="tx1"/>
                  </w14:solidFill>
                </w14:textFill>
              </w:rPr>
              <w:t>有效磨盘研磨中径：大于1300mm</w:t>
            </w:r>
            <w:r>
              <w:rPr>
                <w:rFonts w:hint="eastAsia" w:ascii="Times New Roman" w:hAnsi="Times New Roman" w:cs="宋体"/>
                <w:color w:val="000000" w:themeColor="text1"/>
                <w:kern w:val="0"/>
                <w:sz w:val="24"/>
                <w:szCs w:val="24"/>
                <w:highlight w:val="none"/>
                <w:lang w:eastAsia="zh-CN"/>
                <w14:textFill>
                  <w14:solidFill>
                    <w14:schemeClr w14:val="tx1"/>
                  </w14:solidFill>
                </w14:textFill>
              </w:rPr>
              <w:t>；</w:t>
            </w:r>
          </w:p>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Q=</w:t>
            </w: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1</w:t>
            </w:r>
            <w:r>
              <w:rPr>
                <w:rFonts w:ascii="Times New Roman" w:hAnsi="Times New Roman" w:eastAsia="宋体" w:cs="宋体"/>
                <w:color w:val="000000" w:themeColor="text1"/>
                <w:kern w:val="0"/>
                <w:sz w:val="24"/>
                <w:szCs w:val="24"/>
                <w:highlight w:val="none"/>
                <w14:textFill>
                  <w14:solidFill>
                    <w14:schemeClr w14:val="tx1"/>
                  </w14:solidFill>
                </w14:textFill>
              </w:rPr>
              <w:t>0t/h</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vMerge w:val="restart"/>
            <w:tcBorders>
              <w:top w:val="nil"/>
              <w:left w:val="single" w:color="auto" w:sz="4" w:space="0"/>
              <w:right w:val="single" w:color="auto" w:sz="4" w:space="0"/>
            </w:tcBorders>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3</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煤磨除尘器</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r>
              <w:rPr>
                <w:rFonts w:hint="eastAsia" w:ascii="Times New Roman" w:hAnsi="Times New Roman" w:cs="宋体"/>
                <w:color w:val="000000" w:themeColor="text1"/>
                <w:kern w:val="0"/>
                <w:sz w:val="24"/>
                <w:szCs w:val="24"/>
                <w:highlight w:val="none"/>
                <w:lang w:eastAsia="zh-CN"/>
                <w14:textFill>
                  <w14:solidFill>
                    <w14:schemeClr w14:val="tx1"/>
                  </w14:solidFill>
                </w14:textFill>
              </w:rPr>
              <w:t>（</w:t>
            </w:r>
            <w:r>
              <w:rPr>
                <w:rFonts w:hint="eastAsia" w:ascii="Times New Roman" w:hAnsi="Times New Roman" w:cs="宋体"/>
                <w:color w:val="000000" w:themeColor="text1"/>
                <w:kern w:val="0"/>
                <w:sz w:val="24"/>
                <w:szCs w:val="24"/>
                <w:highlight w:val="none"/>
                <w14:textFill>
                  <w14:solidFill>
                    <w14:schemeClr w14:val="tx1"/>
                  </w14:solidFill>
                </w14:textFill>
              </w:rPr>
              <w:t>除尘器出口烟气流速小于等于0.35m/s，滤袋改用针刺毡覆膜采用PTFE材质</w:t>
            </w:r>
            <w:r>
              <w:rPr>
                <w:rFonts w:hint="eastAsia" w:ascii="Times New Roman" w:hAnsi="Times New Roman" w:cs="宋体"/>
                <w:color w:val="000000" w:themeColor="text1"/>
                <w:kern w:val="0"/>
                <w:sz w:val="24"/>
                <w:szCs w:val="24"/>
                <w:highlight w:val="none"/>
                <w:lang w:eastAsia="zh-CN"/>
                <w14:textFill>
                  <w14:solidFill>
                    <w14:schemeClr w14:val="tx1"/>
                  </w14:solidFill>
                </w14:textFill>
              </w:rPr>
              <w:t>）</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vMerge w:val="continue"/>
            <w:tcBorders>
              <w:left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ind w:firstLine="480" w:firstLineChars="200"/>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附：螺旋给料机</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vMerge w:val="continue"/>
            <w:tcBorders>
              <w:left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ind w:firstLine="480" w:firstLineChars="200"/>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附：星型卸灰阀</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2</w:t>
            </w:r>
          </w:p>
        </w:tc>
      </w:tr>
      <w:tr>
        <w:tblPrEx>
          <w:tblCellMar>
            <w:top w:w="0" w:type="dxa"/>
            <w:left w:w="108" w:type="dxa"/>
            <w:bottom w:w="0" w:type="dxa"/>
            <w:right w:w="108" w:type="dxa"/>
          </w:tblCellMar>
        </w:tblPrEx>
        <w:trPr>
          <w:trHeight w:val="23" w:hRule="atLeast"/>
        </w:trPr>
        <w:tc>
          <w:tcPr>
            <w:tcW w:w="451" w:type="pct"/>
            <w:vMerge w:val="continue"/>
            <w:tcBorders>
              <w:left w:val="single" w:color="auto" w:sz="4" w:space="0"/>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ind w:firstLine="480" w:firstLineChars="200"/>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附：电动振打器</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12</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4</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粉煤仓</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r>
              <w:rPr>
                <w:rFonts w:hint="eastAsia" w:ascii="Times New Roman" w:hAnsi="Times New Roman" w:eastAsia="宋体" w:cs="Arial"/>
                <w:color w:val="000000" w:themeColor="text1"/>
                <w:sz w:val="24"/>
                <w:szCs w:val="24"/>
                <w:highlight w:val="none"/>
                <w14:textFill>
                  <w14:solidFill>
                    <w14:schemeClr w14:val="tx1"/>
                  </w14:solidFill>
                </w14:textFill>
              </w:rPr>
              <w:t>单仓容积</w:t>
            </w:r>
            <w:r>
              <w:rPr>
                <w:rFonts w:ascii="Times New Roman" w:hAnsi="Times New Roman" w:eastAsia="宋体" w:cs="Arial"/>
                <w:color w:val="000000" w:themeColor="text1"/>
                <w:sz w:val="24"/>
                <w:szCs w:val="24"/>
                <w:highlight w:val="none"/>
                <w14:textFill>
                  <w14:solidFill>
                    <w14:schemeClr w14:val="tx1"/>
                  </w14:solidFill>
                </w14:textFill>
              </w:rPr>
              <w:t>130m</w:t>
            </w:r>
            <w:r>
              <w:rPr>
                <w:rFonts w:ascii="Times New Roman" w:hAnsi="Times New Roman" w:eastAsia="宋体" w:cs="Arial"/>
                <w:color w:val="000000" w:themeColor="text1"/>
                <w:sz w:val="24"/>
                <w:szCs w:val="24"/>
                <w:highlight w:val="none"/>
                <w:vertAlign w:val="superscript"/>
                <w14:textFill>
                  <w14:solidFill>
                    <w14:schemeClr w14:val="tx1"/>
                  </w14:solidFill>
                </w14:textFill>
              </w:rPr>
              <w:t>3</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2</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5</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手动插板阀</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4</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6</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防爆阀</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4</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7</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电动插板阀</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2</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8</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立式热风炉</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9</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spacing w:line="360" w:lineRule="exact"/>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主引风机Q=38500Nm</w:t>
            </w:r>
            <w:r>
              <w:rPr>
                <w:rFonts w:hint="eastAsia" w:ascii="Times New Roman" w:hAnsi="Times New Roman" w:eastAsia="宋体" w:cs="Arial"/>
                <w:color w:val="000000" w:themeColor="text1"/>
                <w:sz w:val="24"/>
                <w:szCs w:val="24"/>
                <w:highlight w:val="none"/>
                <w:vertAlign w:val="superscript"/>
                <w14:textFill>
                  <w14:solidFill>
                    <w14:schemeClr w14:val="tx1"/>
                  </w14:solidFill>
                </w14:textFill>
              </w:rPr>
              <w:t>3</w:t>
            </w:r>
            <w:r>
              <w:rPr>
                <w:rFonts w:hint="eastAsia" w:ascii="Times New Roman" w:hAnsi="Times New Roman" w:eastAsia="宋体" w:cs="Arial"/>
                <w:color w:val="000000" w:themeColor="text1"/>
                <w:sz w:val="24"/>
                <w:szCs w:val="24"/>
                <w:highlight w:val="none"/>
                <w14:textFill>
                  <w14:solidFill>
                    <w14:schemeClr w14:val="tx1"/>
                  </w14:solidFill>
                </w14:textFill>
              </w:rPr>
              <w:t>/h，全压12670Pa</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10</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仓式泵</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V=</w:t>
            </w:r>
            <w:r>
              <w:rPr>
                <w:rFonts w:hint="eastAsia" w:ascii="Times New Roman" w:hAnsi="Times New Roman" w:eastAsia="宋体" w:cs="宋体"/>
                <w:color w:val="000000" w:themeColor="text1"/>
                <w:kern w:val="0"/>
                <w:sz w:val="24"/>
                <w:szCs w:val="24"/>
                <w:highlight w:val="none"/>
                <w14:textFill>
                  <w14:solidFill>
                    <w14:schemeClr w14:val="tx1"/>
                  </w14:solidFill>
                </w14:textFill>
              </w:rPr>
              <w:t>2.5</w:t>
            </w:r>
            <w:r>
              <w:rPr>
                <w:rFonts w:ascii="Times New Roman" w:hAnsi="Times New Roman" w:eastAsia="宋体" w:cs="宋体"/>
                <w:color w:val="000000" w:themeColor="text1"/>
                <w:kern w:val="0"/>
                <w:sz w:val="24"/>
                <w:szCs w:val="24"/>
                <w:highlight w:val="none"/>
                <w14:textFill>
                  <w14:solidFill>
                    <w14:schemeClr w14:val="tx1"/>
                  </w14:solidFill>
                </w14:textFill>
              </w:rPr>
              <w:t>m</w:t>
            </w:r>
            <w:r>
              <w:rPr>
                <w:rFonts w:ascii="Times New Roman" w:hAnsi="Times New Roman" w:eastAsia="宋体" w:cs="宋体"/>
                <w:color w:val="000000" w:themeColor="text1"/>
                <w:kern w:val="0"/>
                <w:sz w:val="24"/>
                <w:szCs w:val="24"/>
                <w:highlight w:val="none"/>
                <w:vertAlign w:val="superscript"/>
                <w14:textFill>
                  <w14:solidFill>
                    <w14:schemeClr w14:val="tx1"/>
                  </w14:solidFill>
                </w14:textFill>
              </w:rPr>
              <w:t>3</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11</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氮气储罐</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r>
              <w:rPr>
                <w:rFonts w:hint="eastAsia" w:ascii="Times New Roman" w:hAnsi="Times New Roman" w:eastAsia="宋体" w:cs="宋体"/>
                <w:color w:val="000000" w:themeColor="text1"/>
                <w:kern w:val="0"/>
                <w:sz w:val="24"/>
                <w:szCs w:val="24"/>
                <w:highlight w:val="none"/>
                <w14:textFill>
                  <w14:solidFill>
                    <w14:schemeClr w14:val="tx1"/>
                  </w14:solidFill>
                </w14:textFill>
              </w:rPr>
              <w:t>5</w:t>
            </w:r>
            <w:r>
              <w:rPr>
                <w:rFonts w:ascii="Times New Roman" w:hAnsi="Times New Roman" w:eastAsia="宋体" w:cs="宋体"/>
                <w:color w:val="000000" w:themeColor="text1"/>
                <w:kern w:val="0"/>
                <w:sz w:val="24"/>
                <w:szCs w:val="24"/>
                <w:highlight w:val="none"/>
                <w14:textFill>
                  <w14:solidFill>
                    <w14:schemeClr w14:val="tx1"/>
                  </w14:solidFill>
                </w14:textFill>
              </w:rPr>
              <w:t>m</w:t>
            </w:r>
            <w:r>
              <w:rPr>
                <w:rFonts w:ascii="Times New Roman" w:hAnsi="Times New Roman" w:eastAsia="宋体" w:cs="宋体"/>
                <w:color w:val="000000" w:themeColor="text1"/>
                <w:kern w:val="0"/>
                <w:sz w:val="24"/>
                <w:szCs w:val="24"/>
                <w:highlight w:val="none"/>
                <w:vertAlign w:val="superscript"/>
                <w14:textFill>
                  <w14:solidFill>
                    <w14:schemeClr w14:val="tx1"/>
                  </w14:solidFill>
                </w14:textFill>
              </w:rPr>
              <w:t>3</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1.0MPa</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12</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压缩空气储罐</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w:t>
            </w:r>
            <w:r>
              <w:rPr>
                <w:rFonts w:hint="eastAsia" w:ascii="Times New Roman" w:hAnsi="Times New Roman" w:eastAsia="宋体" w:cs="宋体"/>
                <w:color w:val="000000" w:themeColor="text1"/>
                <w:kern w:val="0"/>
                <w:sz w:val="24"/>
                <w:szCs w:val="24"/>
                <w:highlight w:val="none"/>
                <w14:textFill>
                  <w14:solidFill>
                    <w14:schemeClr w14:val="tx1"/>
                  </w14:solidFill>
                </w14:textFill>
              </w:rPr>
              <w:t>5</w:t>
            </w:r>
            <w:r>
              <w:rPr>
                <w:rFonts w:ascii="Times New Roman" w:hAnsi="Times New Roman" w:eastAsia="宋体" w:cs="宋体"/>
                <w:color w:val="000000" w:themeColor="text1"/>
                <w:kern w:val="0"/>
                <w:sz w:val="24"/>
                <w:szCs w:val="24"/>
                <w:highlight w:val="none"/>
                <w14:textFill>
                  <w14:solidFill>
                    <w14:schemeClr w14:val="tx1"/>
                  </w14:solidFill>
                </w14:textFill>
              </w:rPr>
              <w:t>m</w:t>
            </w:r>
            <w:r>
              <w:rPr>
                <w:rFonts w:ascii="Times New Roman" w:hAnsi="Times New Roman" w:eastAsia="宋体" w:cs="宋体"/>
                <w:color w:val="000000" w:themeColor="text1"/>
                <w:kern w:val="0"/>
                <w:sz w:val="24"/>
                <w:szCs w:val="24"/>
                <w:highlight w:val="none"/>
                <w:vertAlign w:val="superscript"/>
                <w14:textFill>
                  <w14:solidFill>
                    <w14:schemeClr w14:val="tx1"/>
                  </w14:solidFill>
                </w14:textFill>
              </w:rPr>
              <w:t>3</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1.0MPa</w:t>
            </w:r>
          </w:p>
        </w:tc>
        <w:tc>
          <w:tcPr>
            <w:tcW w:w="833"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13</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仪表空气储罐 2</w:t>
            </w:r>
            <w:r>
              <w:rPr>
                <w:rFonts w:ascii="Times New Roman" w:hAnsi="Times New Roman" w:eastAsia="宋体" w:cs="宋体"/>
                <w:color w:val="000000" w:themeColor="text1"/>
                <w:kern w:val="0"/>
                <w:sz w:val="24"/>
                <w:szCs w:val="24"/>
                <w:highlight w:val="none"/>
                <w14:textFill>
                  <w14:solidFill>
                    <w14:schemeClr w14:val="tx1"/>
                  </w14:solidFill>
                </w14:textFill>
              </w:rPr>
              <w:t>m</w:t>
            </w:r>
            <w:r>
              <w:rPr>
                <w:rFonts w:ascii="Times New Roman" w:hAnsi="Times New Roman" w:eastAsia="宋体" w:cs="宋体"/>
                <w:color w:val="000000" w:themeColor="text1"/>
                <w:kern w:val="0"/>
                <w:sz w:val="24"/>
                <w:szCs w:val="24"/>
                <w:highlight w:val="none"/>
                <w:vertAlign w:val="superscript"/>
                <w14:textFill>
                  <w14:solidFill>
                    <w14:schemeClr w14:val="tx1"/>
                  </w14:solidFill>
                </w14:textFill>
              </w:rPr>
              <w:t>3</w:t>
            </w:r>
            <w:r>
              <w:rPr>
                <w:rFonts w:hint="eastAsia" w:ascii="Times New Roman" w:hAnsi="Times New Roman" w:eastAsia="宋体" w:cs="宋体"/>
                <w:color w:val="000000" w:themeColor="text1"/>
                <w:kern w:val="0"/>
                <w:sz w:val="24"/>
                <w:szCs w:val="24"/>
                <w:highlight w:val="none"/>
                <w14:textFill>
                  <w14:solidFill>
                    <w14:schemeClr w14:val="tx1"/>
                  </w14:solidFill>
                </w14:textFill>
              </w:rPr>
              <w:t>，</w:t>
            </w:r>
            <w:r>
              <w:rPr>
                <w:rFonts w:ascii="Times New Roman" w:hAnsi="Times New Roman" w:eastAsia="宋体" w:cs="宋体"/>
                <w:color w:val="000000" w:themeColor="text1"/>
                <w:kern w:val="0"/>
                <w:sz w:val="24"/>
                <w:szCs w:val="24"/>
                <w:highlight w:val="none"/>
                <w14:textFill>
                  <w14:solidFill>
                    <w14:schemeClr w14:val="tx1"/>
                  </w14:solidFill>
                </w14:textFill>
              </w:rPr>
              <w:t>1.0MPa</w:t>
            </w:r>
          </w:p>
        </w:tc>
        <w:tc>
          <w:tcPr>
            <w:tcW w:w="833"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bidi="ar-SA"/>
                <w14:textFill>
                  <w14:solidFill>
                    <w14:schemeClr w14:val="tx1"/>
                  </w14:solidFill>
                </w14:textFill>
              </w:rPr>
              <w:t>14</w:t>
            </w:r>
          </w:p>
        </w:tc>
        <w:tc>
          <w:tcPr>
            <w:tcW w:w="692" w:type="pct"/>
            <w:tcBorders>
              <w:top w:val="nil"/>
              <w:left w:val="nil"/>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nil"/>
              <w:left w:val="nil"/>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单罐定量喷吹 V=2.5 m</w:t>
            </w:r>
            <w:r>
              <w:rPr>
                <w:rFonts w:hint="eastAsia" w:ascii="Times New Roman" w:hAnsi="Times New Roman" w:eastAsia="宋体" w:cs="宋体"/>
                <w:color w:val="000000" w:themeColor="text1"/>
                <w:kern w:val="0"/>
                <w:sz w:val="24"/>
                <w:szCs w:val="24"/>
                <w:highlight w:val="none"/>
                <w:vertAlign w:val="superscript"/>
                <w14:textFill>
                  <w14:solidFill>
                    <w14:schemeClr w14:val="tx1"/>
                  </w14:solidFill>
                </w14:textFill>
              </w:rPr>
              <w:t>3</w:t>
            </w:r>
          </w:p>
        </w:tc>
        <w:tc>
          <w:tcPr>
            <w:tcW w:w="833" w:type="pct"/>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2</w:t>
            </w:r>
          </w:p>
        </w:tc>
      </w:tr>
      <w:tr>
        <w:tblPrEx>
          <w:tblCellMar>
            <w:top w:w="0" w:type="dxa"/>
            <w:left w:w="108" w:type="dxa"/>
            <w:bottom w:w="0" w:type="dxa"/>
            <w:right w:w="108" w:type="dxa"/>
          </w:tblCellMar>
        </w:tblPrEx>
        <w:trPr>
          <w:trHeight w:val="23" w:hRule="atLeast"/>
        </w:trPr>
        <w:tc>
          <w:tcPr>
            <w:tcW w:w="451" w:type="pct"/>
            <w:vMerge w:val="restart"/>
            <w:tcBorders>
              <w:top w:val="single" w:color="auto" w:sz="4" w:space="0"/>
              <w:left w:val="single" w:color="auto" w:sz="4" w:space="0"/>
              <w:right w:val="single" w:color="auto" w:sz="4" w:space="0"/>
            </w:tcBorders>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15</w:t>
            </w:r>
          </w:p>
        </w:tc>
        <w:tc>
          <w:tcPr>
            <w:tcW w:w="692" w:type="pct"/>
            <w:tcBorders>
              <w:top w:val="single" w:color="auto" w:sz="4" w:space="0"/>
              <w:left w:val="single" w:color="auto" w:sz="4" w:space="0"/>
              <w:bottom w:val="single" w:color="auto" w:sz="4" w:space="0"/>
              <w:right w:val="single" w:color="auto" w:sz="4" w:space="0"/>
            </w:tcBorders>
            <w:noWrap/>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p>
        </w:tc>
        <w:tc>
          <w:tcPr>
            <w:tcW w:w="3021" w:type="pct"/>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宋体" w:cs="宋体"/>
                <w:color w:val="000000" w:themeColor="text1"/>
                <w:kern w:val="0"/>
                <w:sz w:val="24"/>
                <w:szCs w:val="24"/>
                <w:highlight w:val="none"/>
                <w14:textFill>
                  <w14:solidFill>
                    <w14:schemeClr w14:val="tx1"/>
                  </w14:solidFill>
                </w14:textFill>
              </w:rPr>
            </w:pPr>
            <w:r>
              <w:rPr>
                <w:rFonts w:hint="eastAsia" w:ascii="Times New Roman" w:hAnsi="Times New Roman" w:eastAsia="宋体" w:cs="宋体"/>
                <w:color w:val="000000" w:themeColor="text1"/>
                <w:kern w:val="0"/>
                <w:sz w:val="24"/>
                <w:szCs w:val="24"/>
                <w:highlight w:val="none"/>
                <w14:textFill>
                  <w14:solidFill>
                    <w14:schemeClr w14:val="tx1"/>
                  </w14:solidFill>
                </w14:textFill>
              </w:rPr>
              <w:t>电动葫芦</w:t>
            </w:r>
            <w:r>
              <w:rPr>
                <w:rFonts w:hint="eastAsia" w:ascii="Times New Roman" w:hAnsi="Times New Roman" w:cs="宋体"/>
                <w:color w:val="000000" w:themeColor="text1"/>
                <w:kern w:val="0"/>
                <w:sz w:val="24"/>
                <w:szCs w:val="24"/>
                <w:highlight w:val="none"/>
                <w14:textFill>
                  <w14:solidFill>
                    <w14:schemeClr w14:val="tx1"/>
                  </w14:solidFill>
                </w14:textFill>
              </w:rPr>
              <w:t>（含安装）</w:t>
            </w:r>
            <w:r>
              <w:rPr>
                <w:rFonts w:ascii="Times New Roman" w:hAnsi="Times New Roman" w:eastAsia="宋体" w:cs="宋体"/>
                <w:color w:val="000000" w:themeColor="text1"/>
                <w:kern w:val="0"/>
                <w:sz w:val="24"/>
                <w:szCs w:val="24"/>
                <w:highlight w:val="none"/>
                <w14:textFill>
                  <w14:solidFill>
                    <w14:schemeClr w14:val="tx1"/>
                  </w14:solidFill>
                </w14:textFill>
              </w:rPr>
              <w:t xml:space="preserve"> Q=</w:t>
            </w:r>
            <w:r>
              <w:rPr>
                <w:rFonts w:hint="eastAsia" w:ascii="Times New Roman" w:hAnsi="Times New Roman" w:eastAsia="宋体" w:cs="宋体"/>
                <w:color w:val="000000" w:themeColor="text1"/>
                <w:kern w:val="0"/>
                <w:sz w:val="24"/>
                <w:szCs w:val="24"/>
                <w:highlight w:val="none"/>
                <w14:textFill>
                  <w14:solidFill>
                    <w14:schemeClr w14:val="tx1"/>
                  </w14:solidFill>
                </w14:textFill>
              </w:rPr>
              <w:t>5</w:t>
            </w:r>
            <w:r>
              <w:rPr>
                <w:rFonts w:ascii="Times New Roman" w:hAnsi="Times New Roman" w:eastAsia="宋体" w:cs="宋体"/>
                <w:color w:val="000000" w:themeColor="text1"/>
                <w:kern w:val="0"/>
                <w:sz w:val="24"/>
                <w:szCs w:val="24"/>
                <w:highlight w:val="none"/>
                <w14:textFill>
                  <w14:solidFill>
                    <w14:schemeClr w14:val="tx1"/>
                  </w14:solidFill>
                </w14:textFill>
              </w:rPr>
              <w:t>t H=</w:t>
            </w:r>
            <w:r>
              <w:rPr>
                <w:rFonts w:hint="eastAsia" w:ascii="Times New Roman" w:hAnsi="Times New Roman" w:eastAsia="宋体" w:cs="宋体"/>
                <w:color w:val="000000" w:themeColor="text1"/>
                <w:kern w:val="0"/>
                <w:sz w:val="24"/>
                <w:szCs w:val="24"/>
                <w:highlight w:val="none"/>
                <w14:textFill>
                  <w14:solidFill>
                    <w14:schemeClr w14:val="tx1"/>
                  </w14:solidFill>
                </w14:textFill>
              </w:rPr>
              <w:t>9</w:t>
            </w:r>
            <w:r>
              <w:rPr>
                <w:rFonts w:ascii="Times New Roman" w:hAnsi="Times New Roman" w:eastAsia="宋体" w:cs="宋体"/>
                <w:color w:val="000000" w:themeColor="text1"/>
                <w:kern w:val="0"/>
                <w:sz w:val="24"/>
                <w:szCs w:val="24"/>
                <w:highlight w:val="none"/>
                <w14:textFill>
                  <w14:solidFill>
                    <w14:schemeClr w14:val="tx1"/>
                  </w14:solidFill>
                </w14:textFill>
              </w:rPr>
              <w:t>m</w:t>
            </w:r>
          </w:p>
        </w:tc>
        <w:tc>
          <w:tcPr>
            <w:tcW w:w="833"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Times New Roman" w:hAnsi="Times New Roman" w:eastAsia="宋体" w:cs="宋体"/>
                <w:color w:val="000000" w:themeColor="text1"/>
                <w:kern w:val="0"/>
                <w:sz w:val="24"/>
                <w:szCs w:val="24"/>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vMerge w:val="continue"/>
            <w:tcBorders>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14:textFill>
                  <w14:solidFill>
                    <w14:schemeClr w14:val="tx1"/>
                  </w14:solidFill>
                </w14:textFill>
              </w:rPr>
            </w:pPr>
          </w:p>
        </w:tc>
        <w:tc>
          <w:tcPr>
            <w:tcW w:w="69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pPr>
          </w:p>
        </w:tc>
        <w:tc>
          <w:tcPr>
            <w:tcW w:w="3021" w:type="pct"/>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t>附:伞形风帽</w:t>
            </w:r>
          </w:p>
        </w:tc>
        <w:tc>
          <w:tcPr>
            <w:tcW w:w="833"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16</w:t>
            </w:r>
          </w:p>
        </w:tc>
        <w:tc>
          <w:tcPr>
            <w:tcW w:w="69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pPr>
          </w:p>
        </w:tc>
        <w:tc>
          <w:tcPr>
            <w:tcW w:w="3021" w:type="pct"/>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烟囱：</w:t>
            </w:r>
            <w:r>
              <w:rPr>
                <w:rFonts w:hint="eastAsia" w:ascii="Times New Roman" w:hAnsi="Times New Roman" w:cs="宋体"/>
                <w:color w:val="000000" w:themeColor="text1"/>
                <w:kern w:val="0"/>
                <w:sz w:val="24"/>
                <w:szCs w:val="24"/>
                <w:highlight w:val="none"/>
                <w14:textFill>
                  <w14:solidFill>
                    <w14:schemeClr w14:val="tx1"/>
                  </w14:solidFill>
                </w14:textFill>
              </w:rPr>
              <w:t>（A3钢材质、厚度8mm、烟囱面层颜色天蓝色RAL5015）不含取样平台</w:t>
            </w:r>
          </w:p>
        </w:tc>
        <w:tc>
          <w:tcPr>
            <w:tcW w:w="833"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1</w:t>
            </w:r>
          </w:p>
        </w:tc>
      </w:tr>
      <w:tr>
        <w:tblPrEx>
          <w:tblCellMar>
            <w:top w:w="0" w:type="dxa"/>
            <w:left w:w="108" w:type="dxa"/>
            <w:bottom w:w="0" w:type="dxa"/>
            <w:right w:w="108" w:type="dxa"/>
          </w:tblCellMar>
        </w:tblPrEx>
        <w:trPr>
          <w:trHeight w:val="23" w:hRule="atLeast"/>
        </w:trPr>
        <w:tc>
          <w:tcPr>
            <w:tcW w:w="451"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17</w:t>
            </w:r>
          </w:p>
        </w:tc>
        <w:tc>
          <w:tcPr>
            <w:tcW w:w="692"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Times New Roman" w:hAnsi="Times New Roman" w:eastAsia="宋体" w:cs="宋体"/>
                <w:color w:val="000000" w:themeColor="text1"/>
                <w:kern w:val="0"/>
                <w:sz w:val="24"/>
                <w:szCs w:val="24"/>
                <w:highlight w:val="none"/>
                <w:lang w:val="en-US" w:eastAsia="zh-CN"/>
                <w14:textFill>
                  <w14:solidFill>
                    <w14:schemeClr w14:val="tx1"/>
                  </w14:solidFill>
                </w14:textFill>
              </w:rPr>
            </w:pPr>
          </w:p>
        </w:tc>
        <w:tc>
          <w:tcPr>
            <w:tcW w:w="3021" w:type="pct"/>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单机除尘器：煤粉仓顶部</w:t>
            </w:r>
          </w:p>
        </w:tc>
        <w:tc>
          <w:tcPr>
            <w:tcW w:w="833"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hint="default" w:ascii="Times New Roman" w:hAnsi="Times New Roman" w:eastAsia="宋体" w:cs="宋体"/>
                <w:color w:val="000000" w:themeColor="text1"/>
                <w:kern w:val="0"/>
                <w:sz w:val="24"/>
                <w:szCs w:val="24"/>
                <w:highlight w:val="none"/>
                <w:lang w:val="en-US" w:eastAsia="zh-CN"/>
                <w14:textFill>
                  <w14:solidFill>
                    <w14:schemeClr w14:val="tx1"/>
                  </w14:solidFill>
                </w14:textFill>
              </w:rPr>
            </w:pPr>
            <w:r>
              <w:rPr>
                <w:rFonts w:hint="eastAsia" w:ascii="Times New Roman" w:hAnsi="Times New Roman" w:cs="宋体"/>
                <w:color w:val="000000" w:themeColor="text1"/>
                <w:kern w:val="0"/>
                <w:sz w:val="24"/>
                <w:szCs w:val="24"/>
                <w:highlight w:val="none"/>
                <w:lang w:val="en-US" w:eastAsia="zh-CN"/>
                <w14:textFill>
                  <w14:solidFill>
                    <w14:schemeClr w14:val="tx1"/>
                  </w14:solidFill>
                </w14:textFill>
              </w:rPr>
              <w:t>1</w:t>
            </w:r>
          </w:p>
        </w:tc>
      </w:tr>
    </w:tbl>
    <w:p>
      <w:pPr>
        <w:spacing w:before="156" w:beforeLines="50" w:after="156" w:afterLines="50"/>
        <w:jc w:val="left"/>
        <w:outlineLvl w:val="0"/>
        <w:rPr>
          <w:rFonts w:hint="eastAsia" w:ascii="Times New Roman" w:hAnsi="Times New Roman" w:eastAsia="宋体" w:cs="Arial"/>
          <w:b/>
          <w:bCs/>
          <w:color w:val="000000" w:themeColor="text1"/>
          <w:sz w:val="28"/>
          <w:szCs w:val="28"/>
          <w:highlight w:val="none"/>
          <w14:textFill>
            <w14:solidFill>
              <w14:schemeClr w14:val="tx1"/>
            </w14:solidFill>
          </w14:textFill>
        </w:rPr>
      </w:pPr>
    </w:p>
    <w:p>
      <w:pPr>
        <w:spacing w:before="156" w:beforeLines="50" w:after="156" w:afterLines="50"/>
        <w:jc w:val="left"/>
        <w:outlineLvl w:val="0"/>
        <w:rPr>
          <w:rFonts w:ascii="Times New Roman" w:hAnsi="Times New Roman" w:eastAsia="宋体" w:cs="Arial"/>
          <w:b/>
          <w:bCs/>
          <w:color w:val="000000" w:themeColor="text1"/>
          <w:sz w:val="28"/>
          <w:szCs w:val="28"/>
          <w:highlight w:val="none"/>
          <w14:textFill>
            <w14:solidFill>
              <w14:schemeClr w14:val="tx1"/>
            </w14:solidFill>
          </w14:textFill>
        </w:rPr>
      </w:pPr>
      <w:r>
        <w:rPr>
          <w:rFonts w:hint="eastAsia" w:ascii="Times New Roman" w:hAnsi="Times New Roman" w:eastAsia="宋体" w:cs="Arial"/>
          <w:b/>
          <w:bCs/>
          <w:color w:val="000000" w:themeColor="text1"/>
          <w:sz w:val="28"/>
          <w:szCs w:val="28"/>
          <w:highlight w:val="none"/>
          <w14:textFill>
            <w14:solidFill>
              <w14:schemeClr w14:val="tx1"/>
            </w14:solidFill>
          </w14:textFill>
        </w:rPr>
        <w:t>五、工艺设备技术参数和要求</w:t>
      </w:r>
    </w:p>
    <w:p>
      <w:pPr>
        <w:adjustRightInd w:val="0"/>
        <w:rPr>
          <w:rFonts w:ascii="Times New Roman" w:hAnsi="Times New Roman" w:eastAsia="宋体" w:cs="Arial"/>
          <w:color w:val="000000" w:themeColor="text1"/>
          <w:szCs w:val="21"/>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 xml:space="preserve">5.1  </w:t>
      </w:r>
      <w:r>
        <w:rPr>
          <w:rFonts w:hint="eastAsia" w:ascii="Times New Roman" w:hAnsi="Times New Roman" w:eastAsia="宋体" w:cs="Arial"/>
          <w:b/>
          <w:bCs/>
          <w:color w:val="000000" w:themeColor="text1"/>
          <w:sz w:val="24"/>
          <w:highlight w:val="none"/>
          <w14:textFill>
            <w14:solidFill>
              <w14:schemeClr w14:val="tx1"/>
            </w14:solidFill>
          </w14:textFill>
        </w:rPr>
        <w:t>工艺条件</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2746"/>
        <w:gridCol w:w="1251"/>
        <w:gridCol w:w="4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452" w:type="pct"/>
            <w:vAlign w:val="center"/>
          </w:tcPr>
          <w:p>
            <w:pPr>
              <w:jc w:val="center"/>
              <w:rPr>
                <w:rFonts w:ascii="Times New Roman" w:hAnsi="Times New Roman" w:eastAsia="宋体" w:cs="Arial"/>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序号</w:t>
            </w:r>
          </w:p>
        </w:tc>
        <w:tc>
          <w:tcPr>
            <w:tcW w:w="1478" w:type="pct"/>
            <w:vAlign w:val="center"/>
          </w:tcPr>
          <w:p>
            <w:pPr>
              <w:jc w:val="center"/>
              <w:rPr>
                <w:rFonts w:ascii="Times New Roman" w:hAnsi="Times New Roman" w:eastAsia="宋体" w:cs="Arial"/>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项目</w:t>
            </w:r>
          </w:p>
        </w:tc>
        <w:tc>
          <w:tcPr>
            <w:tcW w:w="673" w:type="pct"/>
            <w:vAlign w:val="center"/>
          </w:tcPr>
          <w:p>
            <w:pPr>
              <w:jc w:val="center"/>
              <w:rPr>
                <w:rFonts w:ascii="Times New Roman" w:hAnsi="Times New Roman" w:eastAsia="宋体" w:cs="Arial"/>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单位</w:t>
            </w:r>
          </w:p>
        </w:tc>
        <w:tc>
          <w:tcPr>
            <w:tcW w:w="2395" w:type="pct"/>
            <w:vAlign w:val="center"/>
          </w:tcPr>
          <w:p>
            <w:pPr>
              <w:jc w:val="center"/>
              <w:rPr>
                <w:rFonts w:ascii="Times New Roman" w:hAnsi="Times New Roman" w:eastAsia="宋体" w:cs="Arial"/>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452"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1</w:t>
            </w:r>
          </w:p>
        </w:tc>
        <w:tc>
          <w:tcPr>
            <w:tcW w:w="1478" w:type="pct"/>
            <w:shd w:val="clear" w:color="auto" w:fill="auto"/>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粉煤用量</w:t>
            </w:r>
          </w:p>
        </w:tc>
        <w:tc>
          <w:tcPr>
            <w:tcW w:w="673"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t/d</w:t>
            </w:r>
          </w:p>
        </w:tc>
        <w:tc>
          <w:tcPr>
            <w:tcW w:w="2395"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trPr>
        <w:tc>
          <w:tcPr>
            <w:tcW w:w="452"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2</w:t>
            </w:r>
          </w:p>
        </w:tc>
        <w:tc>
          <w:tcPr>
            <w:tcW w:w="1478" w:type="pct"/>
            <w:shd w:val="clear" w:color="auto" w:fill="auto"/>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工作制度</w:t>
            </w:r>
          </w:p>
        </w:tc>
        <w:tc>
          <w:tcPr>
            <w:tcW w:w="673"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p>
        </w:tc>
        <w:tc>
          <w:tcPr>
            <w:tcW w:w="2395"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330d/a</w:t>
            </w:r>
            <w:r>
              <w:rPr>
                <w:rFonts w:hint="eastAsia" w:ascii="Times New Roman" w:hAnsi="Times New Roman" w:cs="Arial"/>
                <w:color w:val="000000" w:themeColor="text1"/>
                <w:sz w:val="24"/>
                <w:szCs w:val="24"/>
                <w:highlight w:val="none"/>
                <w:lang w:eastAsia="zh-CN"/>
                <w14:textFill>
                  <w14:solidFill>
                    <w14:schemeClr w14:val="tx1"/>
                  </w14:solidFill>
                </w14:textFill>
              </w:rPr>
              <w:t>，</w:t>
            </w:r>
            <w:r>
              <w:rPr>
                <w:rFonts w:ascii="Times New Roman" w:hAnsi="Times New Roman" w:eastAsia="宋体" w:cs="Arial"/>
                <w:color w:val="000000" w:themeColor="text1"/>
                <w:sz w:val="24"/>
                <w:szCs w:val="24"/>
                <w:highlight w:val="none"/>
                <w14:textFill>
                  <w14:solidFill>
                    <w14:schemeClr w14:val="tx1"/>
                  </w14:solidFill>
                </w14:textFill>
              </w:rPr>
              <w:t>16h/d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452"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3</w:t>
            </w:r>
          </w:p>
        </w:tc>
        <w:tc>
          <w:tcPr>
            <w:tcW w:w="1478" w:type="pct"/>
            <w:shd w:val="clear" w:color="auto" w:fill="auto"/>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粉煤制备的原煤煤种</w:t>
            </w:r>
          </w:p>
        </w:tc>
        <w:tc>
          <w:tcPr>
            <w:tcW w:w="673"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p>
        </w:tc>
        <w:tc>
          <w:tcPr>
            <w:tcW w:w="2395"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烟煤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452"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4</w:t>
            </w:r>
          </w:p>
        </w:tc>
        <w:tc>
          <w:tcPr>
            <w:tcW w:w="1478" w:type="pct"/>
            <w:shd w:val="clear" w:color="auto" w:fill="auto"/>
            <w:vAlign w:val="center"/>
          </w:tcPr>
          <w:p>
            <w:pPr>
              <w:jc w:val="left"/>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原煤成分</w:t>
            </w:r>
          </w:p>
        </w:tc>
        <w:tc>
          <w:tcPr>
            <w:tcW w:w="673"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p>
        </w:tc>
        <w:tc>
          <w:tcPr>
            <w:tcW w:w="2395"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碳≥</w:t>
            </w:r>
            <w:r>
              <w:rPr>
                <w:rFonts w:ascii="Times New Roman" w:hAnsi="Times New Roman" w:eastAsia="宋体" w:cs="Arial"/>
                <w:color w:val="000000" w:themeColor="text1"/>
                <w:sz w:val="24"/>
                <w:szCs w:val="24"/>
                <w:highlight w:val="none"/>
                <w14:textFill>
                  <w14:solidFill>
                    <w14:schemeClr w14:val="tx1"/>
                  </w14:solidFill>
                </w14:textFill>
              </w:rPr>
              <w:t>55%</w:t>
            </w:r>
            <w:r>
              <w:rPr>
                <w:rFonts w:hint="eastAsia" w:ascii="Times New Roman" w:hAnsi="Times New Roman" w:cs="Arial"/>
                <w:color w:val="000000" w:themeColor="text1"/>
                <w:sz w:val="24"/>
                <w:szCs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szCs w:val="24"/>
                <w:highlight w:val="none"/>
                <w14:textFill>
                  <w14:solidFill>
                    <w14:schemeClr w14:val="tx1"/>
                  </w14:solidFill>
                </w14:textFill>
              </w:rPr>
              <w:t>水≤</w:t>
            </w:r>
            <w:r>
              <w:rPr>
                <w:rFonts w:ascii="Times New Roman" w:hAnsi="Times New Roman" w:eastAsia="宋体" w:cs="Arial"/>
                <w:color w:val="000000" w:themeColor="text1"/>
                <w:sz w:val="24"/>
                <w:szCs w:val="24"/>
                <w:highlight w:val="none"/>
                <w14:textFill>
                  <w14:solidFill>
                    <w14:schemeClr w14:val="tx1"/>
                  </w14:solidFill>
                </w14:textFill>
              </w:rPr>
              <w:t>12%</w:t>
            </w:r>
            <w:r>
              <w:rPr>
                <w:rFonts w:hint="eastAsia" w:ascii="Times New Roman" w:hAnsi="Times New Roman" w:cs="Arial"/>
                <w:color w:val="000000" w:themeColor="text1"/>
                <w:sz w:val="24"/>
                <w:szCs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szCs w:val="24"/>
                <w:highlight w:val="none"/>
                <w14:textFill>
                  <w14:solidFill>
                    <w14:schemeClr w14:val="tx1"/>
                  </w14:solidFill>
                </w14:textFill>
              </w:rPr>
              <w:t>硫≤</w:t>
            </w:r>
            <w:r>
              <w:rPr>
                <w:rFonts w:ascii="Times New Roman" w:hAnsi="Times New Roman" w:eastAsia="宋体" w:cs="Arial"/>
                <w:color w:val="000000" w:themeColor="text1"/>
                <w:sz w:val="24"/>
                <w:szCs w:val="24"/>
                <w:highlight w:val="none"/>
                <w14:textFill>
                  <w14:solidFill>
                    <w14:schemeClr w14:val="tx1"/>
                  </w14:solidFill>
                </w14:textFill>
              </w:rPr>
              <w:t>1%</w:t>
            </w:r>
            <w:r>
              <w:rPr>
                <w:rFonts w:hint="eastAsia" w:ascii="Times New Roman" w:hAnsi="Times New Roman" w:eastAsia="宋体" w:cs="Arial"/>
                <w:color w:val="000000" w:themeColor="text1"/>
                <w:sz w:val="24"/>
                <w:szCs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452"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5</w:t>
            </w:r>
          </w:p>
        </w:tc>
        <w:tc>
          <w:tcPr>
            <w:tcW w:w="1478" w:type="pct"/>
            <w:shd w:val="clear" w:color="auto" w:fill="auto"/>
          </w:tcPr>
          <w:p>
            <w:pPr>
              <w:rPr>
                <w:rFonts w:hint="eastAsia" w:ascii="Times New Roman" w:hAnsi="Times New Roman" w:eastAsia="宋体" w:cs="Arial"/>
                <w:color w:val="000000" w:themeColor="text1"/>
                <w:sz w:val="24"/>
                <w:szCs w:val="24"/>
                <w:highlight w:val="none"/>
                <w:lang w:eastAsia="zh-CN"/>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原煤粒</w:t>
            </w:r>
            <w:r>
              <w:rPr>
                <w:rFonts w:hint="eastAsia" w:ascii="Times New Roman" w:hAnsi="Times New Roman" w:cs="Arial"/>
                <w:color w:val="000000" w:themeColor="text1"/>
                <w:sz w:val="24"/>
                <w:szCs w:val="24"/>
                <w:highlight w:val="none"/>
                <w:lang w:val="en-US" w:eastAsia="zh-CN"/>
                <w14:textFill>
                  <w14:solidFill>
                    <w14:schemeClr w14:val="tx1"/>
                  </w14:solidFill>
                </w14:textFill>
              </w:rPr>
              <w:t>径</w:t>
            </w:r>
          </w:p>
        </w:tc>
        <w:tc>
          <w:tcPr>
            <w:tcW w:w="673" w:type="pct"/>
            <w:shd w:val="clear" w:color="auto" w:fill="auto"/>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mm</w:t>
            </w:r>
          </w:p>
        </w:tc>
        <w:tc>
          <w:tcPr>
            <w:tcW w:w="2395" w:type="pct"/>
            <w:vAlign w:val="center"/>
          </w:tcPr>
          <w:p>
            <w:pPr>
              <w:jc w:val="center"/>
              <w:rPr>
                <w:rFonts w:hint="default" w:ascii="Times New Roman" w:hAnsi="Times New Roman" w:eastAsia="宋体" w:cs="Arial"/>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w:t>
            </w:r>
            <w:r>
              <w:rPr>
                <w:rFonts w:hint="eastAsia" w:ascii="Times New Roman" w:hAnsi="Times New Roman" w:cs="Arial"/>
                <w:color w:val="000000" w:themeColor="text1"/>
                <w:sz w:val="24"/>
                <w:szCs w:val="24"/>
                <w:highlight w:val="none"/>
                <w:lang w:val="en-US" w:eastAsia="zh-CN"/>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452"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6</w:t>
            </w:r>
          </w:p>
        </w:tc>
        <w:tc>
          <w:tcPr>
            <w:tcW w:w="1478" w:type="pct"/>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磨煤保护气</w:t>
            </w:r>
          </w:p>
        </w:tc>
        <w:tc>
          <w:tcPr>
            <w:tcW w:w="673"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p>
        </w:tc>
        <w:tc>
          <w:tcPr>
            <w:tcW w:w="2395"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氮气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452"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7</w:t>
            </w:r>
          </w:p>
        </w:tc>
        <w:tc>
          <w:tcPr>
            <w:tcW w:w="1478" w:type="pct"/>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热风炉用燃料</w:t>
            </w:r>
          </w:p>
        </w:tc>
        <w:tc>
          <w:tcPr>
            <w:tcW w:w="673"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p>
        </w:tc>
        <w:tc>
          <w:tcPr>
            <w:tcW w:w="2395"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天然气</w:t>
            </w:r>
          </w:p>
        </w:tc>
      </w:tr>
    </w:tbl>
    <w:p>
      <w:pPr>
        <w:spacing w:after="156" w:afterLines="50" w:line="500" w:lineRule="exact"/>
        <w:outlineLvl w:val="1"/>
        <w:rPr>
          <w:rFonts w:ascii="Times New Roman" w:hAnsi="Times New Roman" w:eastAsia="宋体" w:cs="Arial"/>
          <w:b/>
          <w:bCs/>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 xml:space="preserve">5.2  </w:t>
      </w:r>
      <w:r>
        <w:rPr>
          <w:rFonts w:hint="eastAsia" w:ascii="Times New Roman" w:hAnsi="Times New Roman" w:eastAsia="宋体" w:cs="Arial"/>
          <w:b/>
          <w:bCs/>
          <w:color w:val="000000" w:themeColor="text1"/>
          <w:sz w:val="24"/>
          <w:highlight w:val="none"/>
          <w14:textFill>
            <w14:solidFill>
              <w14:schemeClr w14:val="tx1"/>
            </w14:solidFill>
          </w14:textFill>
        </w:rPr>
        <w:t>主要技术要求</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2943"/>
        <w:gridCol w:w="1973"/>
        <w:gridCol w:w="3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38" w:type="pct"/>
            <w:vAlign w:val="center"/>
          </w:tcPr>
          <w:p>
            <w:pPr>
              <w:jc w:val="center"/>
              <w:rPr>
                <w:rFonts w:ascii="Times New Roman" w:hAnsi="Times New Roman" w:eastAsia="宋体" w:cs="Arial"/>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序号</w:t>
            </w:r>
          </w:p>
        </w:tc>
        <w:tc>
          <w:tcPr>
            <w:tcW w:w="1584" w:type="pct"/>
            <w:vAlign w:val="center"/>
          </w:tcPr>
          <w:p>
            <w:pPr>
              <w:jc w:val="center"/>
              <w:rPr>
                <w:rFonts w:ascii="Times New Roman" w:hAnsi="Times New Roman" w:eastAsia="宋体" w:cs="Arial"/>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项目</w:t>
            </w:r>
          </w:p>
        </w:tc>
        <w:tc>
          <w:tcPr>
            <w:tcW w:w="1062" w:type="pct"/>
            <w:vAlign w:val="center"/>
          </w:tcPr>
          <w:p>
            <w:pPr>
              <w:jc w:val="center"/>
              <w:rPr>
                <w:rFonts w:ascii="Times New Roman" w:hAnsi="Times New Roman" w:eastAsia="宋体" w:cs="Arial"/>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单位</w:t>
            </w:r>
          </w:p>
        </w:tc>
        <w:tc>
          <w:tcPr>
            <w:tcW w:w="1814" w:type="pct"/>
            <w:vAlign w:val="center"/>
          </w:tcPr>
          <w:p>
            <w:pPr>
              <w:jc w:val="center"/>
              <w:rPr>
                <w:rFonts w:ascii="Times New Roman" w:hAnsi="Times New Roman" w:eastAsia="宋体" w:cs="Arial"/>
                <w:b/>
                <w:color w:val="000000" w:themeColor="text1"/>
                <w:sz w:val="24"/>
                <w:szCs w:val="24"/>
                <w:highlight w:val="none"/>
                <w14:textFill>
                  <w14:solidFill>
                    <w14:schemeClr w14:val="tx1"/>
                  </w14:solidFill>
                </w14:textFill>
              </w:rPr>
            </w:pPr>
            <w:r>
              <w:rPr>
                <w:rFonts w:hint="eastAsia" w:ascii="Times New Roman" w:hAnsi="Times New Roman" w:eastAsia="宋体" w:cs="Arial"/>
                <w:b/>
                <w:color w:val="000000" w:themeColor="text1"/>
                <w:sz w:val="24"/>
                <w:szCs w:val="24"/>
                <w:highlight w:val="none"/>
                <w14:textFill>
                  <w14:solidFill>
                    <w14:schemeClr w14:val="tx1"/>
                  </w14:solidFill>
                </w14:textFill>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38"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1</w:t>
            </w:r>
          </w:p>
        </w:tc>
        <w:tc>
          <w:tcPr>
            <w:tcW w:w="1584" w:type="pct"/>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pacing w:val="10"/>
                <w:sz w:val="24"/>
                <w:szCs w:val="24"/>
                <w:highlight w:val="none"/>
                <w14:textFill>
                  <w14:solidFill>
                    <w14:schemeClr w14:val="tx1"/>
                  </w14:solidFill>
                </w14:textFill>
              </w:rPr>
              <w:t>立式磨煤机</w:t>
            </w:r>
            <w:r>
              <w:rPr>
                <w:rFonts w:hint="eastAsia" w:ascii="Times New Roman" w:hAnsi="Times New Roman" w:eastAsia="宋体" w:cs="Arial"/>
                <w:color w:val="000000" w:themeColor="text1"/>
                <w:sz w:val="24"/>
                <w:szCs w:val="24"/>
                <w:highlight w:val="none"/>
                <w14:textFill>
                  <w14:solidFill>
                    <w14:schemeClr w14:val="tx1"/>
                  </w14:solidFill>
                </w14:textFill>
              </w:rPr>
              <w:t>制粉能力</w:t>
            </w:r>
          </w:p>
        </w:tc>
        <w:tc>
          <w:tcPr>
            <w:tcW w:w="1062"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t/h</w:t>
            </w:r>
          </w:p>
        </w:tc>
        <w:tc>
          <w:tcPr>
            <w:tcW w:w="1814" w:type="pct"/>
            <w:vAlign w:val="center"/>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≥1</w:t>
            </w:r>
            <w:r>
              <w:rPr>
                <w:rFonts w:ascii="Times New Roman" w:hAnsi="Times New Roman" w:eastAsia="宋体" w:cs="Arial"/>
                <w:color w:val="000000" w:themeColor="text1"/>
                <w:sz w:val="24"/>
                <w:szCs w:val="24"/>
                <w:highlight w:val="none"/>
                <w14:textFill>
                  <w14:solidFill>
                    <w14:schemeClr w14:val="tx1"/>
                  </w14:solidFill>
                </w14:textFill>
              </w:rPr>
              <w:t xml:space="preserve">0t/h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38"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2</w:t>
            </w:r>
          </w:p>
        </w:tc>
        <w:tc>
          <w:tcPr>
            <w:tcW w:w="1584" w:type="pct"/>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粉煤制备系统输送能力</w:t>
            </w:r>
          </w:p>
        </w:tc>
        <w:tc>
          <w:tcPr>
            <w:tcW w:w="1062"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t/h</w:t>
            </w:r>
          </w:p>
        </w:tc>
        <w:tc>
          <w:tcPr>
            <w:tcW w:w="1814" w:type="pct"/>
            <w:vAlign w:val="center"/>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38"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3</w:t>
            </w:r>
          </w:p>
        </w:tc>
        <w:tc>
          <w:tcPr>
            <w:tcW w:w="1584" w:type="pct"/>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粉煤细度</w:t>
            </w:r>
          </w:p>
        </w:tc>
        <w:tc>
          <w:tcPr>
            <w:tcW w:w="1062"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-200</w:t>
            </w:r>
            <w:r>
              <w:rPr>
                <w:rFonts w:hint="eastAsia" w:ascii="Times New Roman" w:hAnsi="Times New Roman" w:eastAsia="宋体" w:cs="Arial"/>
                <w:color w:val="000000" w:themeColor="text1"/>
                <w:sz w:val="24"/>
                <w:szCs w:val="24"/>
                <w:highlight w:val="none"/>
                <w14:textFill>
                  <w14:solidFill>
                    <w14:schemeClr w14:val="tx1"/>
                  </w14:solidFill>
                </w14:textFill>
              </w:rPr>
              <w:t>目</w:t>
            </w:r>
          </w:p>
        </w:tc>
        <w:tc>
          <w:tcPr>
            <w:tcW w:w="1814" w:type="pct"/>
            <w:vAlign w:val="center"/>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w:t>
            </w:r>
            <w:r>
              <w:rPr>
                <w:rFonts w:ascii="Times New Roman" w:hAnsi="Times New Roman" w:eastAsia="宋体" w:cs="Arial"/>
                <w:color w:val="000000" w:themeColor="text1"/>
                <w:sz w:val="24"/>
                <w:szCs w:val="24"/>
                <w:highlight w:val="none"/>
                <w14:textFill>
                  <w14:solidFill>
                    <w14:schemeClr w14:val="tx1"/>
                  </w14:solidFill>
                </w14:textFill>
              </w:rPr>
              <w:t>85%</w:t>
            </w:r>
            <w:r>
              <w:rPr>
                <w:rFonts w:hint="eastAsia" w:ascii="Times New Roman" w:hAnsi="Times New Roman" w:eastAsia="宋体" w:cs="Arial"/>
                <w:color w:val="000000" w:themeColor="text1"/>
                <w:sz w:val="24"/>
                <w:szCs w:val="24"/>
                <w:highlight w:val="none"/>
                <w:lang w:eastAsia="zh-CN"/>
                <w14:textFill>
                  <w14:solidFill>
                    <w14:schemeClr w14:val="tx1"/>
                  </w14:solidFill>
                </w14:textFill>
              </w:rPr>
              <w:t>（</w:t>
            </w:r>
            <w:r>
              <w:rPr>
                <w:rFonts w:ascii="Times New Roman" w:hAnsi="Times New Roman" w:eastAsia="宋体" w:cs="Arial"/>
                <w:color w:val="000000" w:themeColor="text1"/>
                <w:sz w:val="24"/>
                <w:szCs w:val="24"/>
                <w:highlight w:val="none"/>
                <w14:textFill>
                  <w14:solidFill>
                    <w14:schemeClr w14:val="tx1"/>
                  </w14:solidFill>
                </w14:textFill>
              </w:rPr>
              <w:t>100%</w:t>
            </w:r>
            <w:r>
              <w:rPr>
                <w:rFonts w:hint="eastAsia" w:ascii="Times New Roman" w:hAnsi="Times New Roman" w:eastAsia="宋体" w:cs="Arial"/>
                <w:color w:val="000000" w:themeColor="text1"/>
                <w:sz w:val="24"/>
                <w:szCs w:val="24"/>
                <w:highlight w:val="none"/>
                <w14:textFill>
                  <w14:solidFill>
                    <w14:schemeClr w14:val="tx1"/>
                  </w14:solidFill>
                </w14:textFill>
              </w:rPr>
              <w:t>≤</w:t>
            </w:r>
            <w:r>
              <w:rPr>
                <w:rFonts w:ascii="Times New Roman" w:hAnsi="Times New Roman" w:eastAsia="宋体" w:cs="Arial"/>
                <w:color w:val="000000" w:themeColor="text1"/>
                <w:sz w:val="24"/>
                <w:szCs w:val="24"/>
                <w:highlight w:val="none"/>
                <w14:textFill>
                  <w14:solidFill>
                    <w14:schemeClr w14:val="tx1"/>
                  </w14:solidFill>
                </w14:textFill>
              </w:rPr>
              <w:t>1 mm</w:t>
            </w:r>
            <w:r>
              <w:rPr>
                <w:rFonts w:hint="eastAsia" w:ascii="Times New Roman" w:hAnsi="Times New Roman" w:eastAsia="宋体" w:cs="Arial"/>
                <w:color w:val="000000" w:themeColor="text1"/>
                <w:sz w:val="24"/>
                <w:szCs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38"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4</w:t>
            </w:r>
          </w:p>
        </w:tc>
        <w:tc>
          <w:tcPr>
            <w:tcW w:w="1584" w:type="pct"/>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粉煤水分</w:t>
            </w:r>
          </w:p>
        </w:tc>
        <w:tc>
          <w:tcPr>
            <w:tcW w:w="1062"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w:t>
            </w:r>
          </w:p>
        </w:tc>
        <w:tc>
          <w:tcPr>
            <w:tcW w:w="1814" w:type="pct"/>
            <w:vAlign w:val="center"/>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w:t>
            </w:r>
            <w:r>
              <w:rPr>
                <w:rFonts w:ascii="Times New Roman" w:hAnsi="Times New Roman" w:eastAsia="宋体" w:cs="Arial"/>
                <w:color w:val="000000" w:themeColor="text1"/>
                <w:sz w:val="24"/>
                <w:szCs w:val="24"/>
                <w:highlight w:val="none"/>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38"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5</w:t>
            </w:r>
          </w:p>
        </w:tc>
        <w:tc>
          <w:tcPr>
            <w:tcW w:w="1584" w:type="pct"/>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粉尘排放浓度</w:t>
            </w:r>
          </w:p>
        </w:tc>
        <w:tc>
          <w:tcPr>
            <w:tcW w:w="1062"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mg/Nm</w:t>
            </w:r>
            <w:r>
              <w:rPr>
                <w:rFonts w:ascii="Times New Roman" w:hAnsi="Times New Roman" w:eastAsia="宋体" w:cs="Arial"/>
                <w:color w:val="000000" w:themeColor="text1"/>
                <w:sz w:val="24"/>
                <w:szCs w:val="24"/>
                <w:highlight w:val="none"/>
                <w:vertAlign w:val="superscript"/>
                <w14:textFill>
                  <w14:solidFill>
                    <w14:schemeClr w14:val="tx1"/>
                  </w14:solidFill>
                </w14:textFill>
              </w:rPr>
              <w:t>3</w:t>
            </w:r>
          </w:p>
        </w:tc>
        <w:tc>
          <w:tcPr>
            <w:tcW w:w="1814" w:type="pct"/>
            <w:shd w:val="clear" w:color="auto" w:fill="auto"/>
            <w:vAlign w:val="center"/>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538"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6</w:t>
            </w:r>
          </w:p>
        </w:tc>
        <w:tc>
          <w:tcPr>
            <w:tcW w:w="1584" w:type="pct"/>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bCs/>
                <w:color w:val="000000" w:themeColor="text1"/>
                <w:sz w:val="24"/>
                <w:szCs w:val="24"/>
                <w:highlight w:val="none"/>
                <w14:textFill>
                  <w14:solidFill>
                    <w14:schemeClr w14:val="tx1"/>
                  </w14:solidFill>
                </w14:textFill>
              </w:rPr>
              <w:t>噪声</w:t>
            </w:r>
          </w:p>
        </w:tc>
        <w:tc>
          <w:tcPr>
            <w:tcW w:w="1062" w:type="pct"/>
            <w:vAlign w:val="center"/>
          </w:tcPr>
          <w:p>
            <w:pPr>
              <w:jc w:val="center"/>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bCs/>
                <w:color w:val="000000" w:themeColor="text1"/>
                <w:sz w:val="24"/>
                <w:szCs w:val="24"/>
                <w:highlight w:val="none"/>
                <w14:textFill>
                  <w14:solidFill>
                    <w14:schemeClr w14:val="tx1"/>
                  </w14:solidFill>
                </w14:textFill>
              </w:rPr>
              <w:t>dB</w:t>
            </w:r>
            <w:r>
              <w:rPr>
                <w:rFonts w:hint="eastAsia" w:ascii="Times New Roman" w:hAnsi="Times New Roman" w:eastAsia="宋体" w:cs="Arial"/>
                <w:bCs/>
                <w:color w:val="000000" w:themeColor="text1"/>
                <w:sz w:val="24"/>
                <w:szCs w:val="24"/>
                <w:highlight w:val="none"/>
                <w:lang w:eastAsia="zh-CN"/>
                <w14:textFill>
                  <w14:solidFill>
                    <w14:schemeClr w14:val="tx1"/>
                  </w14:solidFill>
                </w14:textFill>
              </w:rPr>
              <w:t>（</w:t>
            </w:r>
            <w:r>
              <w:rPr>
                <w:rFonts w:ascii="Times New Roman" w:hAnsi="Times New Roman" w:eastAsia="宋体" w:cs="Arial"/>
                <w:bCs/>
                <w:color w:val="000000" w:themeColor="text1"/>
                <w:sz w:val="24"/>
                <w:szCs w:val="24"/>
                <w:highlight w:val="none"/>
                <w14:textFill>
                  <w14:solidFill>
                    <w14:schemeClr w14:val="tx1"/>
                  </w14:solidFill>
                </w14:textFill>
              </w:rPr>
              <w:t>A</w:t>
            </w:r>
            <w:r>
              <w:rPr>
                <w:rFonts w:hint="eastAsia" w:ascii="Times New Roman" w:hAnsi="Times New Roman" w:eastAsia="宋体" w:cs="Arial"/>
                <w:bCs/>
                <w:color w:val="000000" w:themeColor="text1"/>
                <w:sz w:val="24"/>
                <w:szCs w:val="24"/>
                <w:highlight w:val="none"/>
                <w14:textFill>
                  <w14:solidFill>
                    <w14:schemeClr w14:val="tx1"/>
                  </w14:solidFill>
                </w14:textFill>
              </w:rPr>
              <w:t>）</w:t>
            </w:r>
          </w:p>
        </w:tc>
        <w:tc>
          <w:tcPr>
            <w:tcW w:w="1814" w:type="pct"/>
            <w:vAlign w:val="center"/>
          </w:tcPr>
          <w:p>
            <w:pPr>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w:t>
            </w:r>
            <w:r>
              <w:rPr>
                <w:rFonts w:ascii="Times New Roman" w:hAnsi="Times New Roman" w:eastAsia="宋体" w:cs="Arial"/>
                <w:bCs/>
                <w:color w:val="000000" w:themeColor="text1"/>
                <w:sz w:val="24"/>
                <w:szCs w:val="24"/>
                <w:highlight w:val="none"/>
                <w14:textFill>
                  <w14:solidFill>
                    <w14:schemeClr w14:val="tx1"/>
                  </w14:solidFill>
                </w14:textFill>
              </w:rPr>
              <w:t>85</w:t>
            </w:r>
          </w:p>
        </w:tc>
      </w:tr>
    </w:tbl>
    <w:p>
      <w:pPr>
        <w:spacing w:after="156" w:afterLines="50" w:line="500" w:lineRule="exact"/>
        <w:outlineLvl w:val="1"/>
        <w:rPr>
          <w:rFonts w:ascii="Times New Roman" w:hAnsi="Times New Roman" w:eastAsia="宋体" w:cs="Arial"/>
          <w:b/>
          <w:bCs/>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5.3</w:t>
      </w:r>
      <w:r>
        <w:rPr>
          <w:rFonts w:hint="eastAsia" w:ascii="Times New Roman" w:hAnsi="Times New Roman" w:eastAsia="宋体" w:cs="Arial"/>
          <w:b/>
          <w:bCs/>
          <w:color w:val="000000" w:themeColor="text1"/>
          <w:sz w:val="24"/>
          <w:highlight w:val="none"/>
          <w14:textFill>
            <w14:solidFill>
              <w14:schemeClr w14:val="tx1"/>
            </w14:solidFill>
          </w14:textFill>
        </w:rPr>
        <w:t>磨煤系统主要设备技术性能要求</w:t>
      </w:r>
      <w:r>
        <w:rPr>
          <w:rFonts w:hint="eastAsia" w:ascii="Times New Roman" w:hAnsi="Times New Roman" w:eastAsia="宋体" w:cs="Arial"/>
          <w:b/>
          <w:bCs/>
          <w:color w:val="000000" w:themeColor="text1"/>
          <w:sz w:val="24"/>
          <w:highlight w:val="none"/>
          <w:lang w:eastAsia="zh-CN"/>
          <w14:textFill>
            <w14:solidFill>
              <w14:schemeClr w14:val="tx1"/>
            </w14:solidFill>
          </w14:textFill>
        </w:rPr>
        <w:t>（</w:t>
      </w:r>
      <w:r>
        <w:rPr>
          <w:rFonts w:hint="eastAsia" w:ascii="Times New Roman" w:hAnsi="Times New Roman" w:eastAsia="宋体" w:cs="Arial"/>
          <w:b/>
          <w:bCs/>
          <w:color w:val="000000" w:themeColor="text1"/>
          <w:sz w:val="24"/>
          <w:highlight w:val="none"/>
          <w14:textFill>
            <w14:solidFill>
              <w14:schemeClr w14:val="tx1"/>
            </w14:solidFill>
          </w14:textFill>
        </w:rPr>
        <w:t>详见附件</w:t>
      </w:r>
      <w:r>
        <w:rPr>
          <w:rFonts w:ascii="Times New Roman" w:hAnsi="Times New Roman" w:eastAsia="宋体" w:cs="Arial"/>
          <w:b/>
          <w:bCs/>
          <w:color w:val="000000" w:themeColor="text1"/>
          <w:sz w:val="24"/>
          <w:highlight w:val="none"/>
          <w14:textFill>
            <w14:solidFill>
              <w14:schemeClr w14:val="tx1"/>
            </w14:solidFill>
          </w14:textFill>
        </w:rPr>
        <w:t>2</w:t>
      </w:r>
      <w:r>
        <w:rPr>
          <w:rFonts w:hint="eastAsia" w:ascii="Times New Roman" w:hAnsi="Times New Roman" w:eastAsia="宋体" w:cs="Arial"/>
          <w:b/>
          <w:bCs/>
          <w:color w:val="000000" w:themeColor="text1"/>
          <w:sz w:val="24"/>
          <w:highlight w:val="none"/>
          <w14:textFill>
            <w14:solidFill>
              <w14:schemeClr w14:val="tx1"/>
            </w14:solidFill>
          </w14:textFill>
        </w:rPr>
        <w:t>）：</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5"/>
        <w:gridCol w:w="939"/>
        <w:gridCol w:w="6494"/>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blHeader/>
        </w:trPr>
        <w:tc>
          <w:tcPr>
            <w:tcW w:w="727" w:type="pct"/>
            <w:vAlign w:val="center"/>
          </w:tcPr>
          <w:p>
            <w:pPr>
              <w:bidi w:val="0"/>
              <w:jc w:val="center"/>
              <w:rPr>
                <w:rFonts w:hint="eastAsia" w:ascii="宋体" w:hAnsi="宋体" w:eastAsia="宋体" w:cs="宋体"/>
                <w:b/>
                <w:bCs/>
                <w:sz w:val="24"/>
                <w:szCs w:val="24"/>
              </w:rPr>
            </w:pPr>
            <w:r>
              <w:rPr>
                <w:rFonts w:hint="eastAsia" w:ascii="宋体" w:hAnsi="宋体" w:eastAsia="宋体" w:cs="宋体"/>
                <w:b/>
                <w:bCs/>
                <w:sz w:val="24"/>
                <w:szCs w:val="24"/>
              </w:rPr>
              <w:t>设备名称</w:t>
            </w:r>
          </w:p>
        </w:tc>
        <w:tc>
          <w:tcPr>
            <w:tcW w:w="415" w:type="pct"/>
            <w:vAlign w:val="center"/>
          </w:tcPr>
          <w:p>
            <w:pPr>
              <w:bidi w:val="0"/>
              <w:jc w:val="center"/>
              <w:rPr>
                <w:rFonts w:hint="eastAsia" w:ascii="宋体" w:hAnsi="宋体" w:eastAsia="宋体" w:cs="宋体"/>
                <w:b/>
                <w:bCs/>
                <w:sz w:val="24"/>
                <w:szCs w:val="24"/>
                <w:lang w:eastAsia="zh-CN"/>
              </w:rPr>
            </w:pPr>
            <w:r>
              <w:rPr>
                <w:rFonts w:hint="eastAsia" w:ascii="宋体" w:hAnsi="宋体" w:eastAsia="宋体" w:cs="宋体"/>
                <w:b/>
                <w:bCs/>
                <w:sz w:val="24"/>
                <w:szCs w:val="24"/>
              </w:rPr>
              <w:t>数量</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套</w:t>
            </w:r>
            <w:r>
              <w:rPr>
                <w:rFonts w:hint="eastAsia" w:ascii="宋体" w:hAnsi="宋体" w:eastAsia="宋体" w:cs="宋体"/>
                <w:b/>
                <w:bCs/>
                <w:sz w:val="24"/>
                <w:szCs w:val="24"/>
                <w:lang w:eastAsia="zh-CN"/>
              </w:rPr>
              <w:t>）</w:t>
            </w:r>
          </w:p>
        </w:tc>
        <w:tc>
          <w:tcPr>
            <w:tcW w:w="3525" w:type="pct"/>
            <w:vAlign w:val="center"/>
          </w:tcPr>
          <w:p>
            <w:pPr>
              <w:bidi w:val="0"/>
              <w:jc w:val="center"/>
              <w:rPr>
                <w:rFonts w:hint="eastAsia" w:ascii="宋体" w:hAnsi="宋体" w:eastAsia="宋体" w:cs="宋体"/>
                <w:b/>
                <w:bCs/>
                <w:sz w:val="24"/>
                <w:szCs w:val="24"/>
              </w:rPr>
            </w:pPr>
            <w:r>
              <w:rPr>
                <w:rFonts w:hint="eastAsia" w:ascii="宋体" w:hAnsi="宋体" w:eastAsia="宋体" w:cs="宋体"/>
                <w:b/>
                <w:bCs/>
                <w:sz w:val="24"/>
                <w:szCs w:val="24"/>
              </w:rPr>
              <w:t>基本技术参数</w:t>
            </w:r>
          </w:p>
        </w:tc>
        <w:tc>
          <w:tcPr>
            <w:tcW w:w="331" w:type="pct"/>
            <w:vAlign w:val="center"/>
          </w:tcPr>
          <w:p>
            <w:pPr>
              <w:bidi w:val="0"/>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27" w:type="pc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立式磨煤机</w:t>
            </w:r>
          </w:p>
        </w:tc>
        <w:tc>
          <w:tcPr>
            <w:tcW w:w="415" w:type="pc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1</w:t>
            </w:r>
          </w:p>
        </w:tc>
        <w:tc>
          <w:tcPr>
            <w:tcW w:w="3525" w:type="pct"/>
            <w:vAlign w:val="center"/>
          </w:tcPr>
          <w:p>
            <w:pPr>
              <w:bidi w:val="0"/>
              <w:rPr>
                <w:rFonts w:hint="eastAsia" w:ascii="宋体" w:hAnsi="宋体" w:eastAsia="宋体" w:cs="宋体"/>
                <w:sz w:val="24"/>
                <w:szCs w:val="24"/>
                <w:lang w:eastAsia="zh-CN"/>
              </w:rPr>
            </w:pPr>
            <w:r>
              <w:rPr>
                <w:rFonts w:hint="eastAsia" w:ascii="宋体" w:hAnsi="宋体" w:eastAsia="宋体" w:cs="宋体"/>
                <w:sz w:val="24"/>
                <w:szCs w:val="24"/>
              </w:rPr>
              <w:t>1、介质：烟煤，堆积密度：～0.8t/m</w:t>
            </w:r>
            <w:r>
              <w:rPr>
                <w:rFonts w:hint="eastAsia" w:ascii="宋体" w:hAnsi="宋体" w:eastAsia="宋体" w:cs="宋体"/>
                <w:sz w:val="24"/>
                <w:szCs w:val="24"/>
                <w:vertAlign w:val="superscript"/>
              </w:rPr>
              <w:t>3</w:t>
            </w:r>
            <w:r>
              <w:rPr>
                <w:rFonts w:hint="eastAsia" w:ascii="宋体" w:hAnsi="宋体" w:eastAsia="宋体" w:cs="宋体"/>
                <w:sz w:val="24"/>
                <w:szCs w:val="24"/>
                <w:lang w:eastAsia="zh-CN"/>
              </w:rPr>
              <w:t>；</w:t>
            </w:r>
            <w:r>
              <w:rPr>
                <w:rFonts w:hint="eastAsia" w:ascii="宋体" w:hAnsi="宋体" w:eastAsia="宋体" w:cs="宋体"/>
                <w:sz w:val="24"/>
                <w:szCs w:val="24"/>
              </w:rPr>
              <w:t>粒径：＜30mm，易燃易爆</w:t>
            </w:r>
            <w:r>
              <w:rPr>
                <w:rFonts w:hint="eastAsia" w:ascii="宋体" w:hAnsi="宋体" w:eastAsia="宋体" w:cs="宋体"/>
                <w:sz w:val="24"/>
                <w:szCs w:val="24"/>
                <w:lang w:eastAsia="zh-CN"/>
              </w:rPr>
              <w:t>；</w:t>
            </w:r>
            <w:r>
              <w:rPr>
                <w:rFonts w:hint="eastAsia" w:ascii="宋体" w:hAnsi="宋体" w:eastAsia="宋体" w:cs="宋体"/>
                <w:sz w:val="24"/>
                <w:szCs w:val="24"/>
              </w:rPr>
              <w:t>温度：＜40℃</w:t>
            </w:r>
            <w:r>
              <w:rPr>
                <w:rFonts w:hint="eastAsia" w:ascii="宋体" w:hAnsi="宋体" w:eastAsia="宋体" w:cs="宋体"/>
                <w:sz w:val="24"/>
                <w:szCs w:val="24"/>
                <w:lang w:eastAsia="zh-CN"/>
              </w:rPr>
              <w:t>；</w:t>
            </w:r>
            <w:r>
              <w:rPr>
                <w:rFonts w:hint="eastAsia" w:ascii="宋体" w:hAnsi="宋体" w:eastAsia="宋体" w:cs="宋体"/>
                <w:sz w:val="24"/>
                <w:szCs w:val="24"/>
              </w:rPr>
              <w:t>烟煤要求：碳≥55%</w:t>
            </w:r>
            <w:r>
              <w:rPr>
                <w:rFonts w:hint="eastAsia" w:ascii="宋体" w:hAnsi="宋体" w:eastAsia="宋体" w:cs="宋体"/>
                <w:sz w:val="24"/>
                <w:szCs w:val="24"/>
                <w:lang w:eastAsia="zh-CN"/>
              </w:rPr>
              <w:t>；</w:t>
            </w:r>
            <w:r>
              <w:rPr>
                <w:rFonts w:hint="eastAsia" w:ascii="宋体" w:hAnsi="宋体" w:eastAsia="宋体" w:cs="宋体"/>
                <w:sz w:val="24"/>
                <w:szCs w:val="24"/>
              </w:rPr>
              <w:t>水≤12%</w:t>
            </w:r>
            <w:r>
              <w:rPr>
                <w:rFonts w:hint="eastAsia" w:ascii="宋体" w:hAnsi="宋体" w:eastAsia="宋体" w:cs="宋体"/>
                <w:sz w:val="24"/>
                <w:szCs w:val="24"/>
                <w:lang w:eastAsia="zh-CN"/>
              </w:rPr>
              <w:t>；</w:t>
            </w:r>
            <w:r>
              <w:rPr>
                <w:rFonts w:hint="eastAsia" w:ascii="宋体" w:hAnsi="宋体" w:eastAsia="宋体" w:cs="宋体"/>
                <w:sz w:val="24"/>
                <w:szCs w:val="24"/>
              </w:rPr>
              <w:t>硫≤1%。煤粉细度：-200目&gt;85%</w:t>
            </w:r>
            <w:r>
              <w:rPr>
                <w:rFonts w:hint="eastAsia" w:ascii="宋体" w:hAnsi="宋体" w:eastAsia="宋体" w:cs="宋体"/>
                <w:sz w:val="24"/>
                <w:szCs w:val="24"/>
                <w:lang w:eastAsia="zh-CN"/>
              </w:rPr>
              <w:t>；</w:t>
            </w:r>
            <w:r>
              <w:rPr>
                <w:rFonts w:hint="eastAsia" w:ascii="宋体" w:hAnsi="宋体" w:eastAsia="宋体" w:cs="宋体"/>
                <w:sz w:val="24"/>
                <w:szCs w:val="24"/>
              </w:rPr>
              <w:t>煤粉水分：＜1%</w:t>
            </w:r>
            <w:r>
              <w:rPr>
                <w:rFonts w:hint="eastAsia" w:ascii="宋体" w:hAnsi="宋体" w:eastAsia="宋体" w:cs="宋体"/>
                <w:sz w:val="24"/>
                <w:szCs w:val="24"/>
                <w:lang w:eastAsia="zh-CN"/>
              </w:rPr>
              <w:t>；</w:t>
            </w:r>
            <w:r>
              <w:rPr>
                <w:rFonts w:hint="eastAsia" w:ascii="宋体" w:hAnsi="宋体" w:eastAsia="宋体" w:cs="宋体"/>
                <w:sz w:val="24"/>
                <w:szCs w:val="24"/>
              </w:rPr>
              <w:t>发热值≥25000kJ/kg</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2、粉煤产量：10t/h</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3、有效磨盘研磨中径：大于1300mm</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4、入口物料粒度：＜30mm</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5、出口物料粒度：100%＜1mm，85%以上小于200目</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6、物料密度：0.8t/m</w:t>
            </w:r>
            <w:r>
              <w:rPr>
                <w:rFonts w:hint="eastAsia" w:ascii="宋体" w:hAnsi="宋体" w:eastAsia="宋体" w:cs="宋体"/>
                <w:sz w:val="24"/>
                <w:szCs w:val="24"/>
                <w:vertAlign w:val="superscript"/>
              </w:rPr>
              <w:t>3</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7、物料含水：入磨物料含水＜12%、出磨物料含水＜1%</w:t>
            </w:r>
            <w:r>
              <w:rPr>
                <w:rFonts w:hint="eastAsia" w:ascii="宋体" w:hAnsi="宋体" w:eastAsia="宋体" w:cs="宋体"/>
                <w:sz w:val="24"/>
                <w:szCs w:val="24"/>
                <w:lang w:eastAsia="zh-CN"/>
              </w:rPr>
              <w:t>；</w:t>
            </w:r>
          </w:p>
          <w:p>
            <w:pPr>
              <w:bidi w:val="0"/>
              <w:rPr>
                <w:rFonts w:hint="eastAsia" w:ascii="宋体" w:hAnsi="宋体" w:eastAsia="宋体" w:cs="宋体"/>
                <w:sz w:val="24"/>
                <w:szCs w:val="24"/>
              </w:rPr>
            </w:pPr>
            <w:r>
              <w:rPr>
                <w:rFonts w:hint="eastAsia" w:ascii="宋体" w:hAnsi="宋体" w:eastAsia="宋体" w:cs="宋体"/>
                <w:sz w:val="24"/>
                <w:szCs w:val="24"/>
              </w:rPr>
              <w:t>8、入磨风量：21000Nm</w:t>
            </w:r>
            <w:r>
              <w:rPr>
                <w:rFonts w:hint="eastAsia" w:ascii="宋体" w:hAnsi="宋体" w:eastAsia="宋体" w:cs="宋体"/>
                <w:sz w:val="24"/>
                <w:szCs w:val="24"/>
                <w:vertAlign w:val="superscript"/>
              </w:rPr>
              <w:t>3</w:t>
            </w:r>
            <w:r>
              <w:rPr>
                <w:rFonts w:hint="eastAsia" w:ascii="宋体" w:hAnsi="宋体" w:eastAsia="宋体" w:cs="宋体"/>
                <w:sz w:val="24"/>
                <w:szCs w:val="24"/>
              </w:rPr>
              <w:t>/h</w:t>
            </w:r>
            <w:r>
              <w:rPr>
                <w:rFonts w:hint="eastAsia" w:ascii="宋体" w:hAnsi="宋体" w:eastAsia="宋体" w:cs="宋体"/>
                <w:sz w:val="24"/>
                <w:szCs w:val="24"/>
                <w:lang w:eastAsia="zh-CN"/>
              </w:rPr>
              <w:t>；（</w:t>
            </w:r>
            <w:r>
              <w:rPr>
                <w:rFonts w:hint="eastAsia" w:ascii="宋体" w:hAnsi="宋体" w:eastAsia="宋体" w:cs="宋体"/>
                <w:sz w:val="24"/>
                <w:szCs w:val="24"/>
              </w:rPr>
              <w:t>设计参考值）</w:t>
            </w:r>
          </w:p>
          <w:p>
            <w:pPr>
              <w:bidi w:val="0"/>
              <w:rPr>
                <w:rFonts w:hint="eastAsia" w:ascii="宋体" w:hAnsi="宋体" w:eastAsia="宋体" w:cs="宋体"/>
                <w:sz w:val="24"/>
                <w:szCs w:val="24"/>
                <w:lang w:eastAsia="zh-CN"/>
              </w:rPr>
            </w:pPr>
            <w:r>
              <w:rPr>
                <w:rFonts w:hint="eastAsia" w:ascii="宋体" w:hAnsi="宋体" w:eastAsia="宋体" w:cs="宋体"/>
                <w:sz w:val="24"/>
                <w:szCs w:val="24"/>
              </w:rPr>
              <w:t>9、入磨风温度：＜280℃</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10、磨煤机出口温度：～80℃</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11、主要部件材质：辊套、衬板：高铬铸铁</w:t>
            </w:r>
            <w:r>
              <w:rPr>
                <w:rFonts w:hint="eastAsia" w:ascii="宋体" w:hAnsi="宋体" w:eastAsia="宋体" w:cs="宋体"/>
                <w:sz w:val="24"/>
                <w:szCs w:val="24"/>
                <w:lang w:eastAsia="zh-CN"/>
              </w:rPr>
              <w:t>；</w:t>
            </w:r>
            <w:r>
              <w:rPr>
                <w:rFonts w:hint="eastAsia" w:ascii="宋体" w:hAnsi="宋体" w:eastAsia="宋体" w:cs="宋体"/>
                <w:sz w:val="24"/>
                <w:szCs w:val="24"/>
              </w:rPr>
              <w:t>辊轴：42CrMo</w:t>
            </w:r>
            <w:r>
              <w:rPr>
                <w:rFonts w:hint="eastAsia" w:ascii="宋体" w:hAnsi="宋体" w:eastAsia="宋体" w:cs="宋体"/>
                <w:sz w:val="24"/>
                <w:szCs w:val="24"/>
                <w:lang w:eastAsia="zh-CN"/>
              </w:rPr>
              <w:t>；</w:t>
            </w:r>
            <w:r>
              <w:rPr>
                <w:rFonts w:hint="eastAsia" w:ascii="宋体" w:hAnsi="宋体" w:eastAsia="宋体" w:cs="宋体"/>
                <w:sz w:val="24"/>
                <w:szCs w:val="24"/>
              </w:rPr>
              <w:t>分离器动、静叶片：16Mn</w:t>
            </w:r>
            <w:r>
              <w:rPr>
                <w:rFonts w:hint="eastAsia" w:ascii="宋体" w:hAnsi="宋体" w:eastAsia="宋体" w:cs="宋体"/>
                <w:sz w:val="24"/>
                <w:szCs w:val="24"/>
                <w:lang w:eastAsia="zh-CN"/>
              </w:rPr>
              <w:t>（</w:t>
            </w:r>
            <w:r>
              <w:rPr>
                <w:rFonts w:hint="eastAsia" w:ascii="宋体" w:hAnsi="宋体" w:eastAsia="宋体" w:cs="宋体"/>
                <w:sz w:val="24"/>
                <w:szCs w:val="24"/>
              </w:rPr>
              <w:t>若采用更优材质须提供耐磨测试报告和使用寿命承诺书</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12、粗粉分离器采用变频调节</w:t>
            </w:r>
            <w:r>
              <w:rPr>
                <w:rFonts w:hint="eastAsia" w:ascii="宋体" w:hAnsi="宋体" w:eastAsia="宋体" w:cs="宋体"/>
                <w:sz w:val="24"/>
                <w:szCs w:val="24"/>
                <w:lang w:eastAsia="zh-CN"/>
              </w:rPr>
              <w:t>；</w:t>
            </w:r>
          </w:p>
          <w:p>
            <w:pPr>
              <w:bidi w:val="0"/>
              <w:rPr>
                <w:rFonts w:hint="eastAsia" w:ascii="宋体" w:hAnsi="宋体" w:eastAsia="宋体" w:cs="宋体"/>
                <w:sz w:val="24"/>
                <w:szCs w:val="24"/>
              </w:rPr>
            </w:pPr>
            <w:r>
              <w:rPr>
                <w:rFonts w:hint="eastAsia" w:ascii="宋体" w:hAnsi="宋体" w:eastAsia="宋体" w:cs="宋体"/>
                <w:sz w:val="24"/>
                <w:szCs w:val="24"/>
              </w:rPr>
              <w:t>13、机械及电气原则要求：</w:t>
            </w:r>
          </w:p>
          <w:p>
            <w:pPr>
              <w:bidi w:val="0"/>
              <w:rPr>
                <w:rFonts w:hint="eastAsia" w:ascii="宋体" w:hAnsi="宋体" w:eastAsia="宋体" w:cs="宋体"/>
                <w:sz w:val="24"/>
                <w:szCs w:val="24"/>
                <w:lang w:eastAsia="zh-CN"/>
              </w:rPr>
            </w:pPr>
            <w:r>
              <w:rPr>
                <w:rFonts w:hint="eastAsia" w:ascii="宋体" w:hAnsi="宋体" w:eastAsia="宋体" w:cs="宋体"/>
                <w:sz w:val="24"/>
                <w:szCs w:val="24"/>
              </w:rPr>
              <w:t>1）减速机选用南高齿、SEW或等同其质量的产品</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2）电机</w:t>
            </w:r>
            <w:r>
              <w:rPr>
                <w:rFonts w:hint="eastAsia" w:ascii="宋体" w:hAnsi="宋体" w:eastAsia="宋体" w:cs="宋体"/>
                <w:sz w:val="24"/>
                <w:szCs w:val="24"/>
                <w:lang w:eastAsia="zh-CN"/>
              </w:rPr>
              <w:t>（</w:t>
            </w:r>
            <w:r>
              <w:rPr>
                <w:rFonts w:hint="eastAsia" w:ascii="宋体" w:hAnsi="宋体" w:eastAsia="宋体" w:cs="宋体"/>
                <w:sz w:val="24"/>
                <w:szCs w:val="24"/>
              </w:rPr>
              <w:t>不低于二级能效）统一选用220k</w:t>
            </w:r>
            <w:r>
              <w:rPr>
                <w:rFonts w:hint="eastAsia" w:ascii="宋体" w:hAnsi="宋体" w:eastAsia="宋体" w:cs="宋体"/>
                <w:sz w:val="24"/>
                <w:szCs w:val="24"/>
                <w:lang w:eastAsia="zh-CN"/>
              </w:rPr>
              <w:t>W</w:t>
            </w:r>
            <w:r>
              <w:rPr>
                <w:rFonts w:hint="eastAsia" w:ascii="宋体" w:hAnsi="宋体" w:eastAsia="宋体" w:cs="宋体"/>
                <w:sz w:val="24"/>
                <w:szCs w:val="24"/>
              </w:rPr>
              <w:t>的防爆电机，建议选用西门子、上海电机、皖南电机等厂家或等同其质量的国内一线厂家产品</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3）润滑油站均采用国内一线品牌产品</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4）变频器采用西门子、ABB</w:t>
            </w:r>
            <w:r>
              <w:rPr>
                <w:rFonts w:hint="eastAsia" w:ascii="宋体" w:hAnsi="宋体" w:cs="宋体"/>
                <w:sz w:val="24"/>
                <w:szCs w:val="24"/>
                <w:lang w:eastAsia="zh-CN"/>
              </w:rPr>
              <w:t>、</w:t>
            </w:r>
            <w:r>
              <w:rPr>
                <w:rFonts w:hint="eastAsia" w:ascii="宋体" w:hAnsi="宋体" w:eastAsia="宋体" w:cs="宋体"/>
                <w:sz w:val="24"/>
                <w:szCs w:val="24"/>
              </w:rPr>
              <w:t>施耐德或等同其质量的一线品牌产品</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5）其它电气元器件选用施耐德、欧姆龙</w:t>
            </w:r>
            <w:r>
              <w:rPr>
                <w:rFonts w:hint="eastAsia"/>
                <w:lang w:eastAsia="zh-CN"/>
              </w:rPr>
              <w:t>、</w:t>
            </w:r>
            <w:r>
              <w:rPr>
                <w:rFonts w:hint="eastAsia"/>
                <w:sz w:val="24"/>
                <w:szCs w:val="22"/>
                <w:lang w:val="en-US" w:eastAsia="zh-CN"/>
              </w:rPr>
              <w:t>西门子</w:t>
            </w:r>
            <w:r>
              <w:rPr>
                <w:rFonts w:hint="eastAsia" w:ascii="宋体" w:hAnsi="宋体" w:eastAsia="宋体" w:cs="宋体"/>
                <w:sz w:val="24"/>
                <w:szCs w:val="24"/>
              </w:rPr>
              <w:t>或等同其质量的产品</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14、提供一路动力电源</w:t>
            </w:r>
            <w:r>
              <w:rPr>
                <w:rFonts w:hint="eastAsia" w:ascii="宋体" w:hAnsi="宋体" w:eastAsia="宋体" w:cs="宋体"/>
                <w:sz w:val="24"/>
                <w:szCs w:val="24"/>
                <w:lang w:eastAsia="zh-CN"/>
              </w:rPr>
              <w:t>；</w:t>
            </w:r>
            <w:r>
              <w:rPr>
                <w:rFonts w:hint="eastAsia" w:ascii="宋体" w:hAnsi="宋体" w:eastAsia="宋体" w:cs="宋体"/>
                <w:sz w:val="24"/>
                <w:szCs w:val="24"/>
              </w:rPr>
              <w:t>给水、排水、氮气</w:t>
            </w:r>
            <w:r>
              <w:rPr>
                <w:rFonts w:hint="eastAsia" w:ascii="宋体" w:hAnsi="宋体" w:eastAsia="宋体" w:cs="宋体"/>
                <w:sz w:val="24"/>
                <w:szCs w:val="24"/>
                <w:lang w:eastAsia="zh-CN"/>
              </w:rPr>
              <w:t>（</w:t>
            </w:r>
            <w:r>
              <w:rPr>
                <w:rFonts w:hint="eastAsia" w:ascii="宋体" w:hAnsi="宋体" w:eastAsia="宋体" w:cs="宋体"/>
                <w:sz w:val="24"/>
                <w:szCs w:val="24"/>
              </w:rPr>
              <w:t>磨机中部壳体留有充氮接口，在管道上有电磁阀控制在磨内事故或检修时进行充氮）、压缩空气均为一个接入口</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15、增加有效的安全措施，这些措施包括但不仅限于：氧气和一氧化碳检测</w:t>
            </w:r>
            <w:r>
              <w:rPr>
                <w:rFonts w:hint="eastAsia" w:ascii="宋体" w:hAnsi="宋体" w:eastAsia="宋体" w:cs="宋体"/>
                <w:sz w:val="24"/>
                <w:szCs w:val="24"/>
                <w:lang w:eastAsia="zh-CN"/>
              </w:rPr>
              <w:t>（</w:t>
            </w:r>
            <w:r>
              <w:rPr>
                <w:rFonts w:hint="eastAsia" w:ascii="宋体" w:hAnsi="宋体" w:eastAsia="宋体" w:cs="宋体"/>
                <w:sz w:val="24"/>
                <w:szCs w:val="24"/>
              </w:rPr>
              <w:t>当磨机静止时探测无焰燃烧）、惰性操作条件下，在湿气体中最大的氧气含量&lt;1</w:t>
            </w:r>
            <w:r>
              <w:rPr>
                <w:rFonts w:hint="eastAsia" w:ascii="宋体" w:hAnsi="宋体" w:eastAsia="宋体" w:cs="宋体"/>
                <w:sz w:val="24"/>
                <w:szCs w:val="24"/>
                <w:lang w:val="en-US" w:eastAsia="zh-CN"/>
              </w:rPr>
              <w:t>6</w:t>
            </w:r>
            <w:r>
              <w:rPr>
                <w:rFonts w:hint="eastAsia" w:ascii="宋体" w:hAnsi="宋体" w:eastAsia="宋体" w:cs="宋体"/>
                <w:sz w:val="24"/>
                <w:szCs w:val="24"/>
              </w:rPr>
              <w:t>%、抗暴抗冲击机构、快速关闭阀等燃烧隔绝设备、避免火源产生、设备设计安全符合参数规范。</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系统配备3台在线</w:t>
            </w:r>
            <w:r>
              <w:rPr>
                <w:rFonts w:hint="eastAsia" w:ascii="宋体" w:hAnsi="宋体" w:eastAsia="宋体" w:cs="宋体"/>
                <w:sz w:val="24"/>
                <w:szCs w:val="24"/>
              </w:rPr>
              <w:t>氧气和一氧化碳检测</w:t>
            </w:r>
            <w:r>
              <w:rPr>
                <w:rFonts w:hint="eastAsia" w:ascii="宋体" w:hAnsi="宋体" w:eastAsia="宋体" w:cs="宋体"/>
                <w:sz w:val="24"/>
                <w:szCs w:val="24"/>
                <w:lang w:val="en-US" w:eastAsia="zh-CN"/>
              </w:rPr>
              <w:t>仪，其中1台利旧</w:t>
            </w:r>
            <w:r>
              <w:rPr>
                <w:rFonts w:hint="eastAsia" w:ascii="宋体" w:hAnsi="宋体" w:eastAsia="宋体" w:cs="宋体"/>
                <w:sz w:val="24"/>
                <w:szCs w:val="24"/>
                <w:lang w:eastAsia="zh-CN"/>
              </w:rPr>
              <w:t>）。</w:t>
            </w:r>
          </w:p>
        </w:tc>
        <w:tc>
          <w:tcPr>
            <w:tcW w:w="331" w:type="pct"/>
            <w:vAlign w:val="center"/>
          </w:tcPr>
          <w:p>
            <w:pPr>
              <w:bidi w:val="0"/>
              <w:rPr>
                <w:rFonts w:hint="eastAsia" w:ascii="宋体" w:hAnsi="宋体" w:eastAsia="宋体" w:cs="宋体"/>
                <w:sz w:val="24"/>
                <w:szCs w:val="24"/>
              </w:rPr>
            </w:pPr>
            <w:r>
              <w:rPr>
                <w:rFonts w:hint="eastAsia" w:ascii="宋体" w:hAnsi="宋体" w:eastAsia="宋体" w:cs="宋体"/>
                <w:sz w:val="24"/>
                <w:szCs w:val="24"/>
              </w:rPr>
              <w:t>所有电气防爆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27" w:type="pc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定量给料机配锁风阀</w:t>
            </w:r>
          </w:p>
        </w:tc>
        <w:tc>
          <w:tcPr>
            <w:tcW w:w="415" w:type="pc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1</w:t>
            </w:r>
          </w:p>
        </w:tc>
        <w:tc>
          <w:tcPr>
            <w:tcW w:w="3525" w:type="pct"/>
            <w:vAlign w:val="center"/>
          </w:tcPr>
          <w:p>
            <w:pPr>
              <w:bidi w:val="0"/>
              <w:rPr>
                <w:rFonts w:hint="eastAsia" w:ascii="宋体" w:hAnsi="宋体" w:eastAsia="宋体" w:cs="宋体"/>
                <w:sz w:val="24"/>
                <w:szCs w:val="24"/>
                <w:lang w:eastAsia="zh-CN"/>
              </w:rPr>
            </w:pPr>
            <w:r>
              <w:rPr>
                <w:rFonts w:hint="eastAsia" w:ascii="宋体" w:hAnsi="宋体" w:eastAsia="宋体" w:cs="宋体"/>
                <w:sz w:val="24"/>
                <w:szCs w:val="24"/>
              </w:rPr>
              <w:t>1、物料名称：烟煤或无烟煤</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2、物料粒度：＜30mm</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3、物料密度：0.8t/m</w:t>
            </w:r>
            <w:r>
              <w:rPr>
                <w:rFonts w:hint="eastAsia" w:ascii="宋体" w:hAnsi="宋体" w:eastAsia="宋体" w:cs="宋体"/>
                <w:sz w:val="24"/>
                <w:szCs w:val="24"/>
                <w:vertAlign w:val="superscript"/>
              </w:rPr>
              <w:t>3</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4、物料含水：≤1</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5、输送量：0～20t/h</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6、称量精度：±0.5%</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7、带宽：650mm</w:t>
            </w:r>
            <w:r>
              <w:rPr>
                <w:rFonts w:hint="eastAsia" w:ascii="宋体" w:hAnsi="宋体" w:eastAsia="宋体" w:cs="宋体"/>
                <w:sz w:val="24"/>
                <w:szCs w:val="24"/>
                <w:lang w:eastAsia="zh-CN"/>
              </w:rPr>
              <w:t>；</w:t>
            </w:r>
            <w:r>
              <w:rPr>
                <w:rFonts w:hint="eastAsia" w:ascii="宋体" w:hAnsi="宋体" w:eastAsia="宋体" w:cs="宋体"/>
                <w:sz w:val="24"/>
                <w:szCs w:val="24"/>
              </w:rPr>
              <w:t>进出料口中心距：13550mm</w:t>
            </w:r>
            <w:r>
              <w:rPr>
                <w:rFonts w:hint="eastAsia" w:ascii="宋体" w:hAnsi="宋体" w:eastAsia="宋体" w:cs="宋体"/>
                <w:sz w:val="24"/>
                <w:szCs w:val="24"/>
                <w:lang w:eastAsia="zh-CN"/>
              </w:rPr>
              <w:t>（</w:t>
            </w:r>
            <w:r>
              <w:rPr>
                <w:rFonts w:hint="eastAsia" w:ascii="宋体" w:hAnsi="宋体" w:eastAsia="宋体" w:cs="宋体"/>
                <w:sz w:val="24"/>
                <w:szCs w:val="24"/>
              </w:rPr>
              <w:t>辊距13800mm）</w:t>
            </w:r>
            <w:r>
              <w:rPr>
                <w:rFonts w:hint="eastAsia" w:ascii="宋体" w:hAnsi="宋体" w:eastAsia="宋体" w:cs="宋体"/>
                <w:sz w:val="24"/>
                <w:szCs w:val="24"/>
                <w:lang w:eastAsia="zh-CN"/>
              </w:rPr>
              <w:t>；（</w:t>
            </w:r>
            <w:r>
              <w:rPr>
                <w:rFonts w:hint="eastAsia" w:ascii="宋体" w:hAnsi="宋体" w:eastAsia="宋体" w:cs="宋体"/>
                <w:sz w:val="24"/>
                <w:szCs w:val="24"/>
              </w:rPr>
              <w:t>根据实际配置调整）</w:t>
            </w:r>
            <w:r>
              <w:rPr>
                <w:rFonts w:hint="eastAsia" w:ascii="宋体" w:hAnsi="宋体" w:eastAsia="宋体" w:cs="宋体"/>
                <w:sz w:val="24"/>
                <w:szCs w:val="24"/>
                <w:lang w:eastAsia="zh-CN"/>
              </w:rPr>
              <w:t>；</w:t>
            </w:r>
            <w:r>
              <w:rPr>
                <w:rFonts w:hint="eastAsia" w:ascii="宋体" w:hAnsi="宋体" w:eastAsia="宋体" w:cs="宋体"/>
                <w:sz w:val="24"/>
                <w:szCs w:val="24"/>
              </w:rPr>
              <w:t>变频调速</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8、其他要求：具备自动清扫、断带提示、皮带跑偏提示及自动纠偏功能。给料皮带增加防跑偏检测和控制装置</w:t>
            </w:r>
            <w:r>
              <w:rPr>
                <w:rFonts w:hint="eastAsia" w:ascii="宋体" w:hAnsi="宋体" w:eastAsia="宋体" w:cs="宋体"/>
                <w:sz w:val="24"/>
                <w:szCs w:val="24"/>
                <w:lang w:eastAsia="zh-CN"/>
              </w:rPr>
              <w:t>（</w:t>
            </w:r>
            <w:r>
              <w:rPr>
                <w:rFonts w:hint="eastAsia" w:ascii="宋体" w:hAnsi="宋体" w:eastAsia="宋体" w:cs="宋体"/>
                <w:sz w:val="24"/>
                <w:szCs w:val="24"/>
              </w:rPr>
              <w:t>挡带轮），刮板预留安装点备用，检修门采用方便检修的螺栓+手柄异形螺母，能快速拆卸</w:t>
            </w:r>
            <w:r>
              <w:rPr>
                <w:rFonts w:hint="eastAsia" w:ascii="宋体" w:hAnsi="宋体" w:eastAsia="宋体" w:cs="宋体"/>
                <w:sz w:val="24"/>
                <w:szCs w:val="24"/>
                <w:lang w:eastAsia="zh-CN"/>
              </w:rPr>
              <w:t>；</w:t>
            </w:r>
            <w:r>
              <w:rPr>
                <w:rFonts w:hint="eastAsia" w:ascii="宋体" w:hAnsi="宋体" w:eastAsia="宋体" w:cs="宋体"/>
                <w:sz w:val="24"/>
                <w:szCs w:val="24"/>
              </w:rPr>
              <w:t>检测考虑物料遮挡粘接造成的误报</w:t>
            </w:r>
            <w:r>
              <w:rPr>
                <w:rFonts w:hint="eastAsia" w:ascii="宋体" w:hAnsi="宋体" w:eastAsia="宋体" w:cs="宋体"/>
                <w:sz w:val="24"/>
                <w:szCs w:val="24"/>
                <w:lang w:eastAsia="zh-CN"/>
              </w:rPr>
              <w:t>；</w:t>
            </w:r>
          </w:p>
          <w:p>
            <w:pPr>
              <w:bidi w:val="0"/>
              <w:rPr>
                <w:rFonts w:hint="eastAsia" w:ascii="宋体" w:hAnsi="宋体" w:eastAsia="宋体" w:cs="宋体"/>
                <w:sz w:val="24"/>
                <w:szCs w:val="24"/>
              </w:rPr>
            </w:pPr>
            <w:r>
              <w:rPr>
                <w:rFonts w:hint="eastAsia" w:ascii="宋体" w:hAnsi="宋体" w:eastAsia="宋体" w:cs="宋体"/>
                <w:sz w:val="24"/>
                <w:szCs w:val="24"/>
              </w:rPr>
              <w:t>9、变频器及电气原则要求</w:t>
            </w:r>
          </w:p>
          <w:p>
            <w:pPr>
              <w:bidi w:val="0"/>
              <w:rPr>
                <w:rFonts w:hint="eastAsia" w:ascii="宋体" w:hAnsi="宋体" w:eastAsia="宋体" w:cs="宋体"/>
                <w:sz w:val="24"/>
                <w:szCs w:val="24"/>
                <w:lang w:eastAsia="zh-CN"/>
              </w:rPr>
            </w:pPr>
            <w:r>
              <w:rPr>
                <w:rFonts w:hint="eastAsia" w:ascii="宋体" w:hAnsi="宋体" w:eastAsia="宋体" w:cs="宋体"/>
                <w:sz w:val="24"/>
                <w:szCs w:val="24"/>
              </w:rPr>
              <w:t>1）变频器采用西门子、ABB</w:t>
            </w:r>
            <w:r>
              <w:rPr>
                <w:rFonts w:hint="eastAsia"/>
                <w:lang w:eastAsia="zh-CN"/>
              </w:rPr>
              <w:t>、</w:t>
            </w:r>
            <w:r>
              <w:rPr>
                <w:rFonts w:hint="eastAsia" w:ascii="宋体" w:hAnsi="宋体" w:eastAsia="宋体" w:cs="宋体"/>
                <w:sz w:val="24"/>
                <w:szCs w:val="24"/>
              </w:rPr>
              <w:t>施耐德或等同其质量的一线品牌产品</w:t>
            </w:r>
            <w:r>
              <w:rPr>
                <w:rFonts w:hint="eastAsia" w:ascii="宋体" w:hAnsi="宋体" w:eastAsia="宋体" w:cs="宋体"/>
                <w:sz w:val="24"/>
                <w:szCs w:val="24"/>
                <w:lang w:eastAsia="zh-CN"/>
              </w:rPr>
              <w:t>；</w:t>
            </w:r>
          </w:p>
          <w:p>
            <w:pPr>
              <w:pStyle w:val="11"/>
              <w:rPr>
                <w:rFonts w:hint="eastAsia" w:ascii="宋体" w:hAnsi="宋体" w:eastAsia="宋体" w:cs="宋体"/>
                <w:sz w:val="24"/>
                <w:szCs w:val="24"/>
                <w:lang w:eastAsia="zh-CN"/>
              </w:rPr>
            </w:pPr>
            <w:r>
              <w:rPr>
                <w:rFonts w:hint="eastAsia" w:ascii="宋体" w:hAnsi="宋体" w:eastAsia="宋体" w:cs="宋体"/>
                <w:sz w:val="24"/>
                <w:szCs w:val="24"/>
              </w:rPr>
              <w:t>2）其它电气元器件选用施耐德、欧姆龙</w:t>
            </w:r>
            <w:r>
              <w:rPr>
                <w:rFonts w:hint="eastAsia"/>
                <w:lang w:eastAsia="zh-CN"/>
              </w:rPr>
              <w:t>、</w:t>
            </w:r>
            <w:r>
              <w:rPr>
                <w:rFonts w:hint="eastAsia"/>
                <w:sz w:val="24"/>
                <w:szCs w:val="32"/>
                <w:lang w:val="en-US" w:eastAsia="zh-CN"/>
              </w:rPr>
              <w:t>西门子</w:t>
            </w:r>
            <w:r>
              <w:rPr>
                <w:rFonts w:hint="eastAsia" w:ascii="宋体" w:hAnsi="宋体" w:eastAsia="宋体" w:cs="宋体"/>
                <w:sz w:val="24"/>
                <w:szCs w:val="24"/>
              </w:rPr>
              <w:t>或等同其质量</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10、电控柜及现场操作箱要求：外壳1.5mm、柜门2.0mm，材质为304不锈钢</w:t>
            </w:r>
            <w:r>
              <w:rPr>
                <w:rFonts w:hint="eastAsia" w:ascii="宋体" w:hAnsi="宋体" w:eastAsia="宋体" w:cs="宋体"/>
                <w:sz w:val="24"/>
                <w:szCs w:val="24"/>
                <w:lang w:eastAsia="zh-CN"/>
              </w:rPr>
              <w:t>；</w:t>
            </w:r>
            <w:r>
              <w:rPr>
                <w:rFonts w:hint="eastAsia" w:ascii="宋体" w:hAnsi="宋体" w:eastAsia="宋体" w:cs="宋体"/>
                <w:sz w:val="24"/>
                <w:szCs w:val="24"/>
                <w:highlight w:val="none"/>
              </w:rPr>
              <w:t>控制柜设西门</w:t>
            </w:r>
            <w:r>
              <w:rPr>
                <w:rFonts w:hint="eastAsia" w:ascii="宋体" w:hAnsi="宋体" w:cs="宋体"/>
                <w:sz w:val="24"/>
                <w:szCs w:val="24"/>
                <w:highlight w:val="none"/>
                <w:lang w:val="en-US" w:eastAsia="zh-CN"/>
              </w:rPr>
              <w:t>子、</w:t>
            </w:r>
            <w:r>
              <w:rPr>
                <w:rFonts w:hint="eastAsia"/>
                <w:sz w:val="24"/>
                <w:szCs w:val="24"/>
                <w:highlight w:val="none"/>
                <w:lang w:val="en-US" w:eastAsia="zh-CN"/>
              </w:rPr>
              <w:t>施耐德、GE（</w:t>
            </w:r>
            <w:r>
              <w:rPr>
                <w:rFonts w:hint="eastAsia" w:ascii="宋体" w:hAnsi="宋体" w:eastAsia="宋体" w:cs="宋体"/>
                <w:sz w:val="24"/>
                <w:szCs w:val="24"/>
                <w:highlight w:val="none"/>
              </w:rPr>
              <w:t>或等同其质量</w:t>
            </w:r>
            <w:r>
              <w:rPr>
                <w:rFonts w:hint="eastAsia"/>
                <w:sz w:val="24"/>
                <w:szCs w:val="24"/>
                <w:highlight w:val="none"/>
                <w:lang w:val="en-US" w:eastAsia="zh-CN"/>
              </w:rPr>
              <w:t>）</w:t>
            </w:r>
            <w:r>
              <w:rPr>
                <w:rFonts w:hint="eastAsia" w:ascii="宋体" w:hAnsi="宋体" w:eastAsia="宋体" w:cs="宋体"/>
                <w:sz w:val="24"/>
                <w:szCs w:val="24"/>
                <w:highlight w:val="none"/>
              </w:rPr>
              <w:t>触摸屏显示状态及参数设定</w:t>
            </w:r>
            <w:r>
              <w:rPr>
                <w:rFonts w:hint="eastAsia" w:ascii="宋体" w:hAnsi="宋体" w:eastAsia="宋体" w:cs="宋体"/>
                <w:sz w:val="24"/>
                <w:szCs w:val="24"/>
                <w:lang w:eastAsia="zh-CN"/>
              </w:rPr>
              <w:t>；</w:t>
            </w:r>
            <w:r>
              <w:rPr>
                <w:rFonts w:hint="eastAsia" w:ascii="宋体" w:hAnsi="宋体" w:eastAsia="宋体" w:cs="宋体"/>
                <w:sz w:val="24"/>
                <w:szCs w:val="24"/>
              </w:rPr>
              <w:t>变频器安装在现场变频器柜内。具有本柜/远程控制功能</w:t>
            </w:r>
            <w:r>
              <w:rPr>
                <w:rFonts w:hint="eastAsia" w:ascii="宋体" w:hAnsi="宋体" w:eastAsia="宋体" w:cs="宋体"/>
                <w:sz w:val="24"/>
                <w:szCs w:val="24"/>
                <w:lang w:eastAsia="zh-CN"/>
              </w:rPr>
              <w:t>；</w:t>
            </w:r>
          </w:p>
          <w:p>
            <w:pPr>
              <w:bidi w:val="0"/>
              <w:rPr>
                <w:rFonts w:hint="eastAsia" w:ascii="宋体" w:hAnsi="宋体" w:eastAsia="宋体" w:cs="宋体"/>
                <w:sz w:val="24"/>
                <w:szCs w:val="24"/>
              </w:rPr>
            </w:pPr>
            <w:r>
              <w:rPr>
                <w:rFonts w:hint="eastAsia" w:ascii="宋体" w:hAnsi="宋体" w:eastAsia="宋体" w:cs="宋体"/>
                <w:sz w:val="24"/>
                <w:szCs w:val="24"/>
              </w:rPr>
              <w:t>11、主电机及清扫电机选用一线品牌产品。</w:t>
            </w:r>
          </w:p>
          <w:p>
            <w:pPr>
              <w:bidi w:val="0"/>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确保无泄漏、无扬尘</w:t>
            </w:r>
          </w:p>
          <w:p>
            <w:pPr>
              <w:bidi w:val="0"/>
              <w:rPr>
                <w:rFonts w:hint="eastAsia" w:ascii="宋体" w:hAnsi="宋体" w:eastAsia="宋体" w:cs="宋体"/>
                <w:sz w:val="24"/>
                <w:szCs w:val="24"/>
              </w:rPr>
            </w:pPr>
            <w:r>
              <w:rPr>
                <w:rFonts w:hint="eastAsia" w:ascii="宋体" w:hAnsi="宋体" w:eastAsia="宋体" w:cs="宋体"/>
                <w:sz w:val="24"/>
                <w:szCs w:val="24"/>
              </w:rPr>
              <w:t>注：包含原煤仓的改造</w:t>
            </w:r>
            <w:r>
              <w:rPr>
                <w:rFonts w:hint="eastAsia" w:ascii="宋体" w:hAnsi="宋体" w:eastAsia="宋体" w:cs="宋体"/>
                <w:sz w:val="24"/>
                <w:szCs w:val="24"/>
                <w:lang w:eastAsia="zh-CN"/>
              </w:rPr>
              <w:t>（详见初设图</w:t>
            </w:r>
            <w:r>
              <w:rPr>
                <w:rFonts w:hint="eastAsia" w:ascii="宋体" w:hAnsi="宋体" w:eastAsia="宋体" w:cs="宋体"/>
                <w:sz w:val="24"/>
                <w:szCs w:val="24"/>
              </w:rPr>
              <w:t>）</w:t>
            </w:r>
          </w:p>
        </w:tc>
        <w:tc>
          <w:tcPr>
            <w:tcW w:w="331" w:type="pct"/>
            <w:vAlign w:val="center"/>
          </w:tcPr>
          <w:p>
            <w:pPr>
              <w:bidi w:val="0"/>
              <w:rPr>
                <w:rFonts w:hint="eastAsia" w:ascii="宋体" w:hAnsi="宋体" w:eastAsia="宋体" w:cs="宋体"/>
                <w:sz w:val="24"/>
                <w:szCs w:val="24"/>
              </w:rPr>
            </w:pPr>
            <w:r>
              <w:rPr>
                <w:rFonts w:hint="eastAsia" w:ascii="宋体" w:hAnsi="宋体" w:eastAsia="宋体" w:cs="宋体"/>
                <w:sz w:val="24"/>
                <w:szCs w:val="24"/>
              </w:rPr>
              <w:t>所有电气防爆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27" w:type="pc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煤磨除尘器</w:t>
            </w:r>
          </w:p>
        </w:tc>
        <w:tc>
          <w:tcPr>
            <w:tcW w:w="415" w:type="pc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1</w:t>
            </w:r>
          </w:p>
        </w:tc>
        <w:tc>
          <w:tcPr>
            <w:tcW w:w="3525" w:type="pct"/>
            <w:vAlign w:val="center"/>
          </w:tcPr>
          <w:p>
            <w:pPr>
              <w:bidi w:val="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处理风量：28600Nm</w:t>
            </w:r>
            <w:r>
              <w:rPr>
                <w:rFonts w:hint="eastAsia" w:ascii="宋体" w:hAnsi="宋体" w:eastAsia="宋体" w:cs="宋体"/>
                <w:sz w:val="24"/>
                <w:szCs w:val="24"/>
                <w:vertAlign w:val="superscript"/>
              </w:rPr>
              <w:t>3</w:t>
            </w:r>
            <w:r>
              <w:rPr>
                <w:rFonts w:hint="eastAsia" w:ascii="宋体" w:hAnsi="宋体" w:eastAsia="宋体" w:cs="宋体"/>
                <w:sz w:val="24"/>
                <w:szCs w:val="24"/>
              </w:rPr>
              <w:t>/h</w:t>
            </w:r>
            <w:r>
              <w:rPr>
                <w:rFonts w:hint="eastAsia" w:ascii="宋体" w:hAnsi="宋体" w:eastAsia="宋体" w:cs="宋体"/>
                <w:sz w:val="24"/>
                <w:szCs w:val="24"/>
                <w:lang w:eastAsia="zh-CN"/>
              </w:rPr>
              <w:t>；（</w:t>
            </w:r>
            <w:r>
              <w:rPr>
                <w:rFonts w:hint="eastAsia" w:ascii="宋体" w:hAnsi="宋体" w:eastAsia="宋体" w:cs="宋体"/>
                <w:sz w:val="24"/>
                <w:szCs w:val="24"/>
              </w:rPr>
              <w:t>设计参考值）</w:t>
            </w:r>
          </w:p>
          <w:p>
            <w:pPr>
              <w:bidi w:val="0"/>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有效磨盘研磨中径：大于1300mm</w:t>
            </w:r>
          </w:p>
          <w:p>
            <w:pPr>
              <w:bidi w:val="0"/>
              <w:rPr>
                <w:rFonts w:hint="eastAsia" w:ascii="宋体" w:hAnsi="宋体" w:eastAsia="宋体" w:cs="宋体"/>
                <w:sz w:val="24"/>
                <w:szCs w:val="24"/>
                <w:lang w:eastAsia="zh-CN"/>
              </w:rPr>
            </w:pPr>
            <w:r>
              <w:rPr>
                <w:rFonts w:hint="eastAsia" w:ascii="宋体" w:hAnsi="宋体" w:eastAsia="宋体" w:cs="宋体"/>
                <w:sz w:val="24"/>
                <w:szCs w:val="24"/>
              </w:rPr>
              <w:t>3、入口含尘浓度：500-1000g/m</w:t>
            </w:r>
            <w:r>
              <w:rPr>
                <w:rFonts w:hint="eastAsia" w:ascii="宋体" w:hAnsi="宋体" w:eastAsia="宋体" w:cs="宋体"/>
                <w:sz w:val="24"/>
                <w:szCs w:val="24"/>
                <w:vertAlign w:val="superscript"/>
              </w:rPr>
              <w:t>3</w:t>
            </w:r>
            <w:r>
              <w:rPr>
                <w:rFonts w:hint="eastAsia" w:ascii="宋体" w:hAnsi="宋体" w:eastAsia="宋体" w:cs="宋体"/>
                <w:sz w:val="24"/>
                <w:szCs w:val="24"/>
              </w:rPr>
              <w:t>，粒度：85%以上小于200目</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4、出口含尘浓度：＜</w:t>
            </w:r>
            <w:r>
              <w:rPr>
                <w:rFonts w:hint="eastAsia" w:ascii="宋体" w:hAnsi="宋体" w:eastAsia="宋体" w:cs="宋体"/>
                <w:sz w:val="24"/>
                <w:szCs w:val="24"/>
                <w:lang w:val="en-US" w:eastAsia="zh-CN"/>
              </w:rPr>
              <w:t>8</w:t>
            </w:r>
            <w:r>
              <w:rPr>
                <w:rFonts w:hint="eastAsia" w:ascii="宋体" w:hAnsi="宋体" w:eastAsia="宋体" w:cs="宋体"/>
                <w:sz w:val="24"/>
                <w:szCs w:val="24"/>
              </w:rPr>
              <w:t>mg/m</w:t>
            </w:r>
            <w:r>
              <w:rPr>
                <w:rFonts w:hint="eastAsia" w:ascii="宋体" w:hAnsi="宋体" w:eastAsia="宋体" w:cs="宋体"/>
                <w:sz w:val="24"/>
                <w:szCs w:val="24"/>
                <w:vertAlign w:val="superscript"/>
              </w:rPr>
              <w:t>3</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5、进气烟气温度：≤120℃</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6、设备阻力：＜1500pa、设备耐负压＞15000Pa</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7、 除尘器壳体应能承受不小于40Kpa内部爆炸压力，设防爆口</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8、安全要求：装设防爆门</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9、清灰方式：在线分室压差式氮气脉冲喷吹清灰，定压或定时作业</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10、漏风率：＜3</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11、收尘器内壁要光滑，无死角，不能挂料</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12、设备形式：单列，2个室，各室独立灰斗，灰斗角度大于等于70°</w:t>
            </w:r>
            <w:r>
              <w:rPr>
                <w:rFonts w:hint="eastAsia" w:ascii="宋体" w:hAnsi="宋体" w:eastAsia="宋体" w:cs="宋体"/>
                <w:sz w:val="24"/>
                <w:szCs w:val="24"/>
                <w:lang w:eastAsia="zh-CN"/>
              </w:rPr>
              <w:t>；</w:t>
            </w:r>
            <w:r>
              <w:rPr>
                <w:rFonts w:hint="eastAsia" w:ascii="宋体" w:hAnsi="宋体" w:eastAsia="宋体" w:cs="宋体"/>
                <w:sz w:val="24"/>
                <w:szCs w:val="24"/>
              </w:rPr>
              <w:t>气箱及阀组区域设防雨棚，设备顶部应防漏水、防渗水，且排水顺畅，不允许积水</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13、箱体及灰斗等主体结构钢板厚度≥6mm</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14、花板孔径Φ135×厚度</w:t>
            </w:r>
            <w:r>
              <w:rPr>
                <w:rFonts w:hint="eastAsia" w:ascii="宋体" w:hAnsi="宋体" w:eastAsia="宋体" w:cs="宋体"/>
                <w:sz w:val="24"/>
                <w:szCs w:val="24"/>
                <w:lang w:eastAsia="zh-CN"/>
              </w:rPr>
              <w:t>（</w:t>
            </w:r>
            <w:r>
              <w:rPr>
                <w:rFonts w:hint="eastAsia" w:ascii="宋体" w:hAnsi="宋体" w:eastAsia="宋体" w:cs="宋体"/>
                <w:sz w:val="24"/>
                <w:szCs w:val="24"/>
              </w:rPr>
              <w:t>δ≥6mm）</w:t>
            </w:r>
            <w:r>
              <w:rPr>
                <w:rFonts w:hint="eastAsia" w:ascii="宋体" w:hAnsi="宋体" w:eastAsia="宋体" w:cs="宋体"/>
                <w:sz w:val="24"/>
                <w:szCs w:val="24"/>
                <w:lang w:eastAsia="zh-CN"/>
              </w:rPr>
              <w:t>；</w:t>
            </w:r>
          </w:p>
          <w:p>
            <w:pPr>
              <w:bidi w:val="0"/>
              <w:rPr>
                <w:rFonts w:hint="eastAsia" w:ascii="宋体" w:hAnsi="宋体" w:eastAsia="宋体" w:cs="宋体"/>
                <w:sz w:val="24"/>
                <w:szCs w:val="24"/>
              </w:rPr>
            </w:pPr>
            <w:r>
              <w:rPr>
                <w:rFonts w:hint="eastAsia" w:ascii="宋体" w:hAnsi="宋体" w:eastAsia="宋体" w:cs="宋体"/>
                <w:sz w:val="24"/>
                <w:szCs w:val="24"/>
              </w:rPr>
              <w:t>15、滤袋：耐高温&gt;120℃、滤袋寿命&gt;24个月</w:t>
            </w:r>
            <w:r>
              <w:rPr>
                <w:rFonts w:hint="eastAsia" w:ascii="宋体" w:hAnsi="宋体" w:eastAsia="宋体" w:cs="宋体"/>
                <w:sz w:val="24"/>
                <w:szCs w:val="24"/>
                <w:lang w:eastAsia="zh-CN"/>
              </w:rPr>
              <w:t>；</w:t>
            </w:r>
            <w:r>
              <w:rPr>
                <w:rFonts w:hint="eastAsia" w:ascii="宋体" w:hAnsi="宋体" w:eastAsia="宋体" w:cs="宋体"/>
                <w:sz w:val="24"/>
                <w:szCs w:val="24"/>
              </w:rPr>
              <w:t>Φ内130×6000mm，防水、防油、防静电针刺毡</w:t>
            </w:r>
            <w:r>
              <w:rPr>
                <w:rFonts w:hint="eastAsia" w:ascii="宋体" w:hAnsi="宋体" w:eastAsia="宋体" w:cs="宋体"/>
                <w:sz w:val="24"/>
                <w:szCs w:val="24"/>
                <w:lang w:eastAsia="zh-CN"/>
              </w:rPr>
              <w:t>（</w:t>
            </w:r>
            <w:r>
              <w:rPr>
                <w:rFonts w:hint="eastAsia" w:ascii="宋体" w:hAnsi="宋体" w:eastAsia="宋体" w:cs="宋体"/>
                <w:sz w:val="24"/>
                <w:szCs w:val="24"/>
              </w:rPr>
              <w:t>针刺毡覆膜采用PTFE材质</w:t>
            </w:r>
            <w:r>
              <w:rPr>
                <w:rFonts w:hint="eastAsia" w:ascii="宋体" w:hAnsi="宋体" w:eastAsia="宋体" w:cs="宋体"/>
                <w:sz w:val="24"/>
                <w:szCs w:val="24"/>
                <w:lang w:eastAsia="zh-CN"/>
              </w:rPr>
              <w:t>）</w:t>
            </w:r>
            <w:r>
              <w:rPr>
                <w:rFonts w:hint="eastAsia" w:ascii="宋体" w:hAnsi="宋体" w:eastAsia="宋体" w:cs="宋体"/>
                <w:sz w:val="24"/>
                <w:szCs w:val="24"/>
              </w:rPr>
              <w:t>、覆膜滤料</w:t>
            </w:r>
            <w:r>
              <w:rPr>
                <w:rFonts w:hint="eastAsia" w:ascii="宋体" w:hAnsi="宋体" w:eastAsia="宋体" w:cs="宋体"/>
                <w:sz w:val="24"/>
                <w:szCs w:val="24"/>
                <w:lang w:eastAsia="zh-CN"/>
              </w:rPr>
              <w:t>（</w:t>
            </w:r>
            <w:r>
              <w:rPr>
                <w:rFonts w:hint="eastAsia" w:ascii="宋体" w:hAnsi="宋体" w:eastAsia="宋体" w:cs="宋体"/>
                <w:sz w:val="24"/>
                <w:szCs w:val="24"/>
              </w:rPr>
              <w:t>以供货商为准），滤袋重量≥550g/m</w:t>
            </w:r>
            <w:r>
              <w:rPr>
                <w:rFonts w:hint="eastAsia" w:ascii="宋体" w:hAnsi="宋体" w:eastAsia="宋体" w:cs="宋体"/>
                <w:sz w:val="24"/>
                <w:szCs w:val="24"/>
                <w:vertAlign w:val="superscript"/>
              </w:rPr>
              <w:t>2</w:t>
            </w:r>
            <w:r>
              <w:rPr>
                <w:rFonts w:hint="eastAsia" w:ascii="宋体" w:hAnsi="宋体" w:eastAsia="宋体" w:cs="宋体"/>
                <w:sz w:val="24"/>
                <w:szCs w:val="24"/>
              </w:rPr>
              <w:t>，滤袋缝线针眼涂硅胶处理，其它加工制作应满足《袋式除尘器　滤袋》</w:t>
            </w:r>
            <w:r>
              <w:rPr>
                <w:rFonts w:hint="eastAsia" w:ascii="宋体" w:hAnsi="宋体" w:eastAsia="宋体" w:cs="宋体"/>
                <w:sz w:val="24"/>
                <w:szCs w:val="24"/>
                <w:lang w:eastAsia="zh-CN"/>
              </w:rPr>
              <w:t>（</w:t>
            </w:r>
            <w:r>
              <w:rPr>
                <w:rFonts w:hint="eastAsia" w:ascii="宋体" w:hAnsi="宋体" w:eastAsia="宋体" w:cs="宋体"/>
                <w:sz w:val="24"/>
                <w:szCs w:val="24"/>
              </w:rPr>
              <w:t>HJ/T 327—2006）的要求。</w:t>
            </w:r>
          </w:p>
          <w:p>
            <w:pPr>
              <w:bidi w:val="0"/>
              <w:rPr>
                <w:rFonts w:hint="eastAsia" w:ascii="宋体" w:hAnsi="宋体" w:eastAsia="宋体" w:cs="宋体"/>
                <w:sz w:val="24"/>
                <w:szCs w:val="24"/>
              </w:rPr>
            </w:pPr>
            <w:r>
              <w:rPr>
                <w:rFonts w:hint="eastAsia" w:ascii="宋体" w:hAnsi="宋体" w:eastAsia="宋体" w:cs="宋体"/>
                <w:sz w:val="24"/>
                <w:szCs w:val="24"/>
              </w:rPr>
              <w:t>16、滤袋框架直径Φ外125×5980mm，滤袋框架纵筋≥10根，纵筋直径Φ4mm，外表静电喷涂有机硅</w:t>
            </w:r>
            <w:r>
              <w:rPr>
                <w:rFonts w:hint="eastAsia" w:ascii="宋体" w:hAnsi="宋体" w:eastAsia="宋体" w:cs="宋体"/>
                <w:sz w:val="24"/>
                <w:szCs w:val="24"/>
                <w:lang w:eastAsia="zh-CN"/>
              </w:rPr>
              <w:t>；</w:t>
            </w:r>
            <w:r>
              <w:rPr>
                <w:rFonts w:hint="eastAsia" w:ascii="宋体" w:hAnsi="宋体" w:eastAsia="宋体" w:cs="宋体"/>
                <w:sz w:val="24"/>
                <w:szCs w:val="24"/>
              </w:rPr>
              <w:t>框架制作应满足</w:t>
            </w:r>
            <w:r>
              <w:rPr>
                <w:rFonts w:hint="eastAsia" w:ascii="宋体" w:hAnsi="宋体" w:eastAsia="宋体" w:cs="宋体"/>
                <w:sz w:val="24"/>
                <w:szCs w:val="24"/>
                <w:lang w:eastAsia="zh-CN"/>
              </w:rPr>
              <w:t>《</w:t>
            </w:r>
            <w:r>
              <w:rPr>
                <w:rFonts w:hint="eastAsia" w:ascii="宋体" w:hAnsi="宋体" w:eastAsia="宋体" w:cs="宋体"/>
                <w:sz w:val="24"/>
                <w:szCs w:val="24"/>
              </w:rPr>
              <w:t>环境保护产品技术要求 袋式除尘器 滤袋框架</w:t>
            </w:r>
            <w:r>
              <w:rPr>
                <w:rFonts w:hint="eastAsia" w:ascii="宋体" w:hAnsi="宋体" w:eastAsia="宋体" w:cs="宋体"/>
                <w:sz w:val="24"/>
                <w:szCs w:val="24"/>
                <w:lang w:eastAsia="zh-CN"/>
              </w:rPr>
              <w:t>》</w:t>
            </w:r>
            <w:r>
              <w:rPr>
                <w:rFonts w:hint="eastAsia" w:ascii="宋体" w:hAnsi="宋体" w:eastAsia="宋体" w:cs="宋体"/>
                <w:sz w:val="24"/>
                <w:szCs w:val="24"/>
              </w:rPr>
              <w:t>（HJ/T 325-2006）和《袋式除尘器用滤袋框架》</w:t>
            </w:r>
            <w:r>
              <w:rPr>
                <w:rFonts w:hint="eastAsia" w:ascii="宋体" w:hAnsi="宋体" w:eastAsia="宋体" w:cs="宋体"/>
                <w:sz w:val="24"/>
                <w:szCs w:val="24"/>
                <w:lang w:eastAsia="zh-CN"/>
              </w:rPr>
              <w:t>（</w:t>
            </w:r>
            <w:r>
              <w:rPr>
                <w:rFonts w:hint="eastAsia" w:ascii="宋体" w:hAnsi="宋体" w:eastAsia="宋体" w:cs="宋体"/>
                <w:sz w:val="24"/>
                <w:szCs w:val="24"/>
              </w:rPr>
              <w:t>JB/T 5917—2013）的要求。</w:t>
            </w:r>
          </w:p>
          <w:p>
            <w:pPr>
              <w:bidi w:val="0"/>
              <w:rPr>
                <w:rFonts w:hint="eastAsia" w:ascii="宋体" w:hAnsi="宋体" w:eastAsia="宋体" w:cs="宋体"/>
                <w:sz w:val="24"/>
                <w:szCs w:val="24"/>
              </w:rPr>
            </w:pPr>
            <w:r>
              <w:rPr>
                <w:rFonts w:hint="eastAsia" w:ascii="宋体" w:hAnsi="宋体" w:eastAsia="宋体" w:cs="宋体"/>
                <w:sz w:val="24"/>
                <w:szCs w:val="24"/>
              </w:rPr>
              <w:t>17、除尘器加工制作应满足</w:t>
            </w:r>
            <w:r>
              <w:rPr>
                <w:rFonts w:hint="eastAsia" w:ascii="宋体" w:hAnsi="宋体" w:eastAsia="宋体" w:cs="宋体"/>
                <w:sz w:val="24"/>
                <w:szCs w:val="24"/>
                <w:lang w:eastAsia="zh-CN"/>
              </w:rPr>
              <w:t>《</w:t>
            </w:r>
            <w:r>
              <w:rPr>
                <w:rFonts w:hint="eastAsia" w:ascii="宋体" w:hAnsi="宋体" w:eastAsia="宋体" w:cs="宋体"/>
                <w:sz w:val="24"/>
                <w:szCs w:val="24"/>
              </w:rPr>
              <w:t>环境保护产品技术要求 脉冲喷吹类袋式除尘器</w:t>
            </w:r>
            <w:r>
              <w:rPr>
                <w:rFonts w:hint="eastAsia" w:ascii="宋体" w:hAnsi="宋体" w:eastAsia="宋体" w:cs="宋体"/>
                <w:sz w:val="24"/>
                <w:szCs w:val="24"/>
                <w:lang w:eastAsia="zh-CN"/>
              </w:rPr>
              <w:t>》</w:t>
            </w:r>
            <w:r>
              <w:rPr>
                <w:rFonts w:hint="eastAsia" w:ascii="宋体" w:hAnsi="宋体" w:eastAsia="宋体" w:cs="宋体"/>
                <w:sz w:val="24"/>
                <w:szCs w:val="24"/>
              </w:rPr>
              <w:t>（HJ/T 328-2006）。</w:t>
            </w:r>
          </w:p>
          <w:p>
            <w:pPr>
              <w:bidi w:val="0"/>
              <w:rPr>
                <w:rFonts w:hint="eastAsia" w:ascii="宋体" w:hAnsi="宋体" w:eastAsia="宋体" w:cs="宋体"/>
                <w:sz w:val="24"/>
                <w:szCs w:val="24"/>
              </w:rPr>
            </w:pPr>
            <w:r>
              <w:rPr>
                <w:rFonts w:hint="eastAsia" w:ascii="宋体" w:hAnsi="宋体" w:eastAsia="宋体" w:cs="宋体"/>
                <w:sz w:val="24"/>
                <w:szCs w:val="24"/>
              </w:rPr>
              <w:t>18、袋式收尘器设置粉煤泄漏报警装置。</w:t>
            </w:r>
          </w:p>
          <w:p>
            <w:pPr>
              <w:bidi w:val="0"/>
              <w:rPr>
                <w:rFonts w:hint="eastAsia" w:ascii="宋体" w:hAnsi="宋体" w:eastAsia="宋体" w:cs="宋体"/>
                <w:sz w:val="24"/>
                <w:szCs w:val="24"/>
              </w:rPr>
            </w:pPr>
            <w:r>
              <w:rPr>
                <w:rFonts w:hint="eastAsia" w:ascii="宋体" w:hAnsi="宋体" w:eastAsia="宋体" w:cs="宋体"/>
                <w:sz w:val="24"/>
                <w:szCs w:val="24"/>
              </w:rPr>
              <w:t>19、螺旋输送机采用正反转模式，两侧落料</w:t>
            </w:r>
            <w:r>
              <w:rPr>
                <w:rFonts w:hint="eastAsia" w:ascii="宋体" w:hAnsi="宋体" w:eastAsia="宋体" w:cs="宋体"/>
                <w:sz w:val="24"/>
                <w:szCs w:val="24"/>
                <w:lang w:eastAsia="zh-CN"/>
              </w:rPr>
              <w:t>；</w:t>
            </w:r>
            <w:r>
              <w:rPr>
                <w:rFonts w:hint="eastAsia" w:ascii="宋体" w:hAnsi="宋体" w:eastAsia="宋体" w:cs="宋体"/>
                <w:sz w:val="24"/>
                <w:szCs w:val="24"/>
              </w:rPr>
              <w:t>螺旋输送机两端落料口距离5000mm。</w:t>
            </w:r>
          </w:p>
          <w:p>
            <w:pPr>
              <w:bidi w:val="0"/>
              <w:rPr>
                <w:rFonts w:hint="eastAsia" w:ascii="宋体" w:hAnsi="宋体" w:eastAsia="宋体" w:cs="宋体"/>
                <w:sz w:val="24"/>
                <w:szCs w:val="24"/>
              </w:rPr>
            </w:pPr>
            <w:r>
              <w:rPr>
                <w:rFonts w:hint="eastAsia" w:ascii="宋体" w:hAnsi="宋体" w:eastAsia="宋体" w:cs="宋体"/>
                <w:sz w:val="24"/>
                <w:szCs w:val="24"/>
              </w:rPr>
              <w:t>20、电动振打器及星型卸灰阀由除尘器厂家成套提供。</w:t>
            </w:r>
          </w:p>
        </w:tc>
        <w:tc>
          <w:tcPr>
            <w:tcW w:w="331" w:type="pct"/>
            <w:vAlign w:val="center"/>
          </w:tcPr>
          <w:p>
            <w:pPr>
              <w:bidi w:val="0"/>
              <w:rPr>
                <w:rFonts w:hint="eastAsia" w:ascii="宋体" w:hAnsi="宋体" w:eastAsia="宋体" w:cs="宋体"/>
                <w:sz w:val="24"/>
                <w:szCs w:val="24"/>
              </w:rPr>
            </w:pPr>
            <w:r>
              <w:rPr>
                <w:rFonts w:hint="eastAsia" w:ascii="宋体" w:hAnsi="宋体" w:eastAsia="宋体" w:cs="宋体"/>
                <w:sz w:val="24"/>
                <w:szCs w:val="24"/>
              </w:rPr>
              <w:t>所有电气防爆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727" w:type="pc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引风机</w:t>
            </w:r>
          </w:p>
        </w:tc>
        <w:tc>
          <w:tcPr>
            <w:tcW w:w="415" w:type="pc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1</w:t>
            </w:r>
          </w:p>
        </w:tc>
        <w:tc>
          <w:tcPr>
            <w:tcW w:w="3525" w:type="pct"/>
            <w:vAlign w:val="center"/>
          </w:tcPr>
          <w:p>
            <w:pPr>
              <w:bidi w:val="0"/>
              <w:rPr>
                <w:rFonts w:hint="eastAsia" w:ascii="宋体" w:hAnsi="宋体" w:eastAsia="宋体" w:cs="宋体"/>
                <w:sz w:val="24"/>
                <w:szCs w:val="24"/>
              </w:rPr>
            </w:pPr>
            <w:r>
              <w:rPr>
                <w:rFonts w:hint="eastAsia" w:ascii="宋体" w:hAnsi="宋体" w:eastAsia="宋体" w:cs="宋体"/>
                <w:sz w:val="24"/>
                <w:szCs w:val="24"/>
              </w:rPr>
              <w:t>1、流量Q=38500Nm</w:t>
            </w:r>
            <w:r>
              <w:rPr>
                <w:rFonts w:hint="eastAsia" w:ascii="宋体" w:hAnsi="宋体" w:eastAsia="宋体" w:cs="宋体"/>
                <w:sz w:val="24"/>
                <w:szCs w:val="24"/>
                <w:vertAlign w:val="superscript"/>
              </w:rPr>
              <w:t>3</w:t>
            </w:r>
            <w:r>
              <w:rPr>
                <w:rFonts w:hint="eastAsia" w:ascii="宋体" w:hAnsi="宋体" w:eastAsia="宋体" w:cs="宋体"/>
                <w:sz w:val="24"/>
                <w:szCs w:val="24"/>
              </w:rPr>
              <w:t>/h</w:t>
            </w:r>
            <w:r>
              <w:rPr>
                <w:rFonts w:hint="eastAsia" w:ascii="宋体" w:hAnsi="宋体" w:eastAsia="宋体" w:cs="宋体"/>
                <w:sz w:val="24"/>
                <w:szCs w:val="24"/>
                <w:lang w:eastAsia="zh-CN"/>
              </w:rPr>
              <w:t>；（</w:t>
            </w:r>
            <w:r>
              <w:rPr>
                <w:rFonts w:hint="eastAsia" w:ascii="宋体" w:hAnsi="宋体" w:eastAsia="宋体" w:cs="宋体"/>
                <w:sz w:val="24"/>
                <w:szCs w:val="24"/>
              </w:rPr>
              <w:t>设计参考值）</w:t>
            </w:r>
          </w:p>
          <w:p>
            <w:pPr>
              <w:bidi w:val="0"/>
              <w:rPr>
                <w:rFonts w:hint="eastAsia" w:ascii="宋体" w:hAnsi="宋体" w:eastAsia="宋体" w:cs="宋体"/>
                <w:sz w:val="24"/>
                <w:szCs w:val="24"/>
                <w:lang w:eastAsia="zh-CN"/>
              </w:rPr>
            </w:pPr>
            <w:r>
              <w:rPr>
                <w:rFonts w:hint="eastAsia" w:ascii="宋体" w:hAnsi="宋体" w:eastAsia="宋体" w:cs="宋体"/>
                <w:sz w:val="24"/>
                <w:szCs w:val="24"/>
              </w:rPr>
              <w:t>2、全压P=12670Pa</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3、介质：粉煤制备尾气</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4、介质温度：～80℃</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5、风机进口风机：轴向进风</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6、风机出口方向：左90º</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7、含尘浓度：～100mg/m</w:t>
            </w:r>
            <w:r>
              <w:rPr>
                <w:rFonts w:hint="eastAsia" w:ascii="宋体" w:hAnsi="宋体" w:eastAsia="宋体" w:cs="宋体"/>
                <w:sz w:val="24"/>
                <w:szCs w:val="24"/>
                <w:vertAlign w:val="superscript"/>
              </w:rPr>
              <w:t>3</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8、风机要求防爆</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9、风机调节方式：带电动进口导叶，电机能效等级二级或以上，变频调速</w:t>
            </w:r>
            <w:r>
              <w:rPr>
                <w:rFonts w:hint="eastAsia" w:ascii="宋体" w:hAnsi="宋体" w:eastAsia="宋体" w:cs="宋体"/>
                <w:sz w:val="24"/>
                <w:szCs w:val="24"/>
                <w:lang w:eastAsia="zh-CN"/>
              </w:rPr>
              <w:t>（</w:t>
            </w:r>
            <w:r>
              <w:rPr>
                <w:rFonts w:hint="eastAsia" w:ascii="宋体" w:hAnsi="宋体" w:eastAsia="宋体" w:cs="宋体"/>
                <w:sz w:val="24"/>
                <w:szCs w:val="24"/>
              </w:rPr>
              <w:t>含变频器）</w:t>
            </w:r>
            <w:r>
              <w:rPr>
                <w:rFonts w:hint="eastAsia" w:ascii="宋体" w:hAnsi="宋体" w:eastAsia="宋体" w:cs="宋体"/>
                <w:sz w:val="24"/>
                <w:szCs w:val="24"/>
                <w:lang w:eastAsia="zh-CN"/>
              </w:rPr>
              <w:t>；</w:t>
            </w:r>
            <w:r>
              <w:rPr>
                <w:rFonts w:hint="eastAsia" w:ascii="宋体" w:hAnsi="宋体" w:eastAsia="宋体" w:cs="宋体"/>
                <w:sz w:val="24"/>
                <w:szCs w:val="24"/>
              </w:rPr>
              <w:t>电机为变频电机，能效等级为二级或以上</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10、风机轴承箱需配置在线测振、测温装置</w:t>
            </w:r>
            <w:r>
              <w:rPr>
                <w:rFonts w:hint="eastAsia" w:ascii="宋体" w:hAnsi="宋体" w:eastAsia="宋体" w:cs="宋体"/>
                <w:sz w:val="24"/>
                <w:szCs w:val="24"/>
                <w:lang w:eastAsia="zh-CN"/>
              </w:rPr>
              <w:t>；</w:t>
            </w:r>
          </w:p>
          <w:p>
            <w:pPr>
              <w:bidi w:val="0"/>
              <w:rPr>
                <w:rFonts w:hint="eastAsia" w:ascii="宋体" w:hAnsi="宋体" w:eastAsia="宋体" w:cs="宋体"/>
                <w:sz w:val="24"/>
                <w:szCs w:val="24"/>
                <w:lang w:eastAsia="zh-CN"/>
              </w:rPr>
            </w:pPr>
            <w:r>
              <w:rPr>
                <w:rFonts w:hint="eastAsia" w:ascii="宋体" w:hAnsi="宋体" w:eastAsia="宋体" w:cs="宋体"/>
                <w:sz w:val="24"/>
                <w:szCs w:val="24"/>
              </w:rPr>
              <w:t>11、风机壳体采用剖分式结构便于拆卸，检修</w:t>
            </w:r>
            <w:r>
              <w:rPr>
                <w:rFonts w:hint="eastAsia" w:ascii="宋体" w:hAnsi="宋体" w:eastAsia="宋体" w:cs="宋体"/>
                <w:sz w:val="24"/>
                <w:szCs w:val="24"/>
                <w:lang w:eastAsia="zh-CN"/>
              </w:rPr>
              <w:t>；</w:t>
            </w:r>
            <w:r>
              <w:rPr>
                <w:rFonts w:hint="eastAsia" w:ascii="宋体" w:hAnsi="宋体" w:eastAsia="宋体" w:cs="宋体"/>
                <w:sz w:val="24"/>
                <w:szCs w:val="24"/>
              </w:rPr>
              <w:t>壳体上要求设置清灰门及排水口</w:t>
            </w:r>
            <w:r>
              <w:rPr>
                <w:rFonts w:hint="eastAsia" w:ascii="宋体" w:hAnsi="宋体" w:eastAsia="宋体" w:cs="宋体"/>
                <w:sz w:val="24"/>
                <w:szCs w:val="24"/>
                <w:lang w:eastAsia="zh-CN"/>
              </w:rPr>
              <w:t>（</w:t>
            </w:r>
            <w:r>
              <w:rPr>
                <w:rFonts w:hint="eastAsia" w:ascii="宋体" w:hAnsi="宋体" w:eastAsia="宋体" w:cs="宋体"/>
                <w:sz w:val="24"/>
                <w:szCs w:val="24"/>
              </w:rPr>
              <w:t>带排水阀，排水阀材质为304不锈钢</w:t>
            </w:r>
            <w:r>
              <w:rPr>
                <w:rFonts w:hint="eastAsia" w:ascii="宋体" w:hAnsi="宋体" w:eastAsia="宋体" w:cs="宋体"/>
                <w:sz w:val="24"/>
                <w:szCs w:val="24"/>
                <w:lang w:eastAsia="zh-CN"/>
              </w:rPr>
              <w:t>（</w:t>
            </w:r>
            <w:r>
              <w:rPr>
                <w:rFonts w:hint="eastAsia" w:ascii="宋体" w:hAnsi="宋体" w:eastAsia="宋体" w:cs="宋体"/>
                <w:sz w:val="24"/>
                <w:szCs w:val="24"/>
              </w:rPr>
              <w:t>0Cr19Ni10））</w:t>
            </w:r>
            <w:r>
              <w:rPr>
                <w:rFonts w:hint="eastAsia" w:ascii="宋体" w:hAnsi="宋体" w:eastAsia="宋体" w:cs="宋体"/>
                <w:sz w:val="24"/>
                <w:szCs w:val="24"/>
                <w:lang w:eastAsia="zh-CN"/>
              </w:rPr>
              <w:t>；</w:t>
            </w:r>
            <w:r>
              <w:rPr>
                <w:rFonts w:hint="eastAsia" w:ascii="宋体" w:hAnsi="宋体" w:eastAsia="宋体" w:cs="宋体"/>
                <w:sz w:val="24"/>
                <w:szCs w:val="24"/>
              </w:rPr>
              <w:t>电机自带循环冷却水进出口</w:t>
            </w:r>
            <w:r>
              <w:rPr>
                <w:rFonts w:hint="eastAsia" w:ascii="宋体" w:hAnsi="宋体" w:eastAsia="宋体" w:cs="宋体"/>
                <w:sz w:val="24"/>
                <w:szCs w:val="24"/>
                <w:lang w:eastAsia="zh-CN"/>
              </w:rPr>
              <w:t>；</w:t>
            </w:r>
          </w:p>
          <w:p>
            <w:pPr>
              <w:bidi w:val="0"/>
              <w:rPr>
                <w:rFonts w:hint="eastAsia" w:ascii="宋体" w:hAnsi="宋体" w:eastAsia="宋体" w:cs="宋体"/>
                <w:sz w:val="24"/>
                <w:szCs w:val="24"/>
              </w:rPr>
            </w:pPr>
            <w:r>
              <w:rPr>
                <w:rFonts w:hint="eastAsia" w:ascii="宋体" w:hAnsi="宋体" w:eastAsia="宋体" w:cs="宋体"/>
                <w:sz w:val="24"/>
                <w:szCs w:val="24"/>
              </w:rPr>
              <w:t>12、风机噪音要求达到</w:t>
            </w:r>
            <w:r>
              <w:rPr>
                <w:rFonts w:hint="eastAsia" w:ascii="宋体" w:hAnsi="宋体" w:eastAsia="宋体" w:cs="宋体"/>
                <w:sz w:val="24"/>
                <w:szCs w:val="24"/>
                <w:lang w:eastAsia="zh-CN"/>
              </w:rPr>
              <w:t>《</w:t>
            </w:r>
            <w:r>
              <w:rPr>
                <w:rFonts w:hint="eastAsia" w:ascii="宋体" w:hAnsi="宋体" w:eastAsia="宋体" w:cs="宋体"/>
                <w:sz w:val="24"/>
                <w:szCs w:val="24"/>
              </w:rPr>
              <w:t>通风机 噪声限值</w:t>
            </w:r>
            <w:r>
              <w:rPr>
                <w:rFonts w:hint="eastAsia" w:ascii="宋体" w:hAnsi="宋体" w:eastAsia="宋体" w:cs="宋体"/>
                <w:sz w:val="24"/>
                <w:szCs w:val="24"/>
                <w:lang w:val="en-US" w:eastAsia="zh-CN"/>
              </w:rPr>
              <w:t>》</w:t>
            </w:r>
            <w:r>
              <w:rPr>
                <w:rFonts w:hint="eastAsia" w:ascii="宋体" w:hAnsi="宋体" w:eastAsia="宋体" w:cs="宋体"/>
                <w:sz w:val="24"/>
                <w:szCs w:val="24"/>
              </w:rPr>
              <w:t>JB/T 8690-2014。</w:t>
            </w:r>
          </w:p>
        </w:tc>
        <w:tc>
          <w:tcPr>
            <w:tcW w:w="331" w:type="pct"/>
            <w:vAlign w:val="center"/>
          </w:tcPr>
          <w:p>
            <w:pPr>
              <w:bidi w:val="0"/>
              <w:rPr>
                <w:rFonts w:hint="eastAsia" w:ascii="宋体" w:hAnsi="宋体" w:eastAsia="宋体" w:cs="宋体"/>
                <w:sz w:val="24"/>
                <w:szCs w:val="24"/>
              </w:rPr>
            </w:pPr>
            <w:r>
              <w:rPr>
                <w:rFonts w:hint="eastAsia" w:ascii="宋体" w:hAnsi="宋体" w:eastAsia="宋体" w:cs="宋体"/>
                <w:sz w:val="24"/>
                <w:szCs w:val="24"/>
              </w:rPr>
              <w:t>所有电气防爆</w:t>
            </w:r>
          </w:p>
        </w:tc>
      </w:tr>
    </w:tbl>
    <w:p>
      <w:pPr>
        <w:spacing w:after="156" w:afterLines="50" w:line="500" w:lineRule="exact"/>
        <w:outlineLvl w:val="1"/>
        <w:rPr>
          <w:rFonts w:ascii="Times New Roman" w:hAnsi="Times New Roman" w:eastAsia="宋体" w:cs="Arial"/>
          <w:b/>
          <w:bCs/>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5.4</w:t>
      </w:r>
      <w:r>
        <w:rPr>
          <w:rFonts w:hint="eastAsia" w:ascii="Times New Roman" w:hAnsi="Times New Roman" w:eastAsia="宋体" w:cs="Arial"/>
          <w:b/>
          <w:bCs/>
          <w:color w:val="000000" w:themeColor="text1"/>
          <w:sz w:val="24"/>
          <w:highlight w:val="none"/>
          <w14:textFill>
            <w14:solidFill>
              <w14:schemeClr w14:val="tx1"/>
            </w14:solidFill>
          </w14:textFill>
        </w:rPr>
        <w:t>粉煤输送系统主要设备技术性能要求</w:t>
      </w:r>
      <w:r>
        <w:rPr>
          <w:rFonts w:hint="eastAsia" w:ascii="Times New Roman" w:hAnsi="Times New Roman" w:eastAsia="宋体" w:cs="Arial"/>
          <w:b/>
          <w:bCs/>
          <w:color w:val="000000" w:themeColor="text1"/>
          <w:sz w:val="24"/>
          <w:highlight w:val="none"/>
          <w:lang w:eastAsia="zh-CN"/>
          <w14:textFill>
            <w14:solidFill>
              <w14:schemeClr w14:val="tx1"/>
            </w14:solidFill>
          </w14:textFill>
        </w:rPr>
        <w:t>（</w:t>
      </w:r>
      <w:r>
        <w:rPr>
          <w:rFonts w:hint="eastAsia" w:ascii="Times New Roman" w:hAnsi="Times New Roman" w:eastAsia="宋体" w:cs="Arial"/>
          <w:b/>
          <w:bCs/>
          <w:color w:val="000000" w:themeColor="text1"/>
          <w:sz w:val="24"/>
          <w:highlight w:val="none"/>
          <w14:textFill>
            <w14:solidFill>
              <w14:schemeClr w14:val="tx1"/>
            </w14:solidFill>
          </w14:textFill>
        </w:rPr>
        <w:t>详见附件</w:t>
      </w:r>
      <w:r>
        <w:rPr>
          <w:rFonts w:ascii="Times New Roman" w:hAnsi="Times New Roman" w:eastAsia="宋体" w:cs="Arial"/>
          <w:b/>
          <w:bCs/>
          <w:color w:val="000000" w:themeColor="text1"/>
          <w:sz w:val="24"/>
          <w:highlight w:val="none"/>
          <w14:textFill>
            <w14:solidFill>
              <w14:schemeClr w14:val="tx1"/>
            </w14:solidFill>
          </w14:textFill>
        </w:rPr>
        <w:t>2</w:t>
      </w:r>
      <w:r>
        <w:rPr>
          <w:rFonts w:hint="eastAsia" w:ascii="Times New Roman" w:hAnsi="Times New Roman" w:eastAsia="宋体" w:cs="Arial"/>
          <w:b/>
          <w:bCs/>
          <w:color w:val="000000" w:themeColor="text1"/>
          <w:sz w:val="24"/>
          <w:highlight w:val="none"/>
          <w14:textFill>
            <w14:solidFill>
              <w14:schemeClr w14:val="tx1"/>
            </w14:solidFill>
          </w14:textFill>
        </w:rPr>
        <w:t>）：</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2"/>
        <w:gridCol w:w="1080"/>
        <w:gridCol w:w="6519"/>
        <w:gridCol w:w="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blHeader/>
        </w:trPr>
        <w:tc>
          <w:tcPr>
            <w:tcW w:w="642" w:type="pct"/>
          </w:tcPr>
          <w:p>
            <w:pPr>
              <w:bidi w:val="0"/>
              <w:jc w:val="center"/>
              <w:rPr>
                <w:rFonts w:hint="eastAsia"/>
                <w:b w:val="0"/>
                <w:bCs w:val="0"/>
                <w:sz w:val="24"/>
                <w:szCs w:val="22"/>
              </w:rPr>
            </w:pPr>
            <w:r>
              <w:rPr>
                <w:rFonts w:hint="eastAsia"/>
                <w:b/>
                <w:bCs/>
                <w:sz w:val="24"/>
                <w:szCs w:val="22"/>
              </w:rPr>
              <w:t>设备名称</w:t>
            </w:r>
          </w:p>
        </w:tc>
        <w:tc>
          <w:tcPr>
            <w:tcW w:w="581" w:type="pct"/>
          </w:tcPr>
          <w:p>
            <w:pPr>
              <w:jc w:val="center"/>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数量</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lang w:val="en-US" w:eastAsia="zh-CN"/>
                <w14:textFill>
                  <w14:solidFill>
                    <w14:schemeClr w14:val="tx1"/>
                  </w14:solidFill>
                </w14:textFill>
              </w:rPr>
              <w:t>套</w:t>
            </w:r>
            <w:r>
              <w:rPr>
                <w:rFonts w:hint="eastAsia" w:ascii="宋体" w:hAnsi="宋体" w:eastAsia="宋体" w:cs="宋体"/>
                <w:b/>
                <w:color w:val="000000" w:themeColor="text1"/>
                <w:sz w:val="24"/>
                <w:szCs w:val="24"/>
                <w:highlight w:val="none"/>
                <w:lang w:eastAsia="zh-CN"/>
                <w14:textFill>
                  <w14:solidFill>
                    <w14:schemeClr w14:val="tx1"/>
                  </w14:solidFill>
                </w14:textFill>
              </w:rPr>
              <w:t>）</w:t>
            </w:r>
          </w:p>
        </w:tc>
        <w:tc>
          <w:tcPr>
            <w:tcW w:w="3508" w:type="pct"/>
          </w:tcPr>
          <w:p>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基本技术参数</w:t>
            </w:r>
          </w:p>
        </w:tc>
        <w:tc>
          <w:tcPr>
            <w:tcW w:w="267" w:type="pct"/>
          </w:tcPr>
          <w:p>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5" w:hRule="atLeast"/>
        </w:trPr>
        <w:tc>
          <w:tcPr>
            <w:tcW w:w="642" w:type="pct"/>
            <w:vAlign w:val="center"/>
          </w:tcPr>
          <w:p>
            <w:pPr>
              <w:bidi w:val="0"/>
              <w:jc w:val="center"/>
              <w:rPr>
                <w:rFonts w:hint="eastAsia"/>
                <w:b w:val="0"/>
                <w:bCs w:val="0"/>
                <w:sz w:val="24"/>
                <w:szCs w:val="22"/>
              </w:rPr>
            </w:pPr>
            <w:r>
              <w:rPr>
                <w:rFonts w:hint="eastAsia"/>
                <w:b w:val="0"/>
                <w:bCs w:val="0"/>
                <w:sz w:val="24"/>
                <w:szCs w:val="22"/>
              </w:rPr>
              <w:t>粉煤仓</w:t>
            </w:r>
          </w:p>
        </w:tc>
        <w:tc>
          <w:tcPr>
            <w:tcW w:w="581" w:type="pct"/>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3508" w:type="pct"/>
            <w:vAlign w:val="center"/>
          </w:tcPr>
          <w:p>
            <w:pPr>
              <w:pStyle w:val="75"/>
              <w:keepNext w:val="0"/>
              <w:keepLines w:val="0"/>
              <w:pageBreakBefore w:val="0"/>
              <w:widowControl w:val="0"/>
              <w:kinsoku/>
              <w:wordWrap/>
              <w:overflowPunct/>
              <w:topLinePunct w:val="0"/>
              <w:autoSpaceDE w:val="0"/>
              <w:autoSpaceDN w:val="0"/>
              <w:bidi w:val="0"/>
              <w:adjustRightInd/>
              <w:snapToGrid/>
              <w:ind w:left="0" w:firstLine="0" w:firstLineChars="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1、单仓容积130m</w:t>
            </w:r>
            <w:r>
              <w:rPr>
                <w:rFonts w:hint="eastAsia" w:ascii="宋体" w:hAnsi="宋体" w:eastAsia="宋体" w:cs="宋体"/>
                <w:color w:val="000000" w:themeColor="text1"/>
                <w:sz w:val="24"/>
                <w:szCs w:val="24"/>
                <w:highlight w:val="none"/>
                <w:vertAlign w:val="superscript"/>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，采用圆型仓体，材质Q345，锥体角度不小于70°，仓体钢板不小于 10mm，顶盖做加强</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pStyle w:val="75"/>
              <w:keepNext w:val="0"/>
              <w:keepLines w:val="0"/>
              <w:pageBreakBefore w:val="0"/>
              <w:widowControl w:val="0"/>
              <w:kinsoku/>
              <w:wordWrap/>
              <w:overflowPunct/>
              <w:topLinePunct w:val="0"/>
              <w:autoSpaceDE w:val="0"/>
              <w:autoSpaceDN w:val="0"/>
              <w:bidi w:val="0"/>
              <w:adjustRightInd/>
              <w:snapToGrid/>
              <w:ind w:left="0" w:firstLine="0" w:firstLineChars="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2、粉煤仓顶设防爆阀</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pStyle w:val="75"/>
              <w:keepNext w:val="0"/>
              <w:keepLines w:val="0"/>
              <w:pageBreakBefore w:val="0"/>
              <w:widowControl w:val="0"/>
              <w:kinsoku/>
              <w:wordWrap/>
              <w:overflowPunct/>
              <w:topLinePunct w:val="0"/>
              <w:autoSpaceDE w:val="0"/>
              <w:autoSpaceDN w:val="0"/>
              <w:bidi w:val="0"/>
              <w:adjustRightInd/>
              <w:snapToGrid/>
              <w:ind w:left="0" w:firstLine="0" w:firstLineChars="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3、顶部设充氮保护接口</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顶部需要配套单机除尘器</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pStyle w:val="75"/>
              <w:keepNext w:val="0"/>
              <w:keepLines w:val="0"/>
              <w:pageBreakBefore w:val="0"/>
              <w:widowControl w:val="0"/>
              <w:kinsoku/>
              <w:wordWrap/>
              <w:overflowPunct/>
              <w:topLinePunct w:val="0"/>
              <w:autoSpaceDE w:val="0"/>
              <w:autoSpaceDN w:val="0"/>
              <w:bidi w:val="0"/>
              <w:adjustRightInd/>
              <w:snapToGrid/>
              <w:ind w:left="0" w:firstLine="0" w:firstLineChars="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4、锥体下料口设氮气流化装置</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pStyle w:val="75"/>
              <w:keepNext w:val="0"/>
              <w:keepLines w:val="0"/>
              <w:pageBreakBefore w:val="0"/>
              <w:widowControl w:val="0"/>
              <w:kinsoku/>
              <w:wordWrap/>
              <w:overflowPunct/>
              <w:topLinePunct w:val="0"/>
              <w:autoSpaceDE w:val="0"/>
              <w:autoSpaceDN w:val="0"/>
              <w:bidi w:val="0"/>
              <w:adjustRightInd/>
              <w:snapToGrid/>
              <w:ind w:left="0" w:firstLine="0" w:firstLineChars="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5、仓底接三通溜管</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pStyle w:val="75"/>
              <w:keepNext w:val="0"/>
              <w:keepLines w:val="0"/>
              <w:pageBreakBefore w:val="0"/>
              <w:widowControl w:val="0"/>
              <w:kinsoku/>
              <w:wordWrap/>
              <w:overflowPunct/>
              <w:topLinePunct w:val="0"/>
              <w:autoSpaceDE w:val="0"/>
              <w:autoSpaceDN w:val="0"/>
              <w:bidi w:val="0"/>
              <w:adjustRightInd/>
              <w:snapToGrid/>
              <w:ind w:left="0" w:firstLine="0" w:firstLineChars="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6、仓内物料设测温装置。</w:t>
            </w:r>
          </w:p>
        </w:tc>
        <w:tc>
          <w:tcPr>
            <w:tcW w:w="267" w:type="pct"/>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42" w:type="pct"/>
            <w:vAlign w:val="center"/>
          </w:tcPr>
          <w:p>
            <w:pPr>
              <w:bidi w:val="0"/>
              <w:jc w:val="center"/>
              <w:rPr>
                <w:rFonts w:hint="eastAsia"/>
                <w:b w:val="0"/>
                <w:bCs w:val="0"/>
                <w:sz w:val="24"/>
                <w:szCs w:val="22"/>
              </w:rPr>
            </w:pPr>
            <w:r>
              <w:rPr>
                <w:rFonts w:hint="eastAsia"/>
                <w:b w:val="0"/>
                <w:bCs w:val="0"/>
                <w:sz w:val="24"/>
                <w:szCs w:val="22"/>
              </w:rPr>
              <w:t>仓式泵</w:t>
            </w:r>
          </w:p>
        </w:tc>
        <w:tc>
          <w:tcPr>
            <w:tcW w:w="581" w:type="pct"/>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3508" w:type="pct"/>
            <w:vAlign w:val="center"/>
          </w:tcPr>
          <w:p>
            <w:pPr>
              <w:spacing w:line="24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1、处理物料：粉煤</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24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2、容积：2.5m</w:t>
            </w:r>
            <w:r>
              <w:rPr>
                <w:rFonts w:hint="eastAsia" w:ascii="宋体" w:hAnsi="宋体" w:eastAsia="宋体" w:cs="宋体"/>
                <w:color w:val="000000" w:themeColor="text1"/>
                <w:sz w:val="24"/>
                <w:szCs w:val="24"/>
                <w:highlight w:val="none"/>
                <w:vertAlign w:val="superscript"/>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24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3、物料粒度：85%以上小于200目</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温度~60℃</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24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4、物料量：10t/h</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24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5、输送距离：～300m</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24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6、输送高度</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～25m</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7、现已有1台仓式泵，给中试平台供煤。增加一台给烟化炉供煤。两个仓式泵同时作业。中试平台仓式泵</w:t>
            </w:r>
            <w:r>
              <w:rPr>
                <w:rFonts w:hint="eastAsia" w:ascii="宋体" w:hAnsi="宋体" w:eastAsia="宋体" w:cs="宋体"/>
                <w:color w:val="000000" w:themeColor="text1"/>
                <w:sz w:val="24"/>
                <w:szCs w:val="24"/>
                <w:highlight w:val="none"/>
                <w:lang w:val="en-US" w:eastAsia="zh-CN"/>
                <w14:textFill>
                  <w14:solidFill>
                    <w14:schemeClr w14:val="tx1"/>
                  </w14:solidFill>
                </w14:textFill>
              </w:rPr>
              <w:t>已</w:t>
            </w:r>
            <w:r>
              <w:rPr>
                <w:rFonts w:hint="eastAsia" w:ascii="宋体" w:hAnsi="宋体" w:eastAsia="宋体" w:cs="宋体"/>
                <w:color w:val="000000" w:themeColor="text1"/>
                <w:sz w:val="24"/>
                <w:szCs w:val="24"/>
                <w:highlight w:val="none"/>
                <w14:textFill>
                  <w14:solidFill>
                    <w14:schemeClr w14:val="tx1"/>
                  </w14:solidFill>
                </w14:textFill>
              </w:rPr>
              <w:t>有控制系统</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24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甲方现有</w:t>
            </w:r>
            <w:r>
              <w:rPr>
                <w:rFonts w:hint="eastAsia" w:ascii="宋体" w:hAnsi="宋体" w:eastAsia="宋体" w:cs="宋体"/>
                <w:color w:val="000000" w:themeColor="text1"/>
                <w:sz w:val="24"/>
                <w:szCs w:val="24"/>
                <w:highlight w:val="none"/>
                <w14:textFill>
                  <w14:solidFill>
                    <w14:schemeClr w14:val="tx1"/>
                  </w14:solidFill>
                </w14:textFill>
              </w:rPr>
              <w:t>烟化粉煤接受仓</w:t>
            </w:r>
            <w:r>
              <w:rPr>
                <w:rFonts w:hint="eastAsia" w:ascii="宋体" w:hAnsi="宋体" w:eastAsia="宋体" w:cs="宋体"/>
                <w:color w:val="000000" w:themeColor="text1"/>
                <w:sz w:val="24"/>
                <w:szCs w:val="24"/>
                <w:highlight w:val="none"/>
                <w:lang w:val="en-US" w:eastAsia="zh-CN"/>
                <w14:textFill>
                  <w14:solidFill>
                    <w14:schemeClr w14:val="tx1"/>
                  </w14:solidFill>
                </w14:textFill>
              </w:rPr>
              <w:t>现状</w:t>
            </w:r>
            <w:r>
              <w:rPr>
                <w:rFonts w:hint="eastAsia" w:ascii="宋体" w:hAnsi="宋体" w:eastAsia="宋体" w:cs="宋体"/>
                <w:color w:val="000000" w:themeColor="text1"/>
                <w:sz w:val="24"/>
                <w:szCs w:val="24"/>
                <w:highlight w:val="none"/>
                <w14:textFill>
                  <w14:solidFill>
                    <w14:schemeClr w14:val="tx1"/>
                  </w14:solidFill>
                </w14:textFill>
              </w:rPr>
              <w:t>：数量为2个，单个容积25m</w:t>
            </w:r>
            <w:r>
              <w:rPr>
                <w:rFonts w:hint="eastAsia" w:ascii="宋体" w:hAnsi="宋体" w:eastAsia="宋体" w:cs="宋体"/>
                <w:color w:val="000000" w:themeColor="text1"/>
                <w:sz w:val="24"/>
                <w:szCs w:val="24"/>
                <w:highlight w:val="none"/>
                <w:vertAlign w:val="superscript"/>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，两个仓轮流接受粉煤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现除尘器处理风量为3600m</w:t>
            </w:r>
            <w:r>
              <w:rPr>
                <w:rFonts w:hint="eastAsia" w:ascii="宋体" w:hAnsi="宋体" w:eastAsia="宋体" w:cs="宋体"/>
                <w:color w:val="000000" w:themeColor="text1"/>
                <w:sz w:val="24"/>
                <w:szCs w:val="24"/>
                <w:highlight w:val="none"/>
                <w:vertAlign w:val="superscript"/>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/h。接受</w:t>
            </w:r>
            <w:r>
              <w:rPr>
                <w:rFonts w:hint="eastAsia" w:ascii="宋体" w:hAnsi="宋体" w:eastAsia="宋体" w:cs="宋体"/>
                <w:color w:val="000000" w:themeColor="text1"/>
                <w:sz w:val="24"/>
                <w:szCs w:val="24"/>
                <w:highlight w:val="none"/>
                <w:lang w:val="en-US" w:eastAsia="zh-CN"/>
                <w14:textFill>
                  <w14:solidFill>
                    <w14:schemeClr w14:val="tx1"/>
                  </w14:solidFill>
                </w14:textFill>
              </w:rPr>
              <w:t>粉煤</w:t>
            </w:r>
            <w:r>
              <w:rPr>
                <w:rFonts w:hint="eastAsia" w:ascii="宋体" w:hAnsi="宋体" w:eastAsia="宋体" w:cs="宋体"/>
                <w:color w:val="000000" w:themeColor="text1"/>
                <w:sz w:val="24"/>
                <w:szCs w:val="24"/>
                <w:highlight w:val="none"/>
                <w14:textFill>
                  <w14:solidFill>
                    <w14:schemeClr w14:val="tx1"/>
                  </w14:solidFill>
                </w14:textFill>
              </w:rPr>
              <w:t>工作制度</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330d/a</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24h/d</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267" w:type="pct"/>
            <w:vAlign w:val="center"/>
          </w:tcPr>
          <w:p>
            <w:pPr>
              <w:snapToGrid w:val="0"/>
              <w:jc w:val="center"/>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42" w:type="pct"/>
            <w:vAlign w:val="center"/>
          </w:tcPr>
          <w:p>
            <w:pPr>
              <w:bidi w:val="0"/>
              <w:jc w:val="center"/>
              <w:rPr>
                <w:rFonts w:hint="eastAsia"/>
                <w:b w:val="0"/>
                <w:bCs w:val="0"/>
                <w:sz w:val="24"/>
                <w:szCs w:val="22"/>
              </w:rPr>
            </w:pPr>
            <w:r>
              <w:rPr>
                <w:rFonts w:hint="eastAsia"/>
                <w:b w:val="0"/>
                <w:bCs w:val="0"/>
                <w:sz w:val="24"/>
                <w:szCs w:val="22"/>
              </w:rPr>
              <w:t>单罐定量喷吹</w:t>
            </w:r>
          </w:p>
        </w:tc>
        <w:tc>
          <w:tcPr>
            <w:tcW w:w="581" w:type="pct"/>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3508" w:type="pct"/>
            <w:vAlign w:val="center"/>
          </w:tcPr>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1、处理物料：粉煤</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2、容积：2.5 m</w:t>
            </w:r>
            <w:r>
              <w:rPr>
                <w:rFonts w:hint="eastAsia" w:ascii="宋体" w:hAnsi="宋体" w:eastAsia="宋体" w:cs="宋体"/>
                <w:color w:val="000000" w:themeColor="text1"/>
                <w:sz w:val="24"/>
                <w:szCs w:val="24"/>
                <w:highlight w:val="none"/>
                <w:vertAlign w:val="superscript"/>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3、物料粒度：85%为-200目</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温度~60℃</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4、物料量：0~3000kg/h</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5、输送距离：～2</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0m</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6、输送高度</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～25m</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7、电气系统要求防爆</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8、两台轮流工作，一台进料，一台输料。轮流进行，实现稳定喷吹。接受车间粉煤喷吹系统最大量为3t/h</w:t>
            </w:r>
            <w:r>
              <w:rPr>
                <w:rFonts w:hint="eastAsia" w:ascii="宋体" w:hAnsi="宋体" w:eastAsia="宋体" w:cs="宋体"/>
                <w:color w:val="000000" w:themeColor="text1"/>
                <w:sz w:val="24"/>
                <w:szCs w:val="24"/>
                <w:highlight w:val="none"/>
                <w:lang w:eastAsia="zh-CN"/>
                <w14:textFill>
                  <w14:solidFill>
                    <w14:schemeClr w14:val="tx1"/>
                  </w14:solidFill>
                </w14:textFill>
              </w:rPr>
              <w:t>，距离约220米；</w:t>
            </w:r>
          </w:p>
          <w:p>
            <w:pPr>
              <w:spacing w:line="3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9、IS</w:t>
            </w:r>
            <w:r>
              <w:rPr>
                <w:rFonts w:hint="eastAsia" w:ascii="宋体" w:hAnsi="宋体" w:eastAsia="宋体" w:cs="宋体"/>
                <w:color w:val="000000" w:themeColor="text1"/>
                <w:sz w:val="24"/>
                <w:szCs w:val="24"/>
                <w:highlight w:val="none"/>
                <w:lang w:val="en-US" w:eastAsia="zh-CN"/>
                <w14:textFill>
                  <w14:solidFill>
                    <w14:schemeClr w14:val="tx1"/>
                  </w14:solidFill>
                </w14:textFill>
              </w:rPr>
              <w:t>F</w:t>
            </w:r>
            <w:r>
              <w:rPr>
                <w:rFonts w:hint="eastAsia" w:ascii="宋体" w:hAnsi="宋体" w:eastAsia="宋体" w:cs="宋体"/>
                <w:color w:val="000000" w:themeColor="text1"/>
                <w:sz w:val="24"/>
                <w:szCs w:val="24"/>
                <w:highlight w:val="none"/>
                <w14:textFill>
                  <w14:solidFill>
                    <w14:schemeClr w14:val="tx1"/>
                  </w14:solidFill>
                </w14:textFill>
              </w:rPr>
              <w:t>炉</w:t>
            </w:r>
            <w:r>
              <w:rPr>
                <w:rFonts w:hint="eastAsia" w:ascii="宋体" w:hAnsi="宋体" w:eastAsia="宋体" w:cs="宋体"/>
                <w:color w:val="000000" w:themeColor="text1"/>
                <w:sz w:val="24"/>
                <w:szCs w:val="24"/>
                <w:highlight w:val="none"/>
                <w:lang w:val="en-US" w:eastAsia="zh-CN"/>
                <w14:textFill>
                  <w14:solidFill>
                    <w14:schemeClr w14:val="tx1"/>
                  </w14:solidFill>
                </w14:textFill>
              </w:rPr>
              <w:t>现有喷煤设备：</w:t>
            </w:r>
            <w:r>
              <w:rPr>
                <w:rFonts w:hint="eastAsia" w:ascii="宋体" w:hAnsi="宋体" w:eastAsia="宋体" w:cs="宋体"/>
                <w:color w:val="000000" w:themeColor="text1"/>
                <w:sz w:val="24"/>
                <w:szCs w:val="24"/>
                <w:highlight w:val="none"/>
                <w14:textFill>
                  <w14:solidFill>
                    <w14:schemeClr w14:val="tx1"/>
                  </w14:solidFill>
                </w14:textFill>
              </w:rPr>
              <w:t>接收分配器有16根支管。系统须对1个压缩空气流量，1个总管压力变送器，压缩空气的流量调节阀1个，压缩空气角座阀1个，16个支管压力变送器和16个三通阀门控制。所有硬件已有。系统须配置点位DI：33，DO：33，AI：19，AO：1。</w:t>
            </w:r>
          </w:p>
        </w:tc>
        <w:tc>
          <w:tcPr>
            <w:tcW w:w="267" w:type="pct"/>
            <w:vAlign w:val="center"/>
          </w:tcPr>
          <w:p>
            <w:pPr>
              <w:snapToGrid w:val="0"/>
              <w:jc w:val="center"/>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42" w:type="pct"/>
            <w:vAlign w:val="center"/>
          </w:tcPr>
          <w:p>
            <w:pPr>
              <w:bidi w:val="0"/>
              <w:jc w:val="center"/>
              <w:rPr>
                <w:rFonts w:hint="eastAsia"/>
                <w:b w:val="0"/>
                <w:bCs w:val="0"/>
                <w:sz w:val="24"/>
                <w:szCs w:val="22"/>
              </w:rPr>
            </w:pPr>
            <w:r>
              <w:rPr>
                <w:rFonts w:hint="eastAsia"/>
                <w:b w:val="0"/>
                <w:bCs w:val="0"/>
                <w:sz w:val="24"/>
                <w:szCs w:val="22"/>
              </w:rPr>
              <w:t>储气罐</w:t>
            </w:r>
          </w:p>
        </w:tc>
        <w:tc>
          <w:tcPr>
            <w:tcW w:w="581" w:type="pct"/>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3508" w:type="pct"/>
            <w:vAlign w:val="center"/>
          </w:tcPr>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1、Q=5m</w:t>
            </w:r>
            <w:r>
              <w:rPr>
                <w:rFonts w:hint="eastAsia" w:ascii="宋体" w:hAnsi="宋体" w:eastAsia="宋体" w:cs="宋体"/>
                <w:color w:val="000000" w:themeColor="text1"/>
                <w:sz w:val="24"/>
                <w:szCs w:val="24"/>
                <w:highlight w:val="none"/>
                <w:vertAlign w:val="superscript"/>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、PN10、储存氮气</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2、Q=5m</w:t>
            </w:r>
            <w:r>
              <w:rPr>
                <w:rFonts w:hint="eastAsia" w:ascii="宋体" w:hAnsi="宋体" w:eastAsia="宋体" w:cs="宋体"/>
                <w:color w:val="000000" w:themeColor="text1"/>
                <w:sz w:val="24"/>
                <w:szCs w:val="24"/>
                <w:highlight w:val="none"/>
                <w:vertAlign w:val="superscript"/>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、PN10、储存压缩空气</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3、Q=2m</w:t>
            </w:r>
            <w:r>
              <w:rPr>
                <w:rFonts w:hint="eastAsia" w:ascii="宋体" w:hAnsi="宋体" w:eastAsia="宋体" w:cs="宋体"/>
                <w:color w:val="000000" w:themeColor="text1"/>
                <w:sz w:val="24"/>
                <w:szCs w:val="24"/>
                <w:highlight w:val="none"/>
                <w:vertAlign w:val="superscript"/>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、PN10、储存仪表压缩空气</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4、设备配备压力表、安全阀、自动排污装置</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含手阀）、人孔、检修口等配套设施。设备、阀门、管口、法兰执行国家标准</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GB/T9124.1-2019）。</w:t>
            </w:r>
          </w:p>
        </w:tc>
        <w:tc>
          <w:tcPr>
            <w:tcW w:w="267" w:type="pct"/>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4" w:hRule="atLeast"/>
        </w:trPr>
        <w:tc>
          <w:tcPr>
            <w:tcW w:w="642" w:type="pct"/>
            <w:vAlign w:val="center"/>
          </w:tcPr>
          <w:p>
            <w:pPr>
              <w:bidi w:val="0"/>
              <w:jc w:val="center"/>
              <w:rPr>
                <w:rFonts w:hint="eastAsia"/>
                <w:b w:val="0"/>
                <w:bCs w:val="0"/>
                <w:sz w:val="24"/>
                <w:szCs w:val="22"/>
              </w:rPr>
            </w:pPr>
            <w:r>
              <w:rPr>
                <w:rFonts w:hint="eastAsia"/>
                <w:b w:val="0"/>
                <w:bCs w:val="0"/>
                <w:sz w:val="24"/>
                <w:szCs w:val="22"/>
              </w:rPr>
              <w:t>电动葫芦</w:t>
            </w:r>
          </w:p>
        </w:tc>
        <w:tc>
          <w:tcPr>
            <w:tcW w:w="581" w:type="pct"/>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3508" w:type="pct"/>
            <w:vAlign w:val="center"/>
          </w:tcPr>
          <w:p>
            <w:pPr>
              <w:spacing w:line="36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1、型号：CD1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按防爆电动葫芦型号考虑）</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2、起重量：5t</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spacing w:line="360" w:lineRule="exac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3、起升高度：H=9m</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pP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4、起升电机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参考）：7.5kW</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5、运行电机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参考）：0.8kW</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6、电气系统要求防爆</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267" w:type="pct"/>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r>
    </w:tbl>
    <w:p>
      <w:pPr>
        <w:spacing w:after="156" w:afterLines="50" w:line="500" w:lineRule="exact"/>
        <w:outlineLvl w:val="1"/>
        <w:rPr>
          <w:rFonts w:ascii="Times New Roman" w:hAnsi="Times New Roman" w:eastAsia="宋体" w:cs="Arial"/>
          <w:b/>
          <w:bCs/>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 xml:space="preserve">5.5  </w:t>
      </w:r>
      <w:r>
        <w:rPr>
          <w:rFonts w:hint="eastAsia" w:ascii="Times New Roman" w:hAnsi="Times New Roman" w:eastAsia="宋体" w:cs="Arial"/>
          <w:b/>
          <w:bCs/>
          <w:color w:val="000000" w:themeColor="text1"/>
          <w:sz w:val="24"/>
          <w:highlight w:val="none"/>
          <w14:textFill>
            <w14:solidFill>
              <w14:schemeClr w14:val="tx1"/>
            </w14:solidFill>
          </w14:textFill>
        </w:rPr>
        <w:t>干燥系统主要设备技术性能要求</w:t>
      </w:r>
      <w:r>
        <w:rPr>
          <w:rFonts w:hint="eastAsia" w:ascii="Times New Roman" w:hAnsi="Times New Roman" w:eastAsia="宋体" w:cs="Arial"/>
          <w:b/>
          <w:bCs/>
          <w:color w:val="000000" w:themeColor="text1"/>
          <w:sz w:val="24"/>
          <w:highlight w:val="none"/>
          <w:lang w:eastAsia="zh-CN"/>
          <w14:textFill>
            <w14:solidFill>
              <w14:schemeClr w14:val="tx1"/>
            </w14:solidFill>
          </w14:textFill>
        </w:rPr>
        <w:t>（</w:t>
      </w:r>
      <w:r>
        <w:rPr>
          <w:rFonts w:hint="eastAsia" w:ascii="Times New Roman" w:hAnsi="Times New Roman" w:eastAsia="宋体" w:cs="Arial"/>
          <w:b/>
          <w:bCs/>
          <w:color w:val="000000" w:themeColor="text1"/>
          <w:sz w:val="24"/>
          <w:highlight w:val="none"/>
          <w14:textFill>
            <w14:solidFill>
              <w14:schemeClr w14:val="tx1"/>
            </w14:solidFill>
          </w14:textFill>
        </w:rPr>
        <w:t>详见附件</w:t>
      </w:r>
      <w:r>
        <w:rPr>
          <w:rFonts w:ascii="Times New Roman" w:hAnsi="Times New Roman" w:eastAsia="宋体" w:cs="Arial"/>
          <w:b/>
          <w:bCs/>
          <w:color w:val="000000" w:themeColor="text1"/>
          <w:sz w:val="24"/>
          <w:highlight w:val="none"/>
          <w14:textFill>
            <w14:solidFill>
              <w14:schemeClr w14:val="tx1"/>
            </w14:solidFill>
          </w14:textFill>
        </w:rPr>
        <w:t>2</w:t>
      </w:r>
      <w:r>
        <w:rPr>
          <w:rFonts w:hint="eastAsia" w:ascii="Times New Roman" w:hAnsi="Times New Roman" w:eastAsia="宋体" w:cs="Arial"/>
          <w:b/>
          <w:bCs/>
          <w:color w:val="000000" w:themeColor="text1"/>
          <w:sz w:val="24"/>
          <w:highlight w:val="none"/>
          <w14:textFill>
            <w14:solidFill>
              <w14:schemeClr w14:val="tx1"/>
            </w14:solidFill>
          </w14:textFill>
        </w:rPr>
        <w:t>）：</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972"/>
        <w:gridCol w:w="6469"/>
        <w:gridCol w:w="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646" w:type="pct"/>
            <w:vAlign w:val="center"/>
          </w:tcPr>
          <w:p>
            <w:pPr>
              <w:bidi w:val="0"/>
              <w:jc w:val="center"/>
              <w:rPr>
                <w:b/>
                <w:bCs/>
                <w:sz w:val="24"/>
                <w:szCs w:val="24"/>
              </w:rPr>
            </w:pPr>
            <w:r>
              <w:rPr>
                <w:rFonts w:hint="eastAsia"/>
                <w:b/>
                <w:bCs/>
                <w:sz w:val="24"/>
                <w:szCs w:val="24"/>
              </w:rPr>
              <w:t>设备名称</w:t>
            </w:r>
          </w:p>
        </w:tc>
        <w:tc>
          <w:tcPr>
            <w:tcW w:w="523" w:type="pct"/>
            <w:vAlign w:val="center"/>
          </w:tcPr>
          <w:p>
            <w:pPr>
              <w:bidi w:val="0"/>
              <w:jc w:val="center"/>
              <w:rPr>
                <w:b/>
                <w:bCs/>
                <w:sz w:val="24"/>
                <w:szCs w:val="24"/>
              </w:rPr>
            </w:pPr>
            <w:r>
              <w:rPr>
                <w:rFonts w:hint="eastAsia"/>
                <w:b/>
                <w:bCs/>
                <w:sz w:val="24"/>
                <w:szCs w:val="24"/>
              </w:rPr>
              <w:t>数量</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lang w:val="en-US" w:eastAsia="zh-CN"/>
                <w14:textFill>
                  <w14:solidFill>
                    <w14:schemeClr w14:val="tx1"/>
                  </w14:solidFill>
                </w14:textFill>
              </w:rPr>
              <w:t>套</w:t>
            </w:r>
            <w:r>
              <w:rPr>
                <w:rFonts w:hint="eastAsia" w:ascii="宋体" w:hAnsi="宋体" w:eastAsia="宋体" w:cs="宋体"/>
                <w:b/>
                <w:color w:val="000000" w:themeColor="text1"/>
                <w:sz w:val="24"/>
                <w:szCs w:val="24"/>
                <w:highlight w:val="none"/>
                <w:lang w:eastAsia="zh-CN"/>
                <w14:textFill>
                  <w14:solidFill>
                    <w14:schemeClr w14:val="tx1"/>
                  </w14:solidFill>
                </w14:textFill>
              </w:rPr>
              <w:t>）</w:t>
            </w:r>
          </w:p>
        </w:tc>
        <w:tc>
          <w:tcPr>
            <w:tcW w:w="3482" w:type="pct"/>
            <w:vAlign w:val="center"/>
          </w:tcPr>
          <w:p>
            <w:pPr>
              <w:bidi w:val="0"/>
              <w:jc w:val="center"/>
              <w:rPr>
                <w:b/>
                <w:bCs/>
                <w:sz w:val="24"/>
                <w:szCs w:val="24"/>
              </w:rPr>
            </w:pPr>
            <w:r>
              <w:rPr>
                <w:rFonts w:hint="eastAsia"/>
                <w:b/>
                <w:bCs/>
                <w:sz w:val="24"/>
                <w:szCs w:val="24"/>
              </w:rPr>
              <w:t>基本技术参数</w:t>
            </w:r>
          </w:p>
        </w:tc>
        <w:tc>
          <w:tcPr>
            <w:tcW w:w="348" w:type="pct"/>
            <w:vAlign w:val="center"/>
          </w:tcPr>
          <w:p>
            <w:pPr>
              <w:bidi w:val="0"/>
              <w:jc w:val="center"/>
              <w:rPr>
                <w:b/>
                <w:bCs/>
                <w:sz w:val="24"/>
                <w:szCs w:val="24"/>
              </w:rPr>
            </w:pPr>
            <w:r>
              <w:rPr>
                <w:rFonts w:hint="eastAsia"/>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trPr>
        <w:tc>
          <w:tcPr>
            <w:tcW w:w="646" w:type="pct"/>
            <w:vAlign w:val="center"/>
          </w:tcPr>
          <w:p>
            <w:pPr>
              <w:bidi w:val="0"/>
              <w:jc w:val="center"/>
              <w:rPr>
                <w:sz w:val="24"/>
                <w:szCs w:val="24"/>
              </w:rPr>
            </w:pPr>
            <w:r>
              <w:rPr>
                <w:rFonts w:hint="eastAsia"/>
                <w:sz w:val="24"/>
                <w:szCs w:val="24"/>
              </w:rPr>
              <w:t>立式热风炉</w:t>
            </w:r>
          </w:p>
        </w:tc>
        <w:tc>
          <w:tcPr>
            <w:tcW w:w="523" w:type="pct"/>
            <w:vAlign w:val="center"/>
          </w:tcPr>
          <w:p>
            <w:pPr>
              <w:bidi w:val="0"/>
              <w:jc w:val="center"/>
              <w:rPr>
                <w:sz w:val="24"/>
                <w:szCs w:val="24"/>
              </w:rPr>
            </w:pPr>
            <w:r>
              <w:rPr>
                <w:sz w:val="24"/>
                <w:szCs w:val="24"/>
              </w:rPr>
              <w:t>1</w:t>
            </w:r>
          </w:p>
        </w:tc>
        <w:tc>
          <w:tcPr>
            <w:tcW w:w="3482" w:type="pct"/>
            <w:vAlign w:val="center"/>
          </w:tcPr>
          <w:p>
            <w:pPr>
              <w:bidi w:val="0"/>
              <w:rPr>
                <w:sz w:val="24"/>
                <w:szCs w:val="24"/>
              </w:rPr>
            </w:pPr>
            <w:r>
              <w:rPr>
                <w:rFonts w:hint="eastAsia"/>
                <w:sz w:val="24"/>
                <w:szCs w:val="24"/>
              </w:rPr>
              <w:t>一、热风炉：</w:t>
            </w:r>
          </w:p>
          <w:p>
            <w:pPr>
              <w:bidi w:val="0"/>
              <w:rPr>
                <w:rFonts w:hint="eastAsia"/>
                <w:sz w:val="24"/>
                <w:szCs w:val="24"/>
                <w:lang w:eastAsia="zh-CN"/>
              </w:rPr>
            </w:pPr>
            <w:r>
              <w:rPr>
                <w:rFonts w:hint="eastAsia"/>
                <w:sz w:val="24"/>
                <w:szCs w:val="24"/>
              </w:rPr>
              <w:t>1燃料：天然气</w:t>
            </w:r>
            <w:r>
              <w:rPr>
                <w:rFonts w:hint="eastAsia"/>
                <w:sz w:val="24"/>
                <w:szCs w:val="24"/>
                <w:lang w:eastAsia="zh-CN"/>
              </w:rPr>
              <w:t>；</w:t>
            </w:r>
            <w:r>
              <w:rPr>
                <w:rFonts w:hint="eastAsia"/>
                <w:sz w:val="24"/>
                <w:szCs w:val="24"/>
              </w:rPr>
              <w:t>低发热值3</w:t>
            </w:r>
            <w:r>
              <w:rPr>
                <w:sz w:val="24"/>
                <w:szCs w:val="24"/>
              </w:rPr>
              <w:t>4.18 MJ/Nm</w:t>
            </w:r>
            <w:r>
              <w:rPr>
                <w:sz w:val="24"/>
                <w:szCs w:val="24"/>
                <w:vertAlign w:val="superscript"/>
              </w:rPr>
              <w:t>3</w:t>
            </w:r>
            <w:r>
              <w:rPr>
                <w:rFonts w:hint="eastAsia"/>
                <w:sz w:val="24"/>
                <w:szCs w:val="24"/>
                <w:lang w:eastAsia="zh-CN"/>
              </w:rPr>
              <w:t>；</w:t>
            </w:r>
          </w:p>
          <w:p>
            <w:pPr>
              <w:bidi w:val="0"/>
              <w:rPr>
                <w:rFonts w:hint="eastAsia"/>
                <w:sz w:val="24"/>
                <w:szCs w:val="24"/>
                <w:lang w:eastAsia="zh-CN"/>
              </w:rPr>
            </w:pPr>
            <w:r>
              <w:rPr>
                <w:sz w:val="24"/>
                <w:szCs w:val="24"/>
              </w:rPr>
              <w:t>2</w:t>
            </w:r>
            <w:r>
              <w:rPr>
                <w:rFonts w:hint="eastAsia"/>
                <w:sz w:val="24"/>
                <w:szCs w:val="24"/>
                <w:lang w:eastAsia="zh-CN"/>
              </w:rPr>
              <w:t>）</w:t>
            </w:r>
            <w:r>
              <w:rPr>
                <w:sz w:val="24"/>
                <w:szCs w:val="24"/>
              </w:rPr>
              <w:t xml:space="preserve"> </w:t>
            </w:r>
            <w:r>
              <w:rPr>
                <w:rFonts w:hint="eastAsia"/>
                <w:sz w:val="24"/>
                <w:szCs w:val="24"/>
              </w:rPr>
              <w:t>燃料用量：正常用量2</w:t>
            </w:r>
            <w:r>
              <w:rPr>
                <w:sz w:val="24"/>
                <w:szCs w:val="24"/>
              </w:rPr>
              <w:t>0</w:t>
            </w:r>
            <w:r>
              <w:rPr>
                <w:rFonts w:hint="eastAsia"/>
                <w:sz w:val="24"/>
                <w:szCs w:val="24"/>
              </w:rPr>
              <w:t>0Nm</w:t>
            </w:r>
            <w:r>
              <w:rPr>
                <w:rFonts w:hint="eastAsia"/>
                <w:sz w:val="24"/>
                <w:szCs w:val="24"/>
                <w:vertAlign w:val="superscript"/>
              </w:rPr>
              <w:t>3</w:t>
            </w:r>
            <w:r>
              <w:rPr>
                <w:rFonts w:hint="eastAsia"/>
                <w:sz w:val="24"/>
                <w:szCs w:val="24"/>
              </w:rPr>
              <w:t>/h、最大</w:t>
            </w:r>
            <w:r>
              <w:rPr>
                <w:sz w:val="24"/>
                <w:szCs w:val="24"/>
              </w:rPr>
              <w:t>30</w:t>
            </w:r>
            <w:r>
              <w:rPr>
                <w:rFonts w:hint="eastAsia"/>
                <w:sz w:val="24"/>
                <w:szCs w:val="24"/>
              </w:rPr>
              <w:t>0Nm</w:t>
            </w:r>
            <w:r>
              <w:rPr>
                <w:rFonts w:hint="eastAsia"/>
                <w:sz w:val="24"/>
                <w:szCs w:val="24"/>
                <w:vertAlign w:val="superscript"/>
              </w:rPr>
              <w:t>3</w:t>
            </w:r>
            <w:r>
              <w:rPr>
                <w:rFonts w:hint="eastAsia"/>
                <w:sz w:val="24"/>
                <w:szCs w:val="24"/>
              </w:rPr>
              <w:t>/h</w:t>
            </w:r>
            <w:r>
              <w:rPr>
                <w:rFonts w:hint="eastAsia"/>
                <w:sz w:val="24"/>
                <w:szCs w:val="24"/>
                <w:lang w:eastAsia="zh-CN"/>
              </w:rPr>
              <w:t>；</w:t>
            </w:r>
          </w:p>
          <w:p>
            <w:pPr>
              <w:bidi w:val="0"/>
              <w:rPr>
                <w:rFonts w:hint="eastAsia"/>
                <w:sz w:val="24"/>
                <w:szCs w:val="24"/>
                <w:lang w:eastAsia="zh-CN"/>
              </w:rPr>
            </w:pPr>
            <w:r>
              <w:rPr>
                <w:sz w:val="24"/>
                <w:szCs w:val="24"/>
              </w:rPr>
              <w:t>3</w:t>
            </w:r>
            <w:r>
              <w:rPr>
                <w:rFonts w:hint="eastAsia"/>
                <w:sz w:val="24"/>
                <w:szCs w:val="24"/>
                <w:lang w:eastAsia="zh-CN"/>
              </w:rPr>
              <w:t>）</w:t>
            </w:r>
            <w:r>
              <w:rPr>
                <w:sz w:val="24"/>
                <w:szCs w:val="24"/>
              </w:rPr>
              <w:t xml:space="preserve"> </w:t>
            </w:r>
            <w:r>
              <w:rPr>
                <w:rFonts w:hint="eastAsia"/>
                <w:sz w:val="24"/>
                <w:szCs w:val="24"/>
              </w:rPr>
              <w:t>所兑循环风量：～</w:t>
            </w:r>
            <w:r>
              <w:rPr>
                <w:sz w:val="24"/>
                <w:szCs w:val="24"/>
              </w:rPr>
              <w:t>20</w:t>
            </w:r>
            <w:r>
              <w:rPr>
                <w:rFonts w:hint="eastAsia"/>
                <w:sz w:val="24"/>
                <w:szCs w:val="24"/>
              </w:rPr>
              <w:t>00</w:t>
            </w:r>
            <w:r>
              <w:rPr>
                <w:sz w:val="24"/>
                <w:szCs w:val="24"/>
              </w:rPr>
              <w:t>0</w:t>
            </w:r>
            <w:r>
              <w:rPr>
                <w:rFonts w:hint="eastAsia"/>
                <w:sz w:val="24"/>
                <w:szCs w:val="24"/>
              </w:rPr>
              <w:t>Nm</w:t>
            </w:r>
            <w:r>
              <w:rPr>
                <w:rFonts w:hint="eastAsia"/>
                <w:sz w:val="24"/>
                <w:szCs w:val="24"/>
                <w:vertAlign w:val="superscript"/>
              </w:rPr>
              <w:t>3</w:t>
            </w:r>
            <w:r>
              <w:rPr>
                <w:rFonts w:hint="eastAsia"/>
                <w:sz w:val="24"/>
                <w:szCs w:val="24"/>
              </w:rPr>
              <w:t>/h</w:t>
            </w:r>
            <w:r>
              <w:rPr>
                <w:rFonts w:hint="eastAsia"/>
                <w:sz w:val="24"/>
                <w:szCs w:val="24"/>
                <w:lang w:eastAsia="zh-CN"/>
              </w:rPr>
              <w:t>（</w:t>
            </w:r>
            <w:r>
              <w:rPr>
                <w:rFonts w:hint="eastAsia"/>
                <w:sz w:val="24"/>
                <w:szCs w:val="24"/>
              </w:rPr>
              <w:t>按最大70%的尾气量）</w:t>
            </w:r>
            <w:r>
              <w:rPr>
                <w:rFonts w:hint="eastAsia"/>
                <w:sz w:val="24"/>
                <w:szCs w:val="24"/>
                <w:lang w:eastAsia="zh-CN"/>
              </w:rPr>
              <w:t>；</w:t>
            </w:r>
          </w:p>
          <w:p>
            <w:pPr>
              <w:bidi w:val="0"/>
              <w:rPr>
                <w:rFonts w:hint="eastAsia"/>
                <w:sz w:val="24"/>
                <w:szCs w:val="24"/>
                <w:lang w:eastAsia="zh-CN"/>
              </w:rPr>
            </w:pPr>
            <w:r>
              <w:rPr>
                <w:sz w:val="24"/>
                <w:szCs w:val="24"/>
              </w:rPr>
              <w:t>4</w:t>
            </w:r>
            <w:r>
              <w:rPr>
                <w:rFonts w:hint="eastAsia"/>
                <w:sz w:val="24"/>
                <w:szCs w:val="24"/>
                <w:lang w:eastAsia="zh-CN"/>
              </w:rPr>
              <w:t>）</w:t>
            </w:r>
            <w:r>
              <w:rPr>
                <w:sz w:val="24"/>
                <w:szCs w:val="24"/>
              </w:rPr>
              <w:t xml:space="preserve"> </w:t>
            </w:r>
            <w:r>
              <w:rPr>
                <w:rFonts w:hint="eastAsia"/>
                <w:sz w:val="24"/>
                <w:szCs w:val="24"/>
              </w:rPr>
              <w:t>所兑循环风温度：～80℃</w:t>
            </w:r>
            <w:r>
              <w:rPr>
                <w:rFonts w:hint="eastAsia"/>
                <w:sz w:val="24"/>
                <w:szCs w:val="24"/>
                <w:lang w:eastAsia="zh-CN"/>
              </w:rPr>
              <w:t>；</w:t>
            </w:r>
          </w:p>
          <w:p>
            <w:pPr>
              <w:bidi w:val="0"/>
              <w:rPr>
                <w:rFonts w:hint="eastAsia"/>
                <w:sz w:val="24"/>
                <w:szCs w:val="24"/>
                <w:lang w:eastAsia="zh-CN"/>
              </w:rPr>
            </w:pPr>
            <w:r>
              <w:rPr>
                <w:sz w:val="24"/>
                <w:szCs w:val="24"/>
              </w:rPr>
              <w:t>6</w:t>
            </w:r>
            <w:r>
              <w:rPr>
                <w:rFonts w:hint="eastAsia"/>
                <w:sz w:val="24"/>
                <w:szCs w:val="24"/>
                <w:lang w:eastAsia="zh-CN"/>
              </w:rPr>
              <w:t>）</w:t>
            </w:r>
            <w:r>
              <w:rPr>
                <w:sz w:val="24"/>
                <w:szCs w:val="24"/>
              </w:rPr>
              <w:t xml:space="preserve"> </w:t>
            </w:r>
            <w:r>
              <w:rPr>
                <w:rFonts w:hint="eastAsia"/>
                <w:sz w:val="24"/>
                <w:szCs w:val="24"/>
              </w:rPr>
              <w:t>热风炉出口风量：~2</w:t>
            </w:r>
            <w:r>
              <w:rPr>
                <w:sz w:val="24"/>
                <w:szCs w:val="24"/>
              </w:rPr>
              <w:t>1000</w:t>
            </w:r>
            <w:r>
              <w:rPr>
                <w:rFonts w:hint="eastAsia"/>
                <w:sz w:val="24"/>
                <w:szCs w:val="24"/>
              </w:rPr>
              <w:t>Nm</w:t>
            </w:r>
            <w:r>
              <w:rPr>
                <w:rFonts w:hint="eastAsia"/>
                <w:sz w:val="24"/>
                <w:szCs w:val="24"/>
                <w:vertAlign w:val="superscript"/>
              </w:rPr>
              <w:t>3</w:t>
            </w:r>
            <w:r>
              <w:rPr>
                <w:rFonts w:hint="eastAsia"/>
                <w:sz w:val="24"/>
                <w:szCs w:val="24"/>
              </w:rPr>
              <w:t>/h</w:t>
            </w:r>
            <w:r>
              <w:rPr>
                <w:rFonts w:hint="eastAsia"/>
                <w:sz w:val="24"/>
                <w:szCs w:val="24"/>
                <w:lang w:eastAsia="zh-CN"/>
              </w:rPr>
              <w:t>；</w:t>
            </w:r>
          </w:p>
          <w:p>
            <w:pPr>
              <w:bidi w:val="0"/>
              <w:rPr>
                <w:rFonts w:hint="eastAsia"/>
                <w:sz w:val="24"/>
                <w:szCs w:val="24"/>
                <w:lang w:eastAsia="zh-CN"/>
              </w:rPr>
            </w:pPr>
            <w:r>
              <w:rPr>
                <w:sz w:val="24"/>
                <w:szCs w:val="24"/>
              </w:rPr>
              <w:t>7</w:t>
            </w:r>
            <w:r>
              <w:rPr>
                <w:rFonts w:hint="eastAsia"/>
                <w:sz w:val="24"/>
                <w:szCs w:val="24"/>
                <w:lang w:eastAsia="zh-CN"/>
              </w:rPr>
              <w:t>）</w:t>
            </w:r>
            <w:r>
              <w:rPr>
                <w:sz w:val="24"/>
                <w:szCs w:val="24"/>
              </w:rPr>
              <w:t xml:space="preserve"> </w:t>
            </w:r>
            <w:r>
              <w:rPr>
                <w:rFonts w:hint="eastAsia"/>
                <w:sz w:val="24"/>
                <w:szCs w:val="24"/>
              </w:rPr>
              <w:t>热风炉出口温度：～280℃</w:t>
            </w:r>
            <w:r>
              <w:rPr>
                <w:rFonts w:hint="eastAsia"/>
                <w:sz w:val="24"/>
                <w:szCs w:val="24"/>
                <w:lang w:eastAsia="zh-CN"/>
              </w:rPr>
              <w:t>；</w:t>
            </w:r>
          </w:p>
          <w:p>
            <w:pPr>
              <w:bidi w:val="0"/>
              <w:rPr>
                <w:rFonts w:hint="eastAsia"/>
                <w:sz w:val="24"/>
                <w:szCs w:val="24"/>
                <w:lang w:eastAsia="zh-CN"/>
              </w:rPr>
            </w:pPr>
            <w:r>
              <w:rPr>
                <w:sz w:val="24"/>
                <w:szCs w:val="24"/>
              </w:rPr>
              <w:t>8</w:t>
            </w:r>
            <w:r>
              <w:rPr>
                <w:rFonts w:hint="eastAsia"/>
                <w:sz w:val="24"/>
                <w:szCs w:val="24"/>
                <w:lang w:eastAsia="zh-CN"/>
              </w:rPr>
              <w:t>）</w:t>
            </w:r>
            <w:r>
              <w:rPr>
                <w:sz w:val="24"/>
                <w:szCs w:val="24"/>
              </w:rPr>
              <w:t xml:space="preserve"> </w:t>
            </w:r>
            <w:r>
              <w:rPr>
                <w:rFonts w:hint="eastAsia"/>
                <w:sz w:val="24"/>
                <w:szCs w:val="24"/>
              </w:rPr>
              <w:t>热风炉设计压力：-0.01～+0.02MPa</w:t>
            </w:r>
            <w:r>
              <w:rPr>
                <w:rFonts w:hint="eastAsia"/>
                <w:sz w:val="24"/>
                <w:szCs w:val="24"/>
                <w:lang w:eastAsia="zh-CN"/>
              </w:rPr>
              <w:t>；</w:t>
            </w:r>
          </w:p>
          <w:p>
            <w:pPr>
              <w:bidi w:val="0"/>
              <w:rPr>
                <w:rFonts w:hint="eastAsia"/>
                <w:sz w:val="24"/>
                <w:szCs w:val="24"/>
                <w:lang w:eastAsia="zh-CN"/>
              </w:rPr>
            </w:pPr>
            <w:r>
              <w:rPr>
                <w:sz w:val="24"/>
                <w:szCs w:val="24"/>
              </w:rPr>
              <w:t>9</w:t>
            </w:r>
            <w:r>
              <w:rPr>
                <w:rFonts w:hint="eastAsia"/>
                <w:sz w:val="24"/>
                <w:szCs w:val="24"/>
                <w:lang w:eastAsia="zh-CN"/>
              </w:rPr>
              <w:t>）</w:t>
            </w:r>
            <w:r>
              <w:rPr>
                <w:sz w:val="24"/>
                <w:szCs w:val="24"/>
              </w:rPr>
              <w:t xml:space="preserve"> </w:t>
            </w:r>
            <w:r>
              <w:rPr>
                <w:rFonts w:hint="eastAsia"/>
                <w:sz w:val="24"/>
                <w:szCs w:val="24"/>
              </w:rPr>
              <w:t xml:space="preserve">热风炉效率：≥96% </w:t>
            </w:r>
            <w:r>
              <w:rPr>
                <w:rFonts w:hint="eastAsia"/>
                <w:sz w:val="24"/>
                <w:szCs w:val="24"/>
                <w:lang w:eastAsia="zh-CN"/>
              </w:rPr>
              <w:t>。</w:t>
            </w:r>
          </w:p>
          <w:p>
            <w:pPr>
              <w:bidi w:val="0"/>
              <w:rPr>
                <w:sz w:val="24"/>
                <w:szCs w:val="24"/>
              </w:rPr>
            </w:pPr>
            <w:r>
              <w:rPr>
                <w:rFonts w:hint="eastAsia"/>
                <w:sz w:val="24"/>
                <w:szCs w:val="24"/>
              </w:rPr>
              <w:t>二、助燃风机</w:t>
            </w:r>
            <w:r>
              <w:rPr>
                <w:rFonts w:hint="eastAsia"/>
                <w:sz w:val="24"/>
                <w:szCs w:val="24"/>
                <w:lang w:eastAsia="zh-CN"/>
              </w:rPr>
              <w:t>（</w:t>
            </w:r>
            <w:r>
              <w:rPr>
                <w:rFonts w:hint="eastAsia"/>
                <w:sz w:val="24"/>
                <w:szCs w:val="24"/>
              </w:rPr>
              <w:t>工艺参数供参考，风机出口方向根据配置调整）</w:t>
            </w:r>
          </w:p>
          <w:p>
            <w:pPr>
              <w:bidi w:val="0"/>
              <w:rPr>
                <w:rFonts w:hint="eastAsia"/>
                <w:sz w:val="24"/>
                <w:szCs w:val="24"/>
                <w:lang w:eastAsia="zh-CN"/>
              </w:rPr>
            </w:pPr>
            <w:r>
              <w:rPr>
                <w:sz w:val="24"/>
                <w:szCs w:val="24"/>
              </w:rPr>
              <w:t>1</w:t>
            </w:r>
            <w:r>
              <w:rPr>
                <w:rFonts w:hint="eastAsia"/>
                <w:sz w:val="24"/>
                <w:szCs w:val="24"/>
                <w:lang w:eastAsia="zh-CN"/>
              </w:rPr>
              <w:t>）</w:t>
            </w:r>
            <w:r>
              <w:rPr>
                <w:sz w:val="24"/>
                <w:szCs w:val="24"/>
              </w:rPr>
              <w:t xml:space="preserve"> </w:t>
            </w:r>
            <w:r>
              <w:rPr>
                <w:rFonts w:hint="eastAsia"/>
                <w:sz w:val="24"/>
                <w:szCs w:val="24"/>
              </w:rPr>
              <w:t>风量Q=</w:t>
            </w:r>
            <w:r>
              <w:rPr>
                <w:sz w:val="24"/>
                <w:szCs w:val="24"/>
              </w:rPr>
              <w:t>3000</w:t>
            </w:r>
            <w:r>
              <w:rPr>
                <w:rFonts w:hint="eastAsia"/>
                <w:sz w:val="24"/>
                <w:szCs w:val="24"/>
              </w:rPr>
              <w:t>Nm</w:t>
            </w:r>
            <w:r>
              <w:rPr>
                <w:rFonts w:hint="eastAsia"/>
                <w:sz w:val="24"/>
                <w:szCs w:val="24"/>
                <w:vertAlign w:val="superscript"/>
              </w:rPr>
              <w:t>3</w:t>
            </w:r>
            <w:r>
              <w:rPr>
                <w:rFonts w:hint="eastAsia"/>
                <w:sz w:val="24"/>
                <w:szCs w:val="24"/>
              </w:rPr>
              <w:t>/h，风压P=4000Pa，风温：室温</w:t>
            </w:r>
            <w:r>
              <w:rPr>
                <w:rFonts w:hint="eastAsia"/>
                <w:sz w:val="24"/>
                <w:szCs w:val="24"/>
                <w:lang w:eastAsia="zh-CN"/>
              </w:rPr>
              <w:t>；</w:t>
            </w:r>
          </w:p>
          <w:p>
            <w:pPr>
              <w:bidi w:val="0"/>
              <w:rPr>
                <w:rFonts w:hint="eastAsia"/>
                <w:sz w:val="24"/>
                <w:szCs w:val="24"/>
                <w:lang w:eastAsia="zh-CN"/>
              </w:rPr>
            </w:pPr>
            <w:r>
              <w:rPr>
                <w:sz w:val="24"/>
                <w:szCs w:val="24"/>
              </w:rPr>
              <w:t>2</w:t>
            </w:r>
            <w:r>
              <w:rPr>
                <w:rFonts w:hint="eastAsia"/>
                <w:sz w:val="24"/>
                <w:szCs w:val="24"/>
                <w:lang w:eastAsia="zh-CN"/>
              </w:rPr>
              <w:t>）</w:t>
            </w:r>
            <w:r>
              <w:rPr>
                <w:sz w:val="24"/>
                <w:szCs w:val="24"/>
              </w:rPr>
              <w:t xml:space="preserve"> </w:t>
            </w:r>
            <w:r>
              <w:rPr>
                <w:rFonts w:hint="eastAsia"/>
                <w:sz w:val="24"/>
                <w:szCs w:val="24"/>
              </w:rPr>
              <w:t>风机出口方向：根据工艺要求</w:t>
            </w:r>
            <w:r>
              <w:rPr>
                <w:rFonts w:hint="eastAsia"/>
                <w:sz w:val="24"/>
                <w:szCs w:val="24"/>
                <w:lang w:eastAsia="zh-CN"/>
              </w:rPr>
              <w:t>；</w:t>
            </w:r>
          </w:p>
          <w:p>
            <w:pPr>
              <w:bidi w:val="0"/>
              <w:rPr>
                <w:rFonts w:hint="eastAsia"/>
                <w:sz w:val="24"/>
                <w:szCs w:val="24"/>
                <w:lang w:eastAsia="zh-CN"/>
              </w:rPr>
            </w:pPr>
            <w:r>
              <w:rPr>
                <w:sz w:val="24"/>
                <w:szCs w:val="24"/>
              </w:rPr>
              <w:t>3</w:t>
            </w:r>
            <w:r>
              <w:rPr>
                <w:rFonts w:hint="eastAsia"/>
                <w:sz w:val="24"/>
                <w:szCs w:val="24"/>
                <w:lang w:eastAsia="zh-CN"/>
              </w:rPr>
              <w:t>）</w:t>
            </w:r>
            <w:r>
              <w:rPr>
                <w:sz w:val="24"/>
                <w:szCs w:val="24"/>
              </w:rPr>
              <w:t xml:space="preserve"> </w:t>
            </w:r>
            <w:r>
              <w:rPr>
                <w:rFonts w:hint="eastAsia"/>
                <w:sz w:val="24"/>
                <w:szCs w:val="24"/>
              </w:rPr>
              <w:t>所有电气系统要求防爆</w:t>
            </w:r>
            <w:r>
              <w:rPr>
                <w:rFonts w:hint="eastAsia"/>
                <w:sz w:val="24"/>
                <w:szCs w:val="24"/>
                <w:lang w:eastAsia="zh-CN"/>
              </w:rPr>
              <w:t>；</w:t>
            </w:r>
          </w:p>
          <w:p>
            <w:pPr>
              <w:bidi w:val="0"/>
              <w:rPr>
                <w:rFonts w:hint="eastAsia"/>
                <w:sz w:val="24"/>
                <w:szCs w:val="24"/>
                <w:lang w:eastAsia="zh-CN"/>
              </w:rPr>
            </w:pPr>
            <w:r>
              <w:rPr>
                <w:rFonts w:hint="eastAsia"/>
                <w:sz w:val="24"/>
                <w:szCs w:val="24"/>
              </w:rPr>
              <w:t>4）风机要求防爆</w:t>
            </w:r>
            <w:r>
              <w:rPr>
                <w:rFonts w:hint="eastAsia"/>
                <w:sz w:val="24"/>
                <w:szCs w:val="24"/>
                <w:lang w:eastAsia="zh-CN"/>
              </w:rPr>
              <w:t>。</w:t>
            </w:r>
          </w:p>
          <w:p>
            <w:pPr>
              <w:bidi w:val="0"/>
              <w:rPr>
                <w:sz w:val="24"/>
                <w:szCs w:val="24"/>
              </w:rPr>
            </w:pPr>
            <w:r>
              <w:rPr>
                <w:rFonts w:hint="eastAsia"/>
                <w:sz w:val="24"/>
                <w:szCs w:val="24"/>
              </w:rPr>
              <w:t>三、冷风机</w:t>
            </w:r>
            <w:r>
              <w:rPr>
                <w:rFonts w:hint="eastAsia"/>
                <w:sz w:val="24"/>
                <w:szCs w:val="24"/>
                <w:lang w:eastAsia="zh-CN"/>
              </w:rPr>
              <w:t>（</w:t>
            </w:r>
            <w:r>
              <w:rPr>
                <w:rFonts w:hint="eastAsia"/>
                <w:sz w:val="24"/>
                <w:szCs w:val="24"/>
              </w:rPr>
              <w:t>工艺参数供参考，风机出口方向根据配置调整）</w:t>
            </w:r>
          </w:p>
          <w:p>
            <w:pPr>
              <w:bidi w:val="0"/>
              <w:rPr>
                <w:rFonts w:hint="eastAsia"/>
                <w:sz w:val="24"/>
                <w:szCs w:val="24"/>
                <w:lang w:eastAsia="zh-CN"/>
              </w:rPr>
            </w:pPr>
            <w:r>
              <w:rPr>
                <w:sz w:val="24"/>
                <w:szCs w:val="24"/>
              </w:rPr>
              <w:t>1</w:t>
            </w:r>
            <w:r>
              <w:rPr>
                <w:rFonts w:hint="eastAsia"/>
                <w:sz w:val="24"/>
                <w:szCs w:val="24"/>
                <w:lang w:eastAsia="zh-CN"/>
              </w:rPr>
              <w:t>）</w:t>
            </w:r>
            <w:r>
              <w:rPr>
                <w:sz w:val="24"/>
                <w:szCs w:val="24"/>
              </w:rPr>
              <w:t xml:space="preserve"> </w:t>
            </w:r>
            <w:r>
              <w:rPr>
                <w:rFonts w:hint="eastAsia"/>
                <w:sz w:val="24"/>
                <w:szCs w:val="24"/>
              </w:rPr>
              <w:t>风量Q=</w:t>
            </w:r>
            <w:r>
              <w:rPr>
                <w:sz w:val="24"/>
                <w:szCs w:val="24"/>
              </w:rPr>
              <w:t>23200</w:t>
            </w:r>
            <w:r>
              <w:rPr>
                <w:rFonts w:hint="eastAsia"/>
                <w:sz w:val="24"/>
                <w:szCs w:val="24"/>
              </w:rPr>
              <w:t>Nm</w:t>
            </w:r>
            <w:r>
              <w:rPr>
                <w:rFonts w:hint="eastAsia"/>
                <w:sz w:val="24"/>
                <w:szCs w:val="24"/>
                <w:vertAlign w:val="superscript"/>
              </w:rPr>
              <w:t>3</w:t>
            </w:r>
            <w:r>
              <w:rPr>
                <w:rFonts w:hint="eastAsia"/>
                <w:sz w:val="24"/>
                <w:szCs w:val="24"/>
              </w:rPr>
              <w:t>/h，风压P=1300～1600Pa，风温：室温</w:t>
            </w:r>
            <w:r>
              <w:rPr>
                <w:rFonts w:hint="eastAsia"/>
                <w:sz w:val="24"/>
                <w:szCs w:val="24"/>
                <w:lang w:eastAsia="zh-CN"/>
              </w:rPr>
              <w:t>；</w:t>
            </w:r>
          </w:p>
          <w:p>
            <w:pPr>
              <w:bidi w:val="0"/>
              <w:rPr>
                <w:rFonts w:hint="eastAsia"/>
                <w:sz w:val="24"/>
                <w:szCs w:val="24"/>
                <w:lang w:eastAsia="zh-CN"/>
              </w:rPr>
            </w:pPr>
            <w:r>
              <w:rPr>
                <w:sz w:val="24"/>
                <w:szCs w:val="24"/>
              </w:rPr>
              <w:t>2</w:t>
            </w:r>
            <w:r>
              <w:rPr>
                <w:rFonts w:hint="eastAsia"/>
                <w:sz w:val="24"/>
                <w:szCs w:val="24"/>
                <w:lang w:eastAsia="zh-CN"/>
              </w:rPr>
              <w:t>）</w:t>
            </w:r>
            <w:r>
              <w:rPr>
                <w:sz w:val="24"/>
                <w:szCs w:val="24"/>
              </w:rPr>
              <w:t xml:space="preserve"> </w:t>
            </w:r>
            <w:r>
              <w:rPr>
                <w:rFonts w:hint="eastAsia"/>
                <w:sz w:val="24"/>
                <w:szCs w:val="24"/>
              </w:rPr>
              <w:t>风机出口方向：根据工艺要求</w:t>
            </w:r>
            <w:r>
              <w:rPr>
                <w:rFonts w:hint="eastAsia"/>
                <w:sz w:val="24"/>
                <w:szCs w:val="24"/>
                <w:lang w:eastAsia="zh-CN"/>
              </w:rPr>
              <w:t>；</w:t>
            </w:r>
          </w:p>
          <w:p>
            <w:pPr>
              <w:bidi w:val="0"/>
              <w:rPr>
                <w:rFonts w:hint="eastAsia"/>
                <w:sz w:val="24"/>
                <w:szCs w:val="24"/>
                <w:lang w:eastAsia="zh-CN"/>
              </w:rPr>
            </w:pPr>
            <w:r>
              <w:rPr>
                <w:rFonts w:hint="eastAsia"/>
                <w:sz w:val="24"/>
                <w:szCs w:val="24"/>
              </w:rPr>
              <w:t>3</w:t>
            </w:r>
            <w:r>
              <w:rPr>
                <w:rFonts w:hint="eastAsia"/>
                <w:sz w:val="24"/>
                <w:szCs w:val="24"/>
                <w:lang w:eastAsia="zh-CN"/>
              </w:rPr>
              <w:t>）</w:t>
            </w:r>
            <w:r>
              <w:rPr>
                <w:rFonts w:hint="eastAsia"/>
                <w:sz w:val="24"/>
                <w:szCs w:val="24"/>
              </w:rPr>
              <w:t xml:space="preserve"> 电气系统要求防爆</w:t>
            </w:r>
            <w:r>
              <w:rPr>
                <w:rFonts w:hint="eastAsia"/>
                <w:sz w:val="24"/>
                <w:szCs w:val="24"/>
                <w:lang w:eastAsia="zh-CN"/>
              </w:rPr>
              <w:t>；</w:t>
            </w:r>
          </w:p>
          <w:p>
            <w:pPr>
              <w:bidi w:val="0"/>
              <w:rPr>
                <w:rFonts w:hint="eastAsia"/>
                <w:sz w:val="24"/>
                <w:szCs w:val="24"/>
                <w:lang w:eastAsia="zh-CN"/>
              </w:rPr>
            </w:pPr>
            <w:r>
              <w:rPr>
                <w:rFonts w:hint="eastAsia"/>
                <w:sz w:val="24"/>
                <w:szCs w:val="24"/>
              </w:rPr>
              <w:t>4）风机要求防爆</w:t>
            </w:r>
            <w:r>
              <w:rPr>
                <w:rFonts w:hint="eastAsia"/>
                <w:sz w:val="24"/>
                <w:szCs w:val="24"/>
                <w:lang w:eastAsia="zh-CN"/>
              </w:rPr>
              <w:t>。</w:t>
            </w:r>
          </w:p>
          <w:p>
            <w:pPr>
              <w:bidi w:val="0"/>
              <w:rPr>
                <w:sz w:val="24"/>
                <w:szCs w:val="24"/>
              </w:rPr>
            </w:pPr>
            <w:r>
              <w:rPr>
                <w:rFonts w:hint="eastAsia"/>
                <w:sz w:val="24"/>
                <w:szCs w:val="24"/>
              </w:rPr>
              <w:t>四、燃烧器：采用旋流低氮型烧嘴</w:t>
            </w:r>
            <w:r>
              <w:rPr>
                <w:rFonts w:hint="eastAsia"/>
                <w:sz w:val="24"/>
                <w:szCs w:val="24"/>
                <w:lang w:eastAsia="zh-CN"/>
              </w:rPr>
              <w:t>；</w:t>
            </w:r>
            <w:r>
              <w:rPr>
                <w:rFonts w:hint="eastAsia"/>
                <w:sz w:val="24"/>
                <w:szCs w:val="24"/>
              </w:rPr>
              <w:t>热风炉出口烟气</w:t>
            </w:r>
            <w:r>
              <w:rPr>
                <w:sz w:val="24"/>
                <w:szCs w:val="24"/>
              </w:rPr>
              <w:t>NOx</w:t>
            </w:r>
            <w:r>
              <w:rPr>
                <w:rFonts w:hint="eastAsia"/>
                <w:sz w:val="24"/>
                <w:szCs w:val="24"/>
              </w:rPr>
              <w:t>浓度＜</w:t>
            </w:r>
            <w:r>
              <w:rPr>
                <w:sz w:val="24"/>
                <w:szCs w:val="24"/>
              </w:rPr>
              <w:t>50mg/</w:t>
            </w:r>
            <w:r>
              <w:rPr>
                <w:rFonts w:hint="eastAsia"/>
                <w:sz w:val="24"/>
                <w:szCs w:val="24"/>
              </w:rPr>
              <w:t>m</w:t>
            </w:r>
            <w:r>
              <w:rPr>
                <w:rFonts w:hint="eastAsia"/>
                <w:sz w:val="24"/>
                <w:szCs w:val="24"/>
                <w:vertAlign w:val="superscript"/>
              </w:rPr>
              <w:t>3</w:t>
            </w:r>
            <w:r>
              <w:rPr>
                <w:rFonts w:hint="eastAsia"/>
                <w:sz w:val="24"/>
                <w:szCs w:val="24"/>
                <w:lang w:eastAsia="zh-CN"/>
              </w:rPr>
              <w:t>；</w:t>
            </w:r>
            <w:r>
              <w:rPr>
                <w:rFonts w:hint="eastAsia"/>
                <w:sz w:val="24"/>
                <w:szCs w:val="24"/>
              </w:rPr>
              <w:t>热风炉助燃风机与燃烧器一体化设计，变频调节</w:t>
            </w:r>
            <w:r>
              <w:rPr>
                <w:rFonts w:hint="eastAsia"/>
                <w:sz w:val="24"/>
                <w:szCs w:val="24"/>
                <w:lang w:eastAsia="zh-CN"/>
              </w:rPr>
              <w:t>；</w:t>
            </w:r>
            <w:r>
              <w:rPr>
                <w:rFonts w:hint="eastAsia"/>
                <w:sz w:val="24"/>
                <w:szCs w:val="24"/>
              </w:rPr>
              <w:t>电机能效等级为二级及以上。</w:t>
            </w:r>
          </w:p>
          <w:p>
            <w:pPr>
              <w:bidi w:val="0"/>
              <w:rPr>
                <w:sz w:val="24"/>
                <w:szCs w:val="24"/>
              </w:rPr>
            </w:pPr>
            <w:r>
              <w:rPr>
                <w:rFonts w:hint="eastAsia"/>
                <w:sz w:val="24"/>
                <w:szCs w:val="24"/>
              </w:rPr>
              <w:t>五、热风炉助燃风机与燃烧器一体化设计</w:t>
            </w:r>
            <w:r>
              <w:rPr>
                <w:rFonts w:hint="eastAsia"/>
                <w:sz w:val="24"/>
                <w:szCs w:val="24"/>
                <w:lang w:eastAsia="zh-CN"/>
              </w:rPr>
              <w:t>；</w:t>
            </w:r>
            <w:r>
              <w:rPr>
                <w:rFonts w:hint="eastAsia"/>
                <w:sz w:val="24"/>
                <w:szCs w:val="24"/>
              </w:rPr>
              <w:t>变频调速，电机能效等级为二级及以上。</w:t>
            </w:r>
          </w:p>
          <w:p>
            <w:pPr>
              <w:bidi w:val="0"/>
              <w:rPr>
                <w:rFonts w:hint="eastAsia"/>
                <w:sz w:val="24"/>
                <w:szCs w:val="24"/>
                <w:lang w:eastAsia="zh-CN"/>
              </w:rPr>
            </w:pPr>
            <w:r>
              <w:rPr>
                <w:rFonts w:hint="eastAsia"/>
                <w:sz w:val="24"/>
                <w:szCs w:val="24"/>
              </w:rPr>
              <w:t>六、炉体内衬耐火材料：粘土质耐火砖</w:t>
            </w:r>
            <w:r>
              <w:rPr>
                <w:sz w:val="24"/>
                <w:szCs w:val="24"/>
              </w:rPr>
              <w:t>PN-</w:t>
            </w:r>
            <w:r>
              <w:rPr>
                <w:rFonts w:hint="eastAsia"/>
                <w:sz w:val="24"/>
                <w:szCs w:val="24"/>
                <w:lang w:val="en-US" w:eastAsia="zh-CN"/>
              </w:rPr>
              <w:t>42</w:t>
            </w:r>
            <w:r>
              <w:rPr>
                <w:rFonts w:hint="eastAsia"/>
                <w:sz w:val="24"/>
                <w:szCs w:val="24"/>
                <w:lang w:eastAsia="zh-CN"/>
              </w:rPr>
              <w:t>。</w:t>
            </w:r>
          </w:p>
          <w:p>
            <w:pPr>
              <w:bidi w:val="0"/>
              <w:rPr>
                <w:sz w:val="24"/>
                <w:szCs w:val="24"/>
              </w:rPr>
            </w:pPr>
            <w:r>
              <w:rPr>
                <w:rFonts w:hint="eastAsia"/>
                <w:sz w:val="24"/>
                <w:szCs w:val="24"/>
              </w:rPr>
              <w:t>七、炉膛内设温度、压力检测等设施。</w:t>
            </w:r>
          </w:p>
          <w:p>
            <w:pPr>
              <w:bidi w:val="0"/>
              <w:rPr>
                <w:sz w:val="24"/>
                <w:szCs w:val="24"/>
              </w:rPr>
            </w:pPr>
            <w:r>
              <w:rPr>
                <w:rFonts w:hint="eastAsia"/>
                <w:sz w:val="24"/>
                <w:szCs w:val="24"/>
              </w:rPr>
              <w:t>八、为控制热风中氧含量，需要配入</w:t>
            </w:r>
            <w:r>
              <w:rPr>
                <w:sz w:val="24"/>
                <w:szCs w:val="24"/>
              </w:rPr>
              <w:t>50%</w:t>
            </w:r>
            <w:r>
              <w:rPr>
                <w:rFonts w:hint="eastAsia"/>
                <w:sz w:val="24"/>
                <w:szCs w:val="24"/>
              </w:rPr>
              <w:t>～</w:t>
            </w:r>
            <w:r>
              <w:rPr>
                <w:sz w:val="24"/>
                <w:szCs w:val="24"/>
              </w:rPr>
              <w:t>70%</w:t>
            </w:r>
            <w:r>
              <w:rPr>
                <w:rFonts w:hint="eastAsia"/>
                <w:sz w:val="24"/>
                <w:szCs w:val="24"/>
              </w:rPr>
              <w:t>高浓度布袋收粉后的烟气</w:t>
            </w:r>
            <w:r>
              <w:rPr>
                <w:rFonts w:hint="eastAsia"/>
                <w:sz w:val="24"/>
                <w:szCs w:val="24"/>
                <w:lang w:eastAsia="zh-CN"/>
              </w:rPr>
              <w:t>（</w:t>
            </w:r>
            <w:r>
              <w:rPr>
                <w:sz w:val="24"/>
                <w:szCs w:val="24"/>
              </w:rPr>
              <w:t>80</w:t>
            </w:r>
            <w:r>
              <w:rPr>
                <w:rFonts w:hint="eastAsia"/>
                <w:sz w:val="24"/>
                <w:szCs w:val="24"/>
              </w:rPr>
              <w:t>℃左右），配入比例由供货商确定。</w:t>
            </w:r>
          </w:p>
        </w:tc>
        <w:tc>
          <w:tcPr>
            <w:tcW w:w="348" w:type="pct"/>
            <w:vAlign w:val="center"/>
          </w:tcPr>
          <w:p>
            <w:pPr>
              <w:bidi w:val="0"/>
              <w:rPr>
                <w:sz w:val="24"/>
                <w:szCs w:val="24"/>
              </w:rPr>
            </w:pPr>
          </w:p>
        </w:tc>
      </w:tr>
    </w:tbl>
    <w:p>
      <w:pPr>
        <w:spacing w:line="460" w:lineRule="exact"/>
        <w:ind w:firstLine="480" w:firstLineChars="200"/>
        <w:jc w:val="left"/>
        <w:rPr>
          <w:rFonts w:ascii="Times New Roman" w:hAnsi="Times New Roman" w:eastAsia="宋体" w:cs="Arial"/>
          <w:b/>
          <w:bCs/>
          <w:color w:val="000000" w:themeColor="text1"/>
          <w:sz w:val="24"/>
          <w:highlight w:val="none"/>
          <w14:textFill>
            <w14:solidFill>
              <w14:schemeClr w14:val="tx1"/>
            </w14:solidFill>
          </w14:textFill>
        </w:rPr>
      </w:pPr>
      <w:r>
        <w:rPr>
          <w:rFonts w:hint="eastAsia" w:ascii="Times New Roman" w:hAnsi="Times New Roman" w:eastAsia="宋体" w:cs="Arial"/>
          <w:b w:val="0"/>
          <w:bCs w:val="0"/>
          <w:color w:val="000000" w:themeColor="text1"/>
          <w:sz w:val="24"/>
          <w:highlight w:val="none"/>
          <w14:textFill>
            <w14:solidFill>
              <w14:schemeClr w14:val="tx1"/>
            </w14:solidFill>
          </w14:textFill>
        </w:rPr>
        <w:t>制粉系统的安保：一氧化碳和氧含量的监测的分析小屋用现有的房间</w:t>
      </w:r>
      <w:r>
        <w:rPr>
          <w:rFonts w:hint="eastAsia" w:ascii="Times New Roman" w:hAnsi="Times New Roman" w:cs="Arial"/>
          <w:b w:val="0"/>
          <w:bCs w:val="0"/>
          <w:color w:val="000000" w:themeColor="text1"/>
          <w:sz w:val="24"/>
          <w:highlight w:val="none"/>
          <w:lang w:eastAsia="zh-CN"/>
          <w14:textFill>
            <w14:solidFill>
              <w14:schemeClr w14:val="tx1"/>
            </w14:solidFill>
          </w14:textFill>
        </w:rPr>
        <w:t>。供应商无需</w:t>
      </w:r>
      <w:r>
        <w:rPr>
          <w:rFonts w:hint="eastAsia" w:ascii="Times New Roman" w:hAnsi="Times New Roman" w:eastAsia="宋体" w:cs="Arial"/>
          <w:b w:val="0"/>
          <w:bCs w:val="0"/>
          <w:color w:val="000000" w:themeColor="text1"/>
          <w:sz w:val="24"/>
          <w:highlight w:val="none"/>
          <w14:textFill>
            <w14:solidFill>
              <w14:schemeClr w14:val="tx1"/>
            </w14:solidFill>
          </w14:textFill>
        </w:rPr>
        <w:t>配备连锁自动控制的氮气保护系统</w:t>
      </w:r>
      <w:r>
        <w:rPr>
          <w:rFonts w:hint="eastAsia" w:ascii="Times New Roman" w:hAnsi="Times New Roman" w:cs="Arial"/>
          <w:b w:val="0"/>
          <w:bCs w:val="0"/>
          <w:color w:val="000000" w:themeColor="text1"/>
          <w:sz w:val="24"/>
          <w:highlight w:val="none"/>
          <w:lang w:eastAsia="zh-CN"/>
          <w14:textFill>
            <w14:solidFill>
              <w14:schemeClr w14:val="tx1"/>
            </w14:solidFill>
          </w14:textFill>
        </w:rPr>
        <w:t>和</w:t>
      </w:r>
      <w:r>
        <w:rPr>
          <w:rFonts w:hint="eastAsia" w:ascii="Times New Roman" w:hAnsi="Times New Roman" w:eastAsia="宋体" w:cs="Arial"/>
          <w:b w:val="0"/>
          <w:bCs w:val="0"/>
          <w:color w:val="000000" w:themeColor="text1"/>
          <w:sz w:val="24"/>
          <w:highlight w:val="none"/>
          <w14:textFill>
            <w14:solidFill>
              <w14:schemeClr w14:val="tx1"/>
            </w14:solidFill>
          </w14:textFill>
        </w:rPr>
        <w:t>氮气保护系统的喷氮点位。</w:t>
      </w:r>
    </w:p>
    <w:p>
      <w:pPr>
        <w:spacing w:line="460" w:lineRule="exact"/>
        <w:jc w:val="left"/>
        <w:outlineLvl w:val="0"/>
        <w:rPr>
          <w:rFonts w:ascii="Times New Roman" w:hAnsi="Times New Roman" w:eastAsia="宋体" w:cs="Arial"/>
          <w:b/>
          <w:bCs/>
          <w:color w:val="000000" w:themeColor="text1"/>
          <w:sz w:val="28"/>
          <w:szCs w:val="28"/>
          <w:highlight w:val="none"/>
          <w14:textFill>
            <w14:solidFill>
              <w14:schemeClr w14:val="tx1"/>
            </w14:solidFill>
          </w14:textFill>
        </w:rPr>
      </w:pPr>
      <w:r>
        <w:rPr>
          <w:rFonts w:hint="eastAsia" w:ascii="Times New Roman" w:hAnsi="Times New Roman" w:eastAsia="宋体" w:cs="Arial"/>
          <w:b/>
          <w:bCs/>
          <w:color w:val="000000" w:themeColor="text1"/>
          <w:sz w:val="28"/>
          <w:szCs w:val="28"/>
          <w:highlight w:val="none"/>
          <w14:textFill>
            <w14:solidFill>
              <w14:schemeClr w14:val="tx1"/>
            </w14:solidFill>
          </w14:textFill>
        </w:rPr>
        <w:t>六、主要自动控制和检测项目</w:t>
      </w:r>
    </w:p>
    <w:p>
      <w:pPr>
        <w:spacing w:after="156" w:afterLines="50" w:line="460" w:lineRule="exact"/>
        <w:outlineLvl w:val="1"/>
        <w:rPr>
          <w:rFonts w:ascii="Times New Roman" w:hAnsi="Times New Roman" w:eastAsia="宋体" w:cs="Arial"/>
          <w:b/>
          <w:bCs/>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6.1</w:t>
      </w:r>
      <w:r>
        <w:rPr>
          <w:rFonts w:hint="eastAsia" w:ascii="Times New Roman" w:hAnsi="Times New Roman" w:eastAsia="宋体" w:cs="Arial"/>
          <w:b/>
          <w:bCs/>
          <w:color w:val="000000" w:themeColor="text1"/>
          <w:sz w:val="24"/>
          <w:highlight w:val="none"/>
          <w14:textFill>
            <w14:solidFill>
              <w14:schemeClr w14:val="tx1"/>
            </w14:solidFill>
          </w14:textFill>
        </w:rPr>
        <w:t>自动控制项目</w:t>
      </w:r>
    </w:p>
    <w:p>
      <w:pPr>
        <w:pStyle w:val="9"/>
        <w:spacing w:line="460" w:lineRule="exact"/>
        <w:ind w:firstLine="480" w:firstLineChars="200"/>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szCs w:val="24"/>
          <w:highlight w:val="none"/>
          <w14:textFill>
            <w14:solidFill>
              <w14:schemeClr w14:val="tx1"/>
            </w14:solidFill>
          </w14:textFill>
        </w:rPr>
        <w:t>实现磨机控制，烟气炉的燃烧控制，自动输送控制，制粉惰化等操作控制。做到：配煤自动调节</w:t>
      </w:r>
      <w:r>
        <w:rPr>
          <w:rFonts w:hint="eastAsia" w:cs="Arial"/>
          <w:color w:val="000000" w:themeColor="text1"/>
          <w:sz w:val="24"/>
          <w:szCs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szCs w:val="24"/>
          <w:highlight w:val="none"/>
          <w14:textFill>
            <w14:solidFill>
              <w14:schemeClr w14:val="tx1"/>
            </w14:solidFill>
          </w14:textFill>
        </w:rPr>
        <w:t>实现可控调节</w:t>
      </w:r>
      <w:r>
        <w:rPr>
          <w:rFonts w:hint="eastAsia" w:cs="Arial"/>
          <w:color w:val="000000" w:themeColor="text1"/>
          <w:sz w:val="24"/>
          <w:szCs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szCs w:val="24"/>
          <w:highlight w:val="none"/>
          <w14:textFill>
            <w14:solidFill>
              <w14:schemeClr w14:val="tx1"/>
            </w14:solidFill>
          </w14:textFill>
        </w:rPr>
        <w:t>保证安全稳定生产运行，烟气炉自动调节、助燃风自动调节、阀门互锁、自动换泵、原煤自动称量</w:t>
      </w:r>
      <w:r>
        <w:rPr>
          <w:rFonts w:hint="eastAsia" w:ascii="Times New Roman" w:hAnsi="Times New Roman" w:eastAsia="宋体" w:cs="Arial"/>
          <w:color w:val="000000" w:themeColor="text1"/>
          <w:sz w:val="24"/>
          <w:szCs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szCs w:val="24"/>
          <w:highlight w:val="none"/>
          <w14:textFill>
            <w14:solidFill>
              <w14:schemeClr w14:val="tx1"/>
            </w14:solidFill>
          </w14:textFill>
        </w:rPr>
        <w:t>调节范围0</w:t>
      </w:r>
      <w:r>
        <w:rPr>
          <w:rFonts w:ascii="Times New Roman" w:hAnsi="Times New Roman" w:eastAsia="宋体" w:cs="Arial"/>
          <w:color w:val="000000" w:themeColor="text1"/>
          <w:sz w:val="24"/>
          <w:szCs w:val="24"/>
          <w:highlight w:val="none"/>
          <w14:textFill>
            <w14:solidFill>
              <w14:schemeClr w14:val="tx1"/>
            </w14:solidFill>
          </w14:textFill>
        </w:rPr>
        <w:t>-</w:t>
      </w:r>
      <w:r>
        <w:rPr>
          <w:rFonts w:hint="eastAsia" w:ascii="Times New Roman" w:hAnsi="Times New Roman" w:eastAsia="宋体" w:cs="Arial"/>
          <w:color w:val="000000" w:themeColor="text1"/>
          <w:sz w:val="24"/>
          <w:szCs w:val="24"/>
          <w:highlight w:val="none"/>
          <w14:textFill>
            <w14:solidFill>
              <w14:schemeClr w14:val="tx1"/>
            </w14:solidFill>
          </w14:textFill>
        </w:rPr>
        <w:t>2</w:t>
      </w:r>
      <w:r>
        <w:rPr>
          <w:rFonts w:ascii="Times New Roman" w:hAnsi="Times New Roman" w:eastAsia="宋体" w:cs="Arial"/>
          <w:color w:val="000000" w:themeColor="text1"/>
          <w:sz w:val="24"/>
          <w:szCs w:val="24"/>
          <w:highlight w:val="none"/>
          <w14:textFill>
            <w14:solidFill>
              <w14:schemeClr w14:val="tx1"/>
            </w14:solidFill>
          </w14:textFill>
        </w:rPr>
        <w:t>0t/h</w:t>
      </w:r>
      <w:r>
        <w:rPr>
          <w:rFonts w:hint="eastAsia" w:ascii="Times New Roman" w:hAnsi="Times New Roman" w:eastAsia="宋体" w:cs="Arial"/>
          <w:color w:val="000000" w:themeColor="text1"/>
          <w:sz w:val="24"/>
          <w:szCs w:val="24"/>
          <w:highlight w:val="none"/>
          <w14:textFill>
            <w14:solidFill>
              <w14:schemeClr w14:val="tx1"/>
            </w14:solidFill>
          </w14:textFill>
        </w:rPr>
        <w:t>，调节精度＜</w:t>
      </w:r>
      <w:r>
        <w:rPr>
          <w:rFonts w:ascii="Times New Roman" w:hAnsi="Times New Roman" w:eastAsia="宋体" w:cs="Arial"/>
          <w:color w:val="000000" w:themeColor="text1"/>
          <w:sz w:val="24"/>
          <w:szCs w:val="24"/>
          <w:highlight w:val="none"/>
          <w14:textFill>
            <w14:solidFill>
              <w14:schemeClr w14:val="tx1"/>
            </w14:solidFill>
          </w14:textFill>
        </w:rPr>
        <w:t>±1%</w:t>
      </w:r>
      <w:r>
        <w:rPr>
          <w:rFonts w:hint="eastAsia" w:ascii="Times New Roman" w:hAnsi="Times New Roman" w:eastAsia="宋体" w:cs="Arial"/>
          <w:color w:val="000000" w:themeColor="text1"/>
          <w:sz w:val="24"/>
          <w:szCs w:val="24"/>
          <w:highlight w:val="none"/>
          <w14:textFill>
            <w14:solidFill>
              <w14:schemeClr w14:val="tx1"/>
            </w14:solidFill>
          </w14:textFill>
        </w:rPr>
        <w:t>）、工艺流程画面及在线动态显示、事故报警与预报显示、主要工艺参数曲线生成、历史数据的保存</w:t>
      </w:r>
      <w:r>
        <w:rPr>
          <w:rFonts w:hint="eastAsia" w:ascii="Times New Roman" w:hAnsi="Times New Roman" w:eastAsia="宋体" w:cs="Arial"/>
          <w:color w:val="000000" w:themeColor="text1"/>
          <w:sz w:val="24"/>
          <w:szCs w:val="24"/>
          <w:highlight w:val="none"/>
          <w:lang w:eastAsia="zh-CN"/>
          <w14:textFill>
            <w14:solidFill>
              <w14:schemeClr w14:val="tx1"/>
            </w14:solidFill>
          </w14:textFill>
        </w:rPr>
        <w:t>（</w:t>
      </w:r>
      <w:r>
        <w:rPr>
          <w:rFonts w:ascii="Times New Roman" w:hAnsi="Times New Roman" w:eastAsia="宋体" w:cs="Arial"/>
          <w:color w:val="000000" w:themeColor="text1"/>
          <w:sz w:val="24"/>
          <w:szCs w:val="24"/>
          <w:highlight w:val="none"/>
          <w14:textFill>
            <w14:solidFill>
              <w14:schemeClr w14:val="tx1"/>
            </w14:solidFill>
          </w14:textFill>
        </w:rPr>
        <w:t>90</w:t>
      </w:r>
      <w:r>
        <w:rPr>
          <w:rFonts w:hint="eastAsia" w:ascii="Times New Roman" w:hAnsi="Times New Roman" w:eastAsia="宋体" w:cs="Arial"/>
          <w:color w:val="000000" w:themeColor="text1"/>
          <w:sz w:val="24"/>
          <w:szCs w:val="24"/>
          <w:highlight w:val="none"/>
          <w14:textFill>
            <w14:solidFill>
              <w14:schemeClr w14:val="tx1"/>
            </w14:solidFill>
          </w14:textFill>
        </w:rPr>
        <w:t>天）和调用等，同时自动统计班、日、月生产报表并可随时调用历史生产数据。</w:t>
      </w:r>
    </w:p>
    <w:p>
      <w:pPr>
        <w:pStyle w:val="9"/>
        <w:spacing w:line="460" w:lineRule="exact"/>
        <w:ind w:firstLine="480" w:firstLineChars="200"/>
        <w:rPr>
          <w:rFonts w:ascii="Times New Roman" w:hAnsi="Times New Roman" w:eastAsia="宋体" w:cs="Arial"/>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粉煤制备车间所有仪表、控制阀门，均要求符合22区防爆要求</w:t>
      </w:r>
      <w:r>
        <w:rPr>
          <w:rFonts w:hint="eastAsia"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DCS系统和设备成套PLC柜、供电柜、UPS等均放置在原有粉煤制备车间内。</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粉煤制备系统具备连锁控制，设备自带PLC和车间DCS系统通讯，控制程序需向业主开放。</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PLC 控制系统建议选用西门子S7-1200或S7-1500系列集成，采用PLC+上位机</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lang w:val="en-US" w:eastAsia="zh-CN"/>
          <w14:textFill>
            <w14:solidFill>
              <w14:schemeClr w14:val="tx1"/>
            </w14:solidFill>
          </w14:textFill>
        </w:rPr>
        <w:t>上位机3台，建议De</w:t>
      </w:r>
      <w:r>
        <w:rPr>
          <w:rFonts w:hint="eastAsia" w:cs="Arial"/>
          <w:color w:val="000000" w:themeColor="text1"/>
          <w:sz w:val="24"/>
          <w:highlight w:val="none"/>
          <w:lang w:val="en-US" w:eastAsia="zh-CN"/>
          <w14:textFill>
            <w14:solidFill>
              <w14:schemeClr w14:val="tx1"/>
            </w14:solidFill>
          </w14:textFill>
        </w:rPr>
        <w:t>ll、</w:t>
      </w:r>
      <w:r>
        <w:rPr>
          <w:rFonts w:hint="eastAsia" w:ascii="Times New Roman" w:hAnsi="Times New Roman" w:eastAsia="宋体" w:cs="Arial"/>
          <w:color w:val="000000" w:themeColor="text1"/>
          <w:sz w:val="24"/>
          <w:highlight w:val="none"/>
          <w:lang w:val="en-US" w:eastAsia="zh-CN"/>
          <w14:textFill>
            <w14:solidFill>
              <w14:schemeClr w14:val="tx1"/>
            </w14:solidFill>
          </w14:textFill>
        </w:rPr>
        <w:t>联想</w:t>
      </w:r>
      <w:r>
        <w:rPr>
          <w:rFonts w:hint="eastAsia" w:cs="Arial"/>
          <w:color w:val="000000" w:themeColor="text1"/>
          <w:sz w:val="24"/>
          <w:highlight w:val="none"/>
          <w:lang w:val="en-US" w:eastAsia="zh-CN"/>
          <w14:textFill>
            <w14:solidFill>
              <w14:schemeClr w14:val="tx1"/>
            </w14:solidFill>
          </w14:textFill>
        </w:rPr>
        <w:t>、惠普</w:t>
      </w:r>
      <w:r>
        <w:rPr>
          <w:rFonts w:hint="eastAsia" w:ascii="Times New Roman" w:hAnsi="Times New Roman" w:eastAsia="宋体" w:cs="Arial"/>
          <w:color w:val="000000" w:themeColor="text1"/>
          <w:sz w:val="24"/>
          <w:highlight w:val="none"/>
          <w:lang w:val="en-US" w:eastAsia="zh-CN"/>
          <w14:textFill>
            <w14:solidFill>
              <w14:schemeClr w14:val="tx1"/>
            </w14:solidFill>
          </w14:textFill>
        </w:rPr>
        <w:t>等主流品牌工作站i7+32G内存512G固态+1T机械+27寸液晶显示器。其中一台需敷设光纤远程在鼓风仪表室控制(250米）</w:t>
      </w:r>
      <w:r>
        <w:rPr>
          <w:rFonts w:hint="eastAsia" w:cs="Arial"/>
          <w:color w:val="000000" w:themeColor="text1"/>
          <w:sz w:val="24"/>
          <w:highlight w:val="none"/>
          <w:lang w:val="en-US"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，通讯接口支持modbus/profinet。</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强制检定仪表必须经法定机构检定合格并取得《检定证书》。</w:t>
      </w:r>
    </w:p>
    <w:p>
      <w:pPr>
        <w:spacing w:after="156" w:afterLines="50" w:line="460" w:lineRule="exact"/>
        <w:outlineLvl w:val="1"/>
        <w:rPr>
          <w:rFonts w:ascii="Times New Roman" w:hAnsi="Times New Roman" w:eastAsia="宋体" w:cs="Arial"/>
          <w:b/>
          <w:bCs/>
          <w:color w:val="000000" w:themeColor="text1"/>
          <w:sz w:val="24"/>
          <w:highlight w:val="none"/>
          <w14:textFill>
            <w14:solidFill>
              <w14:schemeClr w14:val="tx1"/>
            </w14:solidFill>
          </w14:textFill>
        </w:rPr>
      </w:pPr>
      <w:r>
        <w:rPr>
          <w:rFonts w:ascii="Times New Roman" w:hAnsi="Times New Roman" w:eastAsia="宋体" w:cs="Arial"/>
          <w:b/>
          <w:bCs/>
          <w:color w:val="000000" w:themeColor="text1"/>
          <w:sz w:val="24"/>
          <w:highlight w:val="none"/>
          <w14:textFill>
            <w14:solidFill>
              <w14:schemeClr w14:val="tx1"/>
            </w14:solidFill>
          </w14:textFill>
        </w:rPr>
        <w:t>6.2</w:t>
      </w:r>
      <w:r>
        <w:rPr>
          <w:rFonts w:hint="eastAsia" w:ascii="Times New Roman" w:hAnsi="Times New Roman" w:eastAsia="宋体" w:cs="Arial"/>
          <w:b/>
          <w:bCs/>
          <w:color w:val="000000" w:themeColor="text1"/>
          <w:sz w:val="24"/>
          <w:highlight w:val="none"/>
          <w14:textFill>
            <w14:solidFill>
              <w14:schemeClr w14:val="tx1"/>
            </w14:solidFill>
          </w14:textFill>
        </w:rPr>
        <w:t>检测、调节项目</w:t>
      </w:r>
    </w:p>
    <w:p>
      <w:pPr>
        <w:pStyle w:val="9"/>
        <w:spacing w:line="460" w:lineRule="exact"/>
        <w:ind w:firstLine="0"/>
        <w:outlineLvl w:val="2"/>
        <w:rPr>
          <w:rFonts w:ascii="Times New Roman" w:hAnsi="Times New Roman" w:eastAsia="宋体" w:cs="Arial"/>
          <w:b/>
          <w:color w:val="000000" w:themeColor="text1"/>
          <w:sz w:val="24"/>
          <w:szCs w:val="24"/>
          <w:highlight w:val="none"/>
          <w14:textFill>
            <w14:solidFill>
              <w14:schemeClr w14:val="tx1"/>
            </w14:solidFill>
          </w14:textFill>
        </w:rPr>
      </w:pPr>
      <w:r>
        <w:rPr>
          <w:rFonts w:ascii="Times New Roman" w:hAnsi="Times New Roman" w:eastAsia="宋体" w:cs="Arial"/>
          <w:b/>
          <w:color w:val="000000" w:themeColor="text1"/>
          <w:sz w:val="24"/>
          <w:szCs w:val="24"/>
          <w:highlight w:val="none"/>
          <w14:textFill>
            <w14:solidFill>
              <w14:schemeClr w14:val="tx1"/>
            </w14:solidFill>
          </w14:textFill>
        </w:rPr>
        <w:t>A</w:t>
      </w:r>
      <w:r>
        <w:rPr>
          <w:rFonts w:hint="eastAsia" w:ascii="Times New Roman" w:hAnsi="Times New Roman" w:eastAsia="宋体" w:cs="Arial"/>
          <w:b/>
          <w:color w:val="000000" w:themeColor="text1"/>
          <w:sz w:val="24"/>
          <w:szCs w:val="24"/>
          <w:highlight w:val="none"/>
          <w14:textFill>
            <w14:solidFill>
              <w14:schemeClr w14:val="tx1"/>
            </w14:solidFill>
          </w14:textFill>
        </w:rPr>
        <w:t>、磨煤系统：</w:t>
      </w:r>
    </w:p>
    <w:p>
      <w:pPr>
        <w:pStyle w:val="9"/>
        <w:spacing w:line="460" w:lineRule="exact"/>
        <w:ind w:firstLine="0"/>
        <w:rPr>
          <w:rFonts w:hint="eastAsia" w:ascii="Times New Roman" w:hAnsi="Times New Roman" w:eastAsia="宋体" w:cs="Arial"/>
          <w:color w:val="000000" w:themeColor="text1"/>
          <w:sz w:val="24"/>
          <w:szCs w:val="24"/>
          <w:highlight w:val="none"/>
          <w:lang w:eastAsia="zh-CN"/>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 xml:space="preserve">● </w:t>
      </w:r>
      <w:r>
        <w:rPr>
          <w:rFonts w:hint="eastAsia" w:ascii="Times New Roman" w:hAnsi="Times New Roman" w:eastAsia="宋体" w:cs="Arial"/>
          <w:color w:val="000000" w:themeColor="text1"/>
          <w:sz w:val="24"/>
          <w:szCs w:val="24"/>
          <w:highlight w:val="none"/>
          <w14:textFill>
            <w14:solidFill>
              <w14:schemeClr w14:val="tx1"/>
            </w14:solidFill>
          </w14:textFill>
        </w:rPr>
        <w:t>温度参数：磨机入口烟气温度、磨机出口烟气温度测量与控制、磨机及主排烟风机轴承温度、磨机稀油站油箱温度、磨机减速机轴瓦温度、磨机减速机进油管温度、布袋收粉器各粉斗温度、布袋收粉器进出口温度、粉煤仓温度点不少于</w:t>
      </w:r>
      <w:r>
        <w:rPr>
          <w:rFonts w:ascii="Times New Roman" w:hAnsi="Times New Roman" w:eastAsia="宋体" w:cs="Arial"/>
          <w:color w:val="000000" w:themeColor="text1"/>
          <w:sz w:val="24"/>
          <w:szCs w:val="24"/>
          <w:highlight w:val="none"/>
          <w14:textFill>
            <w14:solidFill>
              <w14:schemeClr w14:val="tx1"/>
            </w14:solidFill>
          </w14:textFill>
        </w:rPr>
        <w:t>7</w:t>
      </w:r>
      <w:r>
        <w:rPr>
          <w:rFonts w:hint="eastAsia" w:ascii="Times New Roman" w:hAnsi="Times New Roman" w:eastAsia="宋体" w:cs="Arial"/>
          <w:color w:val="000000" w:themeColor="text1"/>
          <w:sz w:val="24"/>
          <w:szCs w:val="24"/>
          <w:highlight w:val="none"/>
          <w:lang w:val="en-US" w:eastAsia="zh-CN"/>
          <w14:textFill>
            <w14:solidFill>
              <w14:schemeClr w14:val="tx1"/>
            </w14:solidFill>
          </w14:textFill>
        </w:rPr>
        <w:t>个</w:t>
      </w:r>
      <w:r>
        <w:rPr>
          <w:rFonts w:hint="eastAsia" w:cs="Arial"/>
          <w:color w:val="000000" w:themeColor="text1"/>
          <w:sz w:val="24"/>
          <w:szCs w:val="24"/>
          <w:highlight w:val="none"/>
          <w:lang w:eastAsia="zh-CN"/>
          <w14:textFill>
            <w14:solidFill>
              <w14:schemeClr w14:val="tx1"/>
            </w14:solidFill>
          </w14:textFill>
        </w:rPr>
        <w:t>；</w:t>
      </w:r>
    </w:p>
    <w:p>
      <w:pPr>
        <w:pStyle w:val="9"/>
        <w:spacing w:line="460" w:lineRule="exact"/>
        <w:ind w:firstLine="0"/>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 xml:space="preserve">● </w:t>
      </w:r>
      <w:r>
        <w:rPr>
          <w:rFonts w:hint="eastAsia" w:ascii="Times New Roman" w:hAnsi="Times New Roman" w:eastAsia="宋体" w:cs="Arial"/>
          <w:color w:val="000000" w:themeColor="text1"/>
          <w:sz w:val="24"/>
          <w:szCs w:val="24"/>
          <w:highlight w:val="none"/>
          <w14:textFill>
            <w14:solidFill>
              <w14:schemeClr w14:val="tx1"/>
            </w14:solidFill>
          </w14:textFill>
        </w:rPr>
        <w:t>压力参数：磨机入口烟气压力、磨机出口烟气压力测量与控制、磨机进出口烟气压差、磨机润滑油供油压力、磨机液压系统压力、布袋收粉器进出口压力、主排烟风机入口压力。参予</w:t>
      </w:r>
      <w:r>
        <w:rPr>
          <w:rFonts w:ascii="Times New Roman" w:hAnsi="Times New Roman" w:eastAsia="宋体" w:cs="Arial"/>
          <w:color w:val="000000" w:themeColor="text1"/>
          <w:sz w:val="24"/>
          <w:szCs w:val="24"/>
          <w:highlight w:val="none"/>
          <w14:textFill>
            <w14:solidFill>
              <w14:schemeClr w14:val="tx1"/>
            </w14:solidFill>
          </w14:textFill>
        </w:rPr>
        <w:t>PLC</w:t>
      </w:r>
      <w:r>
        <w:rPr>
          <w:rFonts w:hint="eastAsia" w:ascii="Times New Roman" w:hAnsi="Times New Roman" w:eastAsia="宋体" w:cs="Arial"/>
          <w:color w:val="000000" w:themeColor="text1"/>
          <w:sz w:val="24"/>
          <w:szCs w:val="24"/>
          <w:highlight w:val="none"/>
          <w14:textFill>
            <w14:solidFill>
              <w14:schemeClr w14:val="tx1"/>
            </w14:solidFill>
          </w14:textFill>
        </w:rPr>
        <w:t>联锁控制的主要压力检测点要加装防堵塞装置。储罐前的氮气总管压力、压缩空气总管压力只设现场仪表。</w:t>
      </w:r>
    </w:p>
    <w:p>
      <w:pPr>
        <w:pStyle w:val="9"/>
        <w:spacing w:line="460" w:lineRule="exact"/>
        <w:ind w:firstLine="0"/>
        <w:rPr>
          <w:rFonts w:hint="eastAsia" w:ascii="Times New Roman" w:hAnsi="Times New Roman" w:eastAsia="宋体" w:cs="Arial"/>
          <w:color w:val="000000" w:themeColor="text1"/>
          <w:sz w:val="24"/>
          <w:szCs w:val="24"/>
          <w:highlight w:val="none"/>
          <w:lang w:eastAsia="zh-CN"/>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 xml:space="preserve">● </w:t>
      </w:r>
      <w:r>
        <w:rPr>
          <w:rFonts w:hint="eastAsia" w:ascii="Times New Roman" w:hAnsi="Times New Roman" w:eastAsia="宋体" w:cs="Arial"/>
          <w:color w:val="000000" w:themeColor="text1"/>
          <w:sz w:val="24"/>
          <w:szCs w:val="24"/>
          <w:highlight w:val="none"/>
          <w14:textFill>
            <w14:solidFill>
              <w14:schemeClr w14:val="tx1"/>
            </w14:solidFill>
          </w14:textFill>
        </w:rPr>
        <w:t>流量参数：主排烟风机入口流量测量与控制</w:t>
      </w:r>
      <w:r>
        <w:rPr>
          <w:rFonts w:hint="eastAsia" w:cs="Arial"/>
          <w:color w:val="000000" w:themeColor="text1"/>
          <w:sz w:val="24"/>
          <w:szCs w:val="24"/>
          <w:highlight w:val="none"/>
          <w:lang w:eastAsia="zh-CN"/>
          <w14:textFill>
            <w14:solidFill>
              <w14:schemeClr w14:val="tx1"/>
            </w14:solidFill>
          </w14:textFill>
        </w:rPr>
        <w:t>；</w:t>
      </w:r>
    </w:p>
    <w:p>
      <w:pPr>
        <w:pStyle w:val="9"/>
        <w:spacing w:line="460" w:lineRule="exact"/>
        <w:ind w:firstLine="0"/>
        <w:rPr>
          <w:rFonts w:hint="eastAsia" w:ascii="Times New Roman" w:hAnsi="Times New Roman" w:eastAsia="宋体" w:cs="Arial"/>
          <w:color w:val="000000" w:themeColor="text1"/>
          <w:sz w:val="24"/>
          <w:szCs w:val="24"/>
          <w:highlight w:val="none"/>
          <w:lang w:eastAsia="zh-CN"/>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 xml:space="preserve">● </w:t>
      </w:r>
      <w:r>
        <w:rPr>
          <w:rFonts w:hint="eastAsia" w:ascii="Times New Roman" w:hAnsi="Times New Roman" w:eastAsia="宋体" w:cs="Arial"/>
          <w:color w:val="000000" w:themeColor="text1"/>
          <w:sz w:val="24"/>
          <w:szCs w:val="24"/>
          <w:highlight w:val="none"/>
          <w14:textFill>
            <w14:solidFill>
              <w14:schemeClr w14:val="tx1"/>
            </w14:solidFill>
          </w14:textFill>
        </w:rPr>
        <w:t>重量参数：粉煤仓粉煤秤重计量</w:t>
      </w:r>
      <w:r>
        <w:rPr>
          <w:rFonts w:hint="eastAsia" w:cs="Arial"/>
          <w:color w:val="000000" w:themeColor="text1"/>
          <w:sz w:val="24"/>
          <w:szCs w:val="24"/>
          <w:highlight w:val="none"/>
          <w:lang w:eastAsia="zh-CN"/>
          <w14:textFill>
            <w14:solidFill>
              <w14:schemeClr w14:val="tx1"/>
            </w14:solidFill>
          </w14:textFill>
        </w:rPr>
        <w:t>；</w:t>
      </w:r>
    </w:p>
    <w:p>
      <w:pPr>
        <w:pStyle w:val="9"/>
        <w:spacing w:line="460" w:lineRule="exact"/>
        <w:ind w:firstLine="0"/>
        <w:rPr>
          <w:rFonts w:ascii="Times New Roman" w:hAnsi="Times New Roman" w:eastAsia="宋体" w:cs="Arial"/>
          <w:color w:val="000000" w:themeColor="text1"/>
          <w:sz w:val="24"/>
          <w:szCs w:val="24"/>
          <w:highlight w:val="none"/>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 xml:space="preserve">● </w:t>
      </w:r>
      <w:r>
        <w:rPr>
          <w:rFonts w:hint="eastAsia" w:ascii="Times New Roman" w:hAnsi="Times New Roman" w:eastAsia="宋体" w:cs="Arial"/>
          <w:color w:val="000000" w:themeColor="text1"/>
          <w:sz w:val="24"/>
          <w:szCs w:val="24"/>
          <w:highlight w:val="none"/>
          <w14:textFill>
            <w14:solidFill>
              <w14:schemeClr w14:val="tx1"/>
            </w14:solidFill>
          </w14:textFill>
        </w:rPr>
        <w:t>其它参数：磨机烟气入口氧含量和一氧化碳含量、粉煤仓氧含量和一氧化碳含量、布袋收粉器出口氧含量和一氧化碳含量</w:t>
      </w:r>
      <w:r>
        <w:rPr>
          <w:rFonts w:hint="eastAsia" w:cs="Arial"/>
          <w:color w:val="000000" w:themeColor="text1"/>
          <w:sz w:val="24"/>
          <w:szCs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szCs w:val="24"/>
          <w:highlight w:val="none"/>
          <w14:textFill>
            <w14:solidFill>
              <w14:schemeClr w14:val="tx1"/>
            </w14:solidFill>
          </w14:textFill>
        </w:rPr>
        <w:t>原煤仓料位检测、风机出口阀开关检测、磨机主电机电流、主排烟风机电机电流。氮气储罐压力测量，压缩空气储罐压力测量。立式磨出口氧气含量在线监测。立式磨区域，粉煤仓区域，喷射泵区域低氧浓度报警器和报警控制器。</w:t>
      </w:r>
    </w:p>
    <w:p>
      <w:pPr>
        <w:pStyle w:val="9"/>
        <w:spacing w:line="460" w:lineRule="exact"/>
        <w:ind w:firstLine="0"/>
        <w:outlineLvl w:val="2"/>
        <w:rPr>
          <w:rFonts w:ascii="Times New Roman" w:hAnsi="Times New Roman" w:eastAsia="宋体" w:cs="Arial"/>
          <w:b/>
          <w:color w:val="000000" w:themeColor="text1"/>
          <w:sz w:val="24"/>
          <w:szCs w:val="24"/>
          <w:highlight w:val="none"/>
          <w14:textFill>
            <w14:solidFill>
              <w14:schemeClr w14:val="tx1"/>
            </w14:solidFill>
          </w14:textFill>
        </w:rPr>
      </w:pPr>
      <w:r>
        <w:rPr>
          <w:rFonts w:ascii="Times New Roman" w:hAnsi="Times New Roman" w:eastAsia="宋体" w:cs="Arial"/>
          <w:b/>
          <w:color w:val="000000" w:themeColor="text1"/>
          <w:sz w:val="24"/>
          <w:szCs w:val="24"/>
          <w:highlight w:val="none"/>
          <w14:textFill>
            <w14:solidFill>
              <w14:schemeClr w14:val="tx1"/>
            </w14:solidFill>
          </w14:textFill>
        </w:rPr>
        <w:t>B</w:t>
      </w:r>
      <w:r>
        <w:rPr>
          <w:rFonts w:hint="eastAsia" w:ascii="Times New Roman" w:hAnsi="Times New Roman" w:eastAsia="宋体" w:cs="Arial"/>
          <w:b/>
          <w:color w:val="000000" w:themeColor="text1"/>
          <w:sz w:val="24"/>
          <w:szCs w:val="24"/>
          <w:highlight w:val="none"/>
          <w14:textFill>
            <w14:solidFill>
              <w14:schemeClr w14:val="tx1"/>
            </w14:solidFill>
          </w14:textFill>
        </w:rPr>
        <w:t>、粉煤输送系统</w:t>
      </w:r>
    </w:p>
    <w:p>
      <w:pPr>
        <w:pStyle w:val="9"/>
        <w:spacing w:line="460" w:lineRule="exact"/>
        <w:ind w:firstLine="0"/>
        <w:rPr>
          <w:rFonts w:hint="eastAsia" w:ascii="Times New Roman" w:hAnsi="Times New Roman" w:eastAsia="宋体" w:cs="Arial"/>
          <w:color w:val="000000" w:themeColor="text1"/>
          <w:sz w:val="24"/>
          <w:szCs w:val="24"/>
          <w:highlight w:val="none"/>
          <w:lang w:eastAsia="zh-CN"/>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 xml:space="preserve">● </w:t>
      </w:r>
      <w:r>
        <w:rPr>
          <w:rFonts w:hint="eastAsia" w:ascii="Times New Roman" w:hAnsi="Times New Roman" w:eastAsia="宋体" w:cs="Arial"/>
          <w:color w:val="000000" w:themeColor="text1"/>
          <w:sz w:val="24"/>
          <w:szCs w:val="24"/>
          <w:highlight w:val="none"/>
          <w14:textFill>
            <w14:solidFill>
              <w14:schemeClr w14:val="tx1"/>
            </w14:solidFill>
          </w14:textFill>
        </w:rPr>
        <w:t>温度参数：</w:t>
      </w:r>
      <w:r>
        <w:rPr>
          <w:rFonts w:hint="eastAsia" w:ascii="Times New Roman" w:hAnsi="Times New Roman" w:eastAsia="宋体" w:cs="Arial"/>
          <w:color w:val="000000" w:themeColor="text1"/>
          <w:sz w:val="24"/>
          <w:highlight w:val="none"/>
          <w14:textFill>
            <w14:solidFill>
              <w14:schemeClr w14:val="tx1"/>
            </w14:solidFill>
          </w14:textFill>
        </w:rPr>
        <w:t>单罐定量喷吹、</w:t>
      </w:r>
      <w:r>
        <w:rPr>
          <w:rFonts w:hint="eastAsia" w:ascii="Times New Roman" w:hAnsi="Times New Roman" w:eastAsia="宋体" w:cs="Arial"/>
          <w:color w:val="000000" w:themeColor="text1"/>
          <w:sz w:val="24"/>
          <w:szCs w:val="24"/>
          <w:highlight w:val="none"/>
          <w14:textFill>
            <w14:solidFill>
              <w14:schemeClr w14:val="tx1"/>
            </w14:solidFill>
          </w14:textFill>
        </w:rPr>
        <w:t>仓式泵本体温度测量、输粉管道温度测量</w:t>
      </w:r>
      <w:r>
        <w:rPr>
          <w:rFonts w:hint="eastAsia" w:cs="Arial"/>
          <w:color w:val="000000" w:themeColor="text1"/>
          <w:sz w:val="24"/>
          <w:szCs w:val="24"/>
          <w:highlight w:val="none"/>
          <w:lang w:eastAsia="zh-CN"/>
          <w14:textFill>
            <w14:solidFill>
              <w14:schemeClr w14:val="tx1"/>
            </w14:solidFill>
          </w14:textFill>
        </w:rPr>
        <w:t>；</w:t>
      </w:r>
    </w:p>
    <w:p>
      <w:pPr>
        <w:pStyle w:val="9"/>
        <w:spacing w:line="460" w:lineRule="exact"/>
        <w:ind w:firstLine="0"/>
        <w:rPr>
          <w:rFonts w:hint="eastAsia" w:ascii="Times New Roman" w:hAnsi="Times New Roman" w:eastAsia="宋体" w:cs="Arial"/>
          <w:color w:val="000000" w:themeColor="text1"/>
          <w:sz w:val="24"/>
          <w:szCs w:val="24"/>
          <w:highlight w:val="none"/>
          <w:lang w:eastAsia="zh-CN"/>
          <w14:textFill>
            <w14:solidFill>
              <w14:schemeClr w14:val="tx1"/>
            </w14:solidFill>
          </w14:textFill>
        </w:rPr>
      </w:pPr>
      <w:r>
        <w:rPr>
          <w:rFonts w:ascii="Times New Roman" w:hAnsi="Times New Roman" w:eastAsia="宋体" w:cs="Arial"/>
          <w:color w:val="000000" w:themeColor="text1"/>
          <w:sz w:val="24"/>
          <w:szCs w:val="24"/>
          <w:highlight w:val="none"/>
          <w14:textFill>
            <w14:solidFill>
              <w14:schemeClr w14:val="tx1"/>
            </w14:solidFill>
          </w14:textFill>
        </w:rPr>
        <w:t xml:space="preserve">● </w:t>
      </w:r>
      <w:r>
        <w:rPr>
          <w:rFonts w:hint="eastAsia" w:ascii="Times New Roman" w:hAnsi="Times New Roman" w:eastAsia="宋体" w:cs="Arial"/>
          <w:color w:val="000000" w:themeColor="text1"/>
          <w:sz w:val="24"/>
          <w:szCs w:val="24"/>
          <w:highlight w:val="none"/>
          <w14:textFill>
            <w14:solidFill>
              <w14:schemeClr w14:val="tx1"/>
            </w14:solidFill>
          </w14:textFill>
        </w:rPr>
        <w:t>压力参数：仓泵主进气压力测量与控制、仓泵本体，输煤管道气粉混合压力测量</w:t>
      </w:r>
      <w:r>
        <w:rPr>
          <w:rFonts w:hint="eastAsia" w:cs="Arial"/>
          <w:color w:val="000000" w:themeColor="text1"/>
          <w:sz w:val="24"/>
          <w:szCs w:val="24"/>
          <w:highlight w:val="none"/>
          <w:lang w:eastAsia="zh-CN"/>
          <w14:textFill>
            <w14:solidFill>
              <w14:schemeClr w14:val="tx1"/>
            </w14:solidFill>
          </w14:textFill>
        </w:rPr>
        <w:t>；</w:t>
      </w:r>
    </w:p>
    <w:p>
      <w:pPr>
        <w:pStyle w:val="9"/>
        <w:spacing w:line="460" w:lineRule="exact"/>
        <w:ind w:firstLine="0"/>
        <w:rPr>
          <w:rFonts w:hint="eastAsia" w:ascii="Times New Roman" w:hAnsi="Times New Roman" w:eastAsia="宋体" w:cs="Arial"/>
          <w:color w:val="000000" w:themeColor="text1"/>
          <w:sz w:val="24"/>
          <w:highlight w:val="none"/>
          <w:lang w:eastAsia="zh-CN"/>
          <w14:textFill>
            <w14:solidFill>
              <w14:schemeClr w14:val="tx1"/>
            </w14:solidFill>
          </w14:textFill>
        </w:rPr>
      </w:pPr>
      <w:r>
        <w:rPr>
          <w:rFonts w:ascii="Times New Roman" w:hAnsi="Times New Roman" w:eastAsia="宋体" w:cs="Arial"/>
          <w:color w:val="000000" w:themeColor="text1"/>
          <w:sz w:val="24"/>
          <w:highlight w:val="none"/>
          <w14:textFill>
            <w14:solidFill>
              <w14:schemeClr w14:val="tx1"/>
            </w14:solidFill>
          </w14:textFill>
        </w:rPr>
        <w:t xml:space="preserve">●  </w:t>
      </w:r>
      <w:r>
        <w:rPr>
          <w:rFonts w:hint="eastAsia" w:ascii="Times New Roman" w:hAnsi="Times New Roman" w:eastAsia="宋体" w:cs="Arial"/>
          <w:color w:val="000000" w:themeColor="text1"/>
          <w:sz w:val="24"/>
          <w:highlight w:val="none"/>
          <w14:textFill>
            <w14:solidFill>
              <w14:schemeClr w14:val="tx1"/>
            </w14:solidFill>
          </w14:textFill>
        </w:rPr>
        <w:t>料位参数：仓式泵料位测量</w:t>
      </w:r>
      <w:r>
        <w:rPr>
          <w:rFonts w:hint="eastAsia" w:cs="Arial"/>
          <w:color w:val="000000" w:themeColor="text1"/>
          <w:sz w:val="24"/>
          <w:highlight w:val="none"/>
          <w:lang w:eastAsia="zh-CN"/>
          <w14:textFill>
            <w14:solidFill>
              <w14:schemeClr w14:val="tx1"/>
            </w14:solidFill>
          </w14:textFill>
        </w:rPr>
        <w:t>；</w:t>
      </w:r>
    </w:p>
    <w:p>
      <w:pPr>
        <w:pStyle w:val="9"/>
        <w:spacing w:line="460" w:lineRule="exact"/>
        <w:ind w:firstLine="0"/>
        <w:rPr>
          <w:rFonts w:ascii="Times New Roman" w:hAnsi="Times New Roman" w:eastAsia="宋体" w:cs="Arial"/>
          <w:color w:val="000000" w:themeColor="text1"/>
          <w:sz w:val="24"/>
          <w:highlight w:val="none"/>
          <w14:textFill>
            <w14:solidFill>
              <w14:schemeClr w14:val="tx1"/>
            </w14:solidFill>
          </w14:textFill>
        </w:rPr>
      </w:pPr>
      <w:r>
        <w:rPr>
          <w:rFonts w:ascii="Times New Roman" w:hAnsi="Times New Roman" w:eastAsia="宋体" w:cs="Arial"/>
          <w:color w:val="000000" w:themeColor="text1"/>
          <w:sz w:val="24"/>
          <w:highlight w:val="none"/>
          <w14:textFill>
            <w14:solidFill>
              <w14:schemeClr w14:val="tx1"/>
            </w14:solidFill>
          </w14:textFill>
        </w:rPr>
        <w:t xml:space="preserve">●  </w:t>
      </w:r>
      <w:r>
        <w:rPr>
          <w:rFonts w:hint="eastAsia" w:ascii="Times New Roman" w:hAnsi="Times New Roman" w:eastAsia="宋体" w:cs="Arial"/>
          <w:color w:val="000000" w:themeColor="text1"/>
          <w:sz w:val="24"/>
          <w:highlight w:val="none"/>
          <w14:textFill>
            <w14:solidFill>
              <w14:schemeClr w14:val="tx1"/>
            </w14:solidFill>
          </w14:textFill>
        </w:rPr>
        <w:t>其它参数：主输送气</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压缩气）流量测量。</w:t>
      </w:r>
    </w:p>
    <w:p>
      <w:pPr>
        <w:pStyle w:val="9"/>
        <w:spacing w:line="460" w:lineRule="exact"/>
        <w:ind w:firstLine="0"/>
        <w:outlineLvl w:val="2"/>
        <w:rPr>
          <w:rFonts w:ascii="Times New Roman" w:hAnsi="Times New Roman" w:eastAsia="宋体" w:cs="Arial"/>
          <w:b/>
          <w:color w:val="000000" w:themeColor="text1"/>
          <w:sz w:val="24"/>
          <w:szCs w:val="24"/>
          <w:highlight w:val="none"/>
          <w14:textFill>
            <w14:solidFill>
              <w14:schemeClr w14:val="tx1"/>
            </w14:solidFill>
          </w14:textFill>
        </w:rPr>
      </w:pPr>
      <w:r>
        <w:rPr>
          <w:rFonts w:ascii="Times New Roman" w:hAnsi="Times New Roman" w:eastAsia="宋体" w:cs="Arial"/>
          <w:b/>
          <w:color w:val="000000" w:themeColor="text1"/>
          <w:sz w:val="24"/>
          <w:szCs w:val="24"/>
          <w:highlight w:val="none"/>
          <w14:textFill>
            <w14:solidFill>
              <w14:schemeClr w14:val="tx1"/>
            </w14:solidFill>
          </w14:textFill>
        </w:rPr>
        <w:t>C</w:t>
      </w:r>
      <w:r>
        <w:rPr>
          <w:rFonts w:hint="eastAsia" w:ascii="Times New Roman" w:hAnsi="Times New Roman" w:eastAsia="宋体" w:cs="Arial"/>
          <w:b/>
          <w:color w:val="000000" w:themeColor="text1"/>
          <w:sz w:val="24"/>
          <w:szCs w:val="24"/>
          <w:highlight w:val="none"/>
          <w14:textFill>
            <w14:solidFill>
              <w14:schemeClr w14:val="tx1"/>
            </w14:solidFill>
          </w14:textFill>
        </w:rPr>
        <w:t>、干燥系统：</w:t>
      </w:r>
    </w:p>
    <w:p>
      <w:pPr>
        <w:pStyle w:val="9"/>
        <w:spacing w:line="460" w:lineRule="exact"/>
        <w:ind w:firstLine="0"/>
        <w:rPr>
          <w:rFonts w:hint="eastAsia" w:ascii="Times New Roman" w:hAnsi="Times New Roman" w:eastAsia="宋体" w:cs="Arial"/>
          <w:color w:val="000000" w:themeColor="text1"/>
          <w:sz w:val="24"/>
          <w:highlight w:val="none"/>
          <w:lang w:eastAsia="zh-CN"/>
          <w14:textFill>
            <w14:solidFill>
              <w14:schemeClr w14:val="tx1"/>
            </w14:solidFill>
          </w14:textFill>
        </w:rPr>
      </w:pPr>
      <w:r>
        <w:rPr>
          <w:rFonts w:ascii="Times New Roman" w:hAnsi="Times New Roman" w:eastAsia="宋体" w:cs="Arial"/>
          <w:color w:val="000000" w:themeColor="text1"/>
          <w:sz w:val="24"/>
          <w:highlight w:val="none"/>
          <w14:textFill>
            <w14:solidFill>
              <w14:schemeClr w14:val="tx1"/>
            </w14:solidFill>
          </w14:textFill>
        </w:rPr>
        <w:t xml:space="preserve">● </w:t>
      </w:r>
      <w:r>
        <w:rPr>
          <w:rFonts w:hint="eastAsia" w:ascii="Times New Roman" w:hAnsi="Times New Roman" w:eastAsia="宋体" w:cs="Arial"/>
          <w:color w:val="000000" w:themeColor="text1"/>
          <w:sz w:val="24"/>
          <w:highlight w:val="none"/>
          <w14:textFill>
            <w14:solidFill>
              <w14:schemeClr w14:val="tx1"/>
            </w14:solidFill>
          </w14:textFill>
        </w:rPr>
        <w:t>温度参数：炉膛温度、出口温度、环废烟气温度、混风后热烟气温度</w:t>
      </w:r>
      <w:r>
        <w:rPr>
          <w:rFonts w:hint="eastAsia" w:cs="Arial"/>
          <w:color w:val="000000" w:themeColor="text1"/>
          <w:sz w:val="24"/>
          <w:highlight w:val="none"/>
          <w:lang w:eastAsia="zh-CN"/>
          <w14:textFill>
            <w14:solidFill>
              <w14:schemeClr w14:val="tx1"/>
            </w14:solidFill>
          </w14:textFill>
        </w:rPr>
        <w:t>；</w:t>
      </w:r>
    </w:p>
    <w:p>
      <w:pPr>
        <w:pStyle w:val="9"/>
        <w:spacing w:line="460" w:lineRule="exact"/>
        <w:ind w:firstLine="0"/>
        <w:rPr>
          <w:rFonts w:hint="eastAsia" w:ascii="Times New Roman" w:hAnsi="Times New Roman" w:eastAsia="宋体" w:cs="Arial"/>
          <w:color w:val="000000" w:themeColor="text1"/>
          <w:sz w:val="24"/>
          <w:highlight w:val="none"/>
          <w:lang w:eastAsia="zh-CN"/>
          <w14:textFill>
            <w14:solidFill>
              <w14:schemeClr w14:val="tx1"/>
            </w14:solidFill>
          </w14:textFill>
        </w:rPr>
      </w:pPr>
      <w:r>
        <w:rPr>
          <w:rFonts w:ascii="Times New Roman" w:hAnsi="Times New Roman" w:eastAsia="宋体" w:cs="Arial"/>
          <w:color w:val="000000" w:themeColor="text1"/>
          <w:sz w:val="24"/>
          <w:highlight w:val="none"/>
          <w14:textFill>
            <w14:solidFill>
              <w14:schemeClr w14:val="tx1"/>
            </w14:solidFill>
          </w14:textFill>
        </w:rPr>
        <w:t xml:space="preserve">● </w:t>
      </w:r>
      <w:r>
        <w:rPr>
          <w:rFonts w:hint="eastAsia" w:ascii="Times New Roman" w:hAnsi="Times New Roman" w:eastAsia="宋体" w:cs="Arial"/>
          <w:color w:val="000000" w:themeColor="text1"/>
          <w:sz w:val="24"/>
          <w:highlight w:val="none"/>
          <w14:textFill>
            <w14:solidFill>
              <w14:schemeClr w14:val="tx1"/>
            </w14:solidFill>
          </w14:textFill>
        </w:rPr>
        <w:t>压力参数：炉膛压力、粉煤风压力、废烟气压力、混风后热烟气压力</w:t>
      </w:r>
      <w:r>
        <w:rPr>
          <w:rFonts w:hint="eastAsia" w:cs="Arial"/>
          <w:color w:val="000000" w:themeColor="text1"/>
          <w:sz w:val="24"/>
          <w:highlight w:val="none"/>
          <w:lang w:eastAsia="zh-CN"/>
          <w14:textFill>
            <w14:solidFill>
              <w14:schemeClr w14:val="tx1"/>
            </w14:solidFill>
          </w14:textFill>
        </w:rPr>
        <w:t>；</w:t>
      </w:r>
    </w:p>
    <w:p>
      <w:pPr>
        <w:pStyle w:val="9"/>
        <w:spacing w:line="460" w:lineRule="exact"/>
        <w:ind w:firstLine="0"/>
        <w:rPr>
          <w:rFonts w:ascii="Times New Roman" w:hAnsi="Times New Roman" w:eastAsia="宋体" w:cs="Arial"/>
          <w:color w:val="000000" w:themeColor="text1"/>
          <w:sz w:val="24"/>
          <w:highlight w:val="none"/>
          <w14:textFill>
            <w14:solidFill>
              <w14:schemeClr w14:val="tx1"/>
            </w14:solidFill>
          </w14:textFill>
        </w:rPr>
      </w:pPr>
      <w:r>
        <w:rPr>
          <w:rFonts w:ascii="Times New Roman" w:hAnsi="Times New Roman" w:eastAsia="宋体" w:cs="Arial"/>
          <w:color w:val="000000" w:themeColor="text1"/>
          <w:sz w:val="24"/>
          <w:highlight w:val="none"/>
          <w14:textFill>
            <w14:solidFill>
              <w14:schemeClr w14:val="tx1"/>
            </w14:solidFill>
          </w14:textFill>
        </w:rPr>
        <w:t xml:space="preserve">● </w:t>
      </w:r>
      <w:r>
        <w:rPr>
          <w:rFonts w:hint="eastAsia" w:ascii="Times New Roman" w:hAnsi="Times New Roman" w:eastAsia="宋体" w:cs="Arial"/>
          <w:color w:val="000000" w:themeColor="text1"/>
          <w:sz w:val="24"/>
          <w:highlight w:val="none"/>
          <w14:textFill>
            <w14:solidFill>
              <w14:schemeClr w14:val="tx1"/>
            </w14:solidFill>
          </w14:textFill>
        </w:rPr>
        <w:t>流量参数：粉煤风流量、助燃空气管道流量、废气流量测量与控制。</w:t>
      </w:r>
    </w:p>
    <w:p>
      <w:pPr>
        <w:spacing w:line="460" w:lineRule="exact"/>
        <w:ind w:firstLine="482" w:firstLineChars="200"/>
        <w:jc w:val="left"/>
        <w:rPr>
          <w:rFonts w:ascii="Times New Roman" w:hAnsi="Times New Roman" w:eastAsia="宋体"/>
          <w:b/>
          <w:bCs/>
          <w:color w:val="000000" w:themeColor="text1"/>
          <w:sz w:val="24"/>
          <w:szCs w:val="24"/>
          <w:highlight w:val="none"/>
          <w14:textFill>
            <w14:solidFill>
              <w14:schemeClr w14:val="tx1"/>
            </w14:solidFill>
          </w14:textFill>
        </w:rPr>
      </w:pPr>
      <w:r>
        <w:rPr>
          <w:rFonts w:hint="eastAsia" w:ascii="Times New Roman" w:hAnsi="Times New Roman" w:eastAsia="宋体"/>
          <w:b/>
          <w:bCs/>
          <w:color w:val="000000" w:themeColor="text1"/>
          <w:sz w:val="24"/>
          <w:szCs w:val="24"/>
          <w:highlight w:val="none"/>
          <w14:textFill>
            <w14:solidFill>
              <w14:schemeClr w14:val="tx1"/>
            </w14:solidFill>
          </w14:textFill>
        </w:rPr>
        <w:t>七、界区条件</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1、包括所述技术条件的全部设备和机器</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含安装</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lang w:val="en-US" w:eastAsia="zh-CN"/>
          <w14:textFill>
            <w14:solidFill>
              <w14:schemeClr w14:val="tx1"/>
            </w14:solidFill>
          </w14:textFill>
        </w:rPr>
        <w:t>调试</w:t>
      </w:r>
      <w:r>
        <w:rPr>
          <w:rFonts w:hint="eastAsia" w:ascii="Times New Roman" w:hAnsi="Times New Roman" w:eastAsia="宋体" w:cs="Arial"/>
          <w:color w:val="000000" w:themeColor="text1"/>
          <w:sz w:val="24"/>
          <w:highlight w:val="none"/>
          <w14:textFill>
            <w14:solidFill>
              <w14:schemeClr w14:val="tx1"/>
            </w14:solidFill>
          </w14:textFill>
        </w:rPr>
        <w:t>、报检）。</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整套设备</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包括配套附件），包括</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但不限于以下内容）如下：</w:t>
      </w:r>
    </w:p>
    <w:p>
      <w:pPr>
        <w:pStyle w:val="9"/>
        <w:spacing w:line="460" w:lineRule="exact"/>
        <w:ind w:firstLine="480" w:firstLineChars="200"/>
        <w:rPr>
          <w:rFonts w:hint="eastAsia" w:ascii="Times New Roman" w:hAnsi="Times New Roman" w:eastAsia="宋体" w:cs="Arial"/>
          <w:color w:val="000000" w:themeColor="text1"/>
          <w:sz w:val="24"/>
          <w:highlight w:val="none"/>
          <w:lang w:eastAsia="zh-CN"/>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提供保障设备正常运行的随机附件、专用维修工具</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lang w:val="en-US" w:eastAsia="zh-CN"/>
          <w14:textFill>
            <w14:solidFill>
              <w14:schemeClr w14:val="tx1"/>
            </w14:solidFill>
          </w14:textFill>
        </w:rPr>
        <w:t>易损件</w:t>
      </w:r>
      <w:r>
        <w:rPr>
          <w:rFonts w:hint="eastAsia"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自带设备本体测温装置</w:t>
      </w:r>
      <w:r>
        <w:rPr>
          <w:rFonts w:hint="eastAsia"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自带进、出料口配对法兰及紧固件</w:t>
      </w:r>
      <w:r>
        <w:rPr>
          <w:rFonts w:hint="eastAsia"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配套电气以及电控柜</w:t>
      </w:r>
      <w:r>
        <w:rPr>
          <w:rFonts w:hint="eastAsia" w:cs="Arial"/>
          <w:color w:val="000000" w:themeColor="text1"/>
          <w:sz w:val="24"/>
          <w:highlight w:val="none"/>
          <w:lang w:eastAsia="zh-CN"/>
          <w14:textFill>
            <w14:solidFill>
              <w14:schemeClr w14:val="tx1"/>
            </w14:solidFill>
          </w14:textFill>
        </w:rPr>
        <w:t>；</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2、厂商提供的设计图纸中应说明所提供的螺栓和调节片的材料和尺寸</w:t>
      </w:r>
      <w:r>
        <w:rPr>
          <w:rFonts w:hint="eastAsia"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需要预留孔洞的设备，须提供预留孔的技术要求，包括且不限于预留孔的大小、深度、地脚螺栓规格，并负责地脚螺栓、螺母和垫圈的供货</w:t>
      </w:r>
      <w:r>
        <w:rPr>
          <w:rFonts w:hint="eastAsia"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需要预埋地脚螺栓的设备，须提供螺栓规格、伸出高度、埋地深度等技术要求。</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3、设备电控装置由厂家配套提供。</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4、电控柜至用电设备之间的电缆、桥架、保护管及安装材料由厂家提供。</w:t>
      </w:r>
    </w:p>
    <w:p>
      <w:pPr>
        <w:pStyle w:val="9"/>
        <w:spacing w:line="460" w:lineRule="exact"/>
        <w:ind w:firstLine="0"/>
        <w:rPr>
          <w:rFonts w:hint="eastAsia"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所有电气设备配置总的电源柜，甲方只负责将总电源送至电源柜内。</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5、电控柜选用固定柜。厂家应将所供设备的电控装置集成于配电柜内</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现场有要求控制箱的应同时配置），现有粉煤配电室可提供380V交流电源，配电室内最多可放置四面新的低压配电柜</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宽800mm标准GGD柜）。分界点为现有配电柜的母线</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从母线上连接至新柜）。</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6、粉煤制备车间所有仪表、阀门、DCS系统、设备成套PLC之间的电缆、桥架、保护管及安装材料等均由厂家提供。</w:t>
      </w:r>
    </w:p>
    <w:p>
      <w:pPr>
        <w:pStyle w:val="9"/>
        <w:spacing w:line="460" w:lineRule="exact"/>
        <w:ind w:firstLine="480" w:firstLineChars="200"/>
        <w:rPr>
          <w:rFonts w:hint="eastAsia"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7、要求厂家提供粉煤车间爆炸危险区划分图。</w:t>
      </w:r>
    </w:p>
    <w:p>
      <w:pPr>
        <w:pStyle w:val="9"/>
        <w:spacing w:line="460" w:lineRule="exact"/>
        <w:ind w:firstLine="480" w:firstLineChars="200"/>
        <w:rPr>
          <w:rFonts w:hint="default" w:ascii="Times New Roman" w:hAnsi="Times New Roman" w:eastAsia="宋体" w:cs="Arial"/>
          <w:color w:val="000000" w:themeColor="text1"/>
          <w:sz w:val="24"/>
          <w:highlight w:val="none"/>
          <w:lang w:val="en-US" w:eastAsia="zh-CN"/>
          <w14:textFill>
            <w14:solidFill>
              <w14:schemeClr w14:val="tx1"/>
            </w14:solidFill>
          </w14:textFill>
        </w:rPr>
      </w:pPr>
      <w:r>
        <w:rPr>
          <w:rFonts w:hint="eastAsia" w:ascii="Times New Roman" w:hAnsi="Times New Roman" w:eastAsia="宋体" w:cs="Arial"/>
          <w:color w:val="000000" w:themeColor="text1"/>
          <w:sz w:val="24"/>
          <w:highlight w:val="none"/>
          <w:lang w:val="en-US" w:eastAsia="zh-CN"/>
          <w14:textFill>
            <w14:solidFill>
              <w14:schemeClr w14:val="tx1"/>
            </w14:solidFill>
          </w14:textFill>
        </w:rPr>
        <w:t>8、厂家提供易损件清单。</w:t>
      </w:r>
    </w:p>
    <w:p>
      <w:pPr>
        <w:spacing w:line="460" w:lineRule="exact"/>
        <w:jc w:val="left"/>
        <w:outlineLvl w:val="0"/>
        <w:rPr>
          <w:rFonts w:ascii="Times New Roman" w:hAnsi="Times New Roman" w:eastAsia="宋体" w:cs="Arial"/>
          <w:b/>
          <w:bCs/>
          <w:color w:val="000000" w:themeColor="text1"/>
          <w:sz w:val="28"/>
          <w:szCs w:val="28"/>
          <w:highlight w:val="none"/>
          <w14:textFill>
            <w14:solidFill>
              <w14:schemeClr w14:val="tx1"/>
            </w14:solidFill>
          </w14:textFill>
        </w:rPr>
      </w:pPr>
      <w:r>
        <w:rPr>
          <w:rFonts w:hint="eastAsia" w:ascii="Times New Roman" w:hAnsi="Times New Roman" w:eastAsia="宋体" w:cs="Arial"/>
          <w:b/>
          <w:bCs/>
          <w:color w:val="000000" w:themeColor="text1"/>
          <w:sz w:val="28"/>
          <w:szCs w:val="28"/>
          <w:highlight w:val="none"/>
          <w14:textFill>
            <w14:solidFill>
              <w14:schemeClr w14:val="tx1"/>
            </w14:solidFill>
          </w14:textFill>
        </w:rPr>
        <w:t>八、提供工程设计技术资料及要求</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厂家应向设计单位提供：</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1）设备总装图</w:t>
      </w:r>
      <w:r>
        <w:rPr>
          <w:rFonts w:hint="eastAsia" w:cs="Arial"/>
          <w:color w:val="000000" w:themeColor="text1"/>
          <w:sz w:val="24"/>
          <w:highlight w:val="none"/>
          <w:lang w:eastAsia="zh-CN"/>
          <w14:textFill>
            <w14:solidFill>
              <w14:schemeClr w14:val="tx1"/>
            </w14:solidFill>
          </w14:textFill>
        </w:rPr>
        <w:t>及设备配置图</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含设备外形尺寸图，平面布置图，正视图，侧视图，并有详细尺寸和安装尺寸等）、设备安装基础图</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包括基础荷重、动负荷参数和安装要求等）</w:t>
      </w:r>
      <w:r>
        <w:rPr>
          <w:rFonts w:hint="eastAsia"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管线接口图、技术性能说明、维护和操作手册、易损件及消耗件图等。</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2）电气设施：设备总装机容量，电气设备清单及参数</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含电动机型号、功率、额定电流等）</w:t>
      </w:r>
      <w:r>
        <w:rPr>
          <w:rFonts w:hint="eastAsia"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电气一次系统图、二次控制原理图、端子接线图、管线表。成套电气装置</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含电源柜、盘、操作箱）尺寸图及其布置图等。</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3）仪表：P＆ID，接线图， I/O信号清单，电缆清册，联锁逻辑图，控制说明，成套控制柜箱</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尺寸图及布置图，通讯协议、仪表通讯输出等。</w:t>
      </w:r>
    </w:p>
    <w:p>
      <w:pPr>
        <w:pStyle w:val="9"/>
        <w:spacing w:line="460" w:lineRule="exact"/>
        <w:ind w:firstLine="480" w:firstLineChars="200"/>
        <w:rPr>
          <w:rFonts w:ascii="Times New Roman" w:hAnsi="Times New Roman" w:eastAsia="宋体" w:cs="Arial"/>
          <w:color w:val="000000" w:themeColor="text1"/>
          <w:sz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4）配套公辅设施的技术参数。</w:t>
      </w:r>
    </w:p>
    <w:p>
      <w:pPr>
        <w:pStyle w:val="9"/>
        <w:spacing w:line="460" w:lineRule="exact"/>
        <w:ind w:firstLine="480" w:firstLineChars="200"/>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s="Arial"/>
          <w:color w:val="000000" w:themeColor="text1"/>
          <w:sz w:val="24"/>
          <w:highlight w:val="none"/>
          <w14:textFill>
            <w14:solidFill>
              <w14:schemeClr w14:val="tx1"/>
            </w14:solidFill>
          </w14:textFill>
        </w:rPr>
        <w:t>5）资料提供：硬拷贝及电子版</w:t>
      </w:r>
      <w:r>
        <w:rPr>
          <w:rFonts w:hint="eastAsia" w:ascii="Times New Roman" w:hAnsi="Times New Roman" w:eastAsia="宋体" w:cs="Arial"/>
          <w:color w:val="000000" w:themeColor="text1"/>
          <w:sz w:val="24"/>
          <w:highlight w:val="none"/>
          <w:lang w:eastAsia="zh-CN"/>
          <w14:textFill>
            <w14:solidFill>
              <w14:schemeClr w14:val="tx1"/>
            </w14:solidFill>
          </w14:textFill>
        </w:rPr>
        <w:t>（</w:t>
      </w:r>
      <w:r>
        <w:rPr>
          <w:rFonts w:hint="eastAsia" w:ascii="Times New Roman" w:hAnsi="Times New Roman" w:eastAsia="宋体" w:cs="Arial"/>
          <w:color w:val="000000" w:themeColor="text1"/>
          <w:sz w:val="24"/>
          <w:highlight w:val="none"/>
          <w14:textFill>
            <w14:solidFill>
              <w14:schemeClr w14:val="tx1"/>
            </w14:solidFill>
          </w14:textFill>
        </w:rPr>
        <w:t>文档为Word/Excel格式，图纸为CAD.dwg格式）。</w:t>
      </w:r>
    </w:p>
    <w:p>
      <w:pPr>
        <w:pStyle w:val="11"/>
        <w:rPr>
          <w:rFonts w:hint="eastAsia"/>
          <w:color w:val="000000"/>
          <w:highlight w:val="none"/>
        </w:rPr>
      </w:pPr>
      <w:r>
        <w:rPr>
          <w:rFonts w:hint="eastAsia"/>
          <w:color w:val="000000"/>
          <w:highlight w:val="none"/>
        </w:rPr>
        <w:br w:type="page"/>
      </w:r>
    </w:p>
    <w:p>
      <w:pPr>
        <w:pStyle w:val="11"/>
        <w:rPr>
          <w:rFonts w:hint="eastAsia"/>
          <w:color w:val="000000"/>
          <w:highlight w:val="none"/>
        </w:rPr>
      </w:pPr>
    </w:p>
    <w:p>
      <w:pPr>
        <w:pStyle w:val="11"/>
        <w:rPr>
          <w:rFonts w:hint="eastAsia"/>
          <w:color w:val="000000"/>
          <w:highlight w:val="none"/>
        </w:rPr>
      </w:pPr>
    </w:p>
    <w:p>
      <w:pPr>
        <w:pStyle w:val="11"/>
        <w:rPr>
          <w:rFonts w:hint="eastAsia"/>
          <w:color w:val="000000"/>
          <w:highlight w:val="none"/>
        </w:rPr>
      </w:pPr>
    </w:p>
    <w:p>
      <w:pPr>
        <w:pStyle w:val="11"/>
        <w:rPr>
          <w:rFonts w:hint="eastAsia"/>
          <w:color w:val="000000"/>
          <w:highlight w:val="none"/>
        </w:rPr>
      </w:pPr>
    </w:p>
    <w:p>
      <w:pPr>
        <w:pStyle w:val="11"/>
        <w:rPr>
          <w:rFonts w:hint="eastAsia"/>
          <w:color w:val="000000"/>
          <w:highlight w:val="none"/>
        </w:rPr>
      </w:pPr>
    </w:p>
    <w:p>
      <w:pPr>
        <w:pStyle w:val="11"/>
        <w:rPr>
          <w:rFonts w:hint="eastAsia"/>
          <w:color w:val="000000"/>
          <w:highlight w:val="none"/>
        </w:rPr>
      </w:pPr>
    </w:p>
    <w:p>
      <w:pPr>
        <w:pStyle w:val="23"/>
        <w:spacing w:before="0" w:after="0" w:line="360" w:lineRule="auto"/>
        <w:rPr>
          <w:rFonts w:hint="eastAsia"/>
          <w:color w:val="000000"/>
          <w:highlight w:val="none"/>
        </w:rPr>
      </w:pPr>
      <w:bookmarkStart w:id="121" w:name="_Toc16684"/>
      <w:r>
        <w:rPr>
          <w:rFonts w:hint="eastAsia"/>
          <w:color w:val="000000"/>
          <w:highlight w:val="none"/>
        </w:rPr>
        <w:t>第六章   投标文件格式</w:t>
      </w:r>
      <w:bookmarkEnd w:id="112"/>
      <w:bookmarkEnd w:id="113"/>
      <w:bookmarkEnd w:id="114"/>
      <w:bookmarkEnd w:id="115"/>
      <w:bookmarkEnd w:id="121"/>
    </w:p>
    <w:p>
      <w:pPr>
        <w:rPr>
          <w:color w:val="000000"/>
          <w:highlight w:val="none"/>
        </w:rPr>
      </w:pPr>
    </w:p>
    <w:p>
      <w:pPr>
        <w:pStyle w:val="11"/>
        <w:jc w:val="center"/>
        <w:rPr>
          <w:rFonts w:ascii="宋体" w:cs="宋体"/>
          <w:color w:val="000000"/>
          <w:kern w:val="0"/>
          <w:sz w:val="24"/>
          <w:highlight w:val="none"/>
        </w:rPr>
      </w:pPr>
      <w:r>
        <w:rPr>
          <w:rFonts w:ascii="宋体" w:cs="宋体"/>
          <w:color w:val="000000"/>
          <w:kern w:val="0"/>
          <w:sz w:val="24"/>
          <w:highlight w:val="none"/>
        </w:rPr>
        <w:br w:type="page"/>
      </w:r>
      <w:bookmarkStart w:id="122" w:name="_Toc202697122"/>
      <w:bookmarkStart w:id="123" w:name="_Toc31097_WPSOffice_Level1"/>
      <w:bookmarkStart w:id="124" w:name="_Toc8088_WPSOffice_Level1"/>
      <w:bookmarkStart w:id="125" w:name="_Toc21266000"/>
      <w:bookmarkStart w:id="126" w:name="_Toc21265999"/>
      <w:bookmarkStart w:id="127" w:name="_Toc202697121"/>
    </w:p>
    <w:p>
      <w:pPr>
        <w:pStyle w:val="11"/>
        <w:jc w:val="right"/>
        <w:rPr>
          <w:rFonts w:hint="default" w:ascii="宋体" w:eastAsia="宋体" w:cs="宋体"/>
          <w:color w:val="000000"/>
          <w:kern w:val="0"/>
          <w:sz w:val="24"/>
          <w:highlight w:val="none"/>
          <w:lang w:val="en-US" w:eastAsia="zh-CN"/>
        </w:rPr>
      </w:pPr>
      <w:r>
        <w:rPr>
          <w:rFonts w:hint="eastAsia" w:ascii="宋体" w:cs="宋体"/>
          <w:color w:val="000000"/>
          <w:kern w:val="0"/>
          <w:sz w:val="24"/>
          <w:highlight w:val="none"/>
          <w:lang w:val="en-US" w:eastAsia="zh-CN"/>
        </w:rPr>
        <w:t>正本/副本</w:t>
      </w:r>
    </w:p>
    <w:p>
      <w:pPr>
        <w:pStyle w:val="11"/>
        <w:jc w:val="center"/>
        <w:rPr>
          <w:rFonts w:hint="eastAsia" w:ascii="宋体" w:hAnsi="宋体" w:cs="仿宋_GB2312"/>
          <w:b/>
          <w:bCs/>
          <w:color w:val="000000"/>
          <w:spacing w:val="-10"/>
          <w:sz w:val="48"/>
          <w:szCs w:val="48"/>
          <w:highlight w:val="none"/>
          <w:lang w:eastAsia="zh-CN"/>
        </w:rPr>
      </w:pPr>
    </w:p>
    <w:p>
      <w:pPr>
        <w:pStyle w:val="11"/>
        <w:jc w:val="center"/>
        <w:rPr>
          <w:rFonts w:hint="eastAsia"/>
          <w:color w:val="000000"/>
          <w:sz w:val="48"/>
          <w:szCs w:val="48"/>
          <w:highlight w:val="none"/>
        </w:rPr>
      </w:pPr>
      <w:r>
        <w:rPr>
          <w:rFonts w:hint="eastAsia" w:ascii="宋体" w:hAnsi="宋体" w:cs="仿宋_GB2312"/>
          <w:b/>
          <w:bCs/>
          <w:color w:val="000000"/>
          <w:spacing w:val="-10"/>
          <w:sz w:val="48"/>
          <w:szCs w:val="48"/>
          <w:highlight w:val="none"/>
          <w:lang w:eastAsia="zh-CN"/>
        </w:rPr>
        <w:t>粉煤制备系统安全技术升级改造</w:t>
      </w:r>
    </w:p>
    <w:p>
      <w:pPr>
        <w:pStyle w:val="11"/>
        <w:rPr>
          <w:color w:val="000000"/>
          <w:highlight w:val="none"/>
        </w:rPr>
      </w:pPr>
    </w:p>
    <w:p>
      <w:pPr>
        <w:autoSpaceDE w:val="0"/>
        <w:autoSpaceDN w:val="0"/>
        <w:adjustRightInd w:val="0"/>
        <w:spacing w:line="800" w:lineRule="exact"/>
        <w:jc w:val="center"/>
        <w:rPr>
          <w:rFonts w:ascii="宋体" w:hAnsi="宋体" w:cs="宋体"/>
          <w:color w:val="000000"/>
          <w:kern w:val="0"/>
          <w:sz w:val="72"/>
          <w:szCs w:val="26"/>
          <w:highlight w:val="none"/>
        </w:rPr>
      </w:pPr>
    </w:p>
    <w:p>
      <w:pPr>
        <w:autoSpaceDE w:val="0"/>
        <w:autoSpaceDN w:val="0"/>
        <w:adjustRightInd w:val="0"/>
        <w:spacing w:line="800" w:lineRule="exact"/>
        <w:jc w:val="center"/>
        <w:rPr>
          <w:rFonts w:ascii="宋体" w:hAnsi="宋体" w:cs="宋体"/>
          <w:color w:val="000000"/>
          <w:kern w:val="0"/>
          <w:sz w:val="72"/>
          <w:szCs w:val="26"/>
          <w:highlight w:val="none"/>
        </w:rPr>
      </w:pPr>
    </w:p>
    <w:p>
      <w:pPr>
        <w:pStyle w:val="7"/>
        <w:rPr>
          <w:color w:val="000000"/>
          <w:highlight w:val="none"/>
        </w:rPr>
      </w:pPr>
    </w:p>
    <w:p>
      <w:pPr>
        <w:autoSpaceDE w:val="0"/>
        <w:autoSpaceDN w:val="0"/>
        <w:adjustRightInd w:val="0"/>
        <w:spacing w:line="800" w:lineRule="exact"/>
        <w:jc w:val="center"/>
        <w:rPr>
          <w:rFonts w:ascii="宋体" w:hAnsi="宋体" w:cs="宋体"/>
          <w:color w:val="000000"/>
          <w:kern w:val="0"/>
          <w:sz w:val="72"/>
          <w:szCs w:val="26"/>
          <w:highlight w:val="none"/>
        </w:rPr>
      </w:pPr>
      <w:r>
        <w:rPr>
          <w:rFonts w:hint="eastAsia" w:ascii="宋体" w:hAnsi="宋体" w:cs="宋体"/>
          <w:color w:val="000000"/>
          <w:kern w:val="0"/>
          <w:sz w:val="72"/>
          <w:szCs w:val="26"/>
          <w:highlight w:val="none"/>
        </w:rPr>
        <w:t>投标文件</w:t>
      </w:r>
    </w:p>
    <w:p>
      <w:pPr>
        <w:autoSpaceDE w:val="0"/>
        <w:autoSpaceDN w:val="0"/>
        <w:adjustRightInd w:val="0"/>
        <w:spacing w:line="800" w:lineRule="exact"/>
        <w:rPr>
          <w:rFonts w:ascii="宋体" w:hAnsi="宋体" w:cs="宋体"/>
          <w:b/>
          <w:bCs/>
          <w:color w:val="000000"/>
          <w:kern w:val="0"/>
          <w:sz w:val="32"/>
          <w:szCs w:val="26"/>
          <w:highlight w:val="none"/>
        </w:rPr>
      </w:pPr>
    </w:p>
    <w:p>
      <w:pPr>
        <w:autoSpaceDE w:val="0"/>
        <w:autoSpaceDN w:val="0"/>
        <w:adjustRightInd w:val="0"/>
        <w:spacing w:line="800" w:lineRule="exact"/>
        <w:ind w:firstLine="964" w:firstLineChars="300"/>
        <w:rPr>
          <w:rFonts w:ascii="宋体" w:hAnsi="宋体" w:cs="宋体"/>
          <w:b/>
          <w:bCs/>
          <w:color w:val="000000"/>
          <w:kern w:val="0"/>
          <w:sz w:val="32"/>
          <w:szCs w:val="26"/>
          <w:highlight w:val="none"/>
        </w:rPr>
      </w:pPr>
    </w:p>
    <w:p>
      <w:pPr>
        <w:autoSpaceDE w:val="0"/>
        <w:autoSpaceDN w:val="0"/>
        <w:adjustRightInd w:val="0"/>
        <w:spacing w:line="800" w:lineRule="exact"/>
        <w:ind w:firstLine="964" w:firstLineChars="300"/>
        <w:rPr>
          <w:rFonts w:ascii="宋体" w:hAnsi="宋体" w:cs="宋体"/>
          <w:b/>
          <w:bCs/>
          <w:color w:val="000000"/>
          <w:kern w:val="0"/>
          <w:sz w:val="32"/>
          <w:szCs w:val="26"/>
          <w:highlight w:val="none"/>
        </w:rPr>
      </w:pPr>
    </w:p>
    <w:p>
      <w:pPr>
        <w:autoSpaceDE w:val="0"/>
        <w:autoSpaceDN w:val="0"/>
        <w:adjustRightInd w:val="0"/>
        <w:spacing w:line="800" w:lineRule="exact"/>
        <w:ind w:firstLine="964" w:firstLineChars="300"/>
        <w:rPr>
          <w:rFonts w:ascii="宋体" w:hAnsi="宋体" w:cs="宋体"/>
          <w:b/>
          <w:bCs/>
          <w:color w:val="000000"/>
          <w:kern w:val="0"/>
          <w:sz w:val="32"/>
          <w:szCs w:val="26"/>
          <w:highlight w:val="none"/>
        </w:rPr>
      </w:pPr>
    </w:p>
    <w:p>
      <w:pPr>
        <w:autoSpaceDE w:val="0"/>
        <w:autoSpaceDN w:val="0"/>
        <w:adjustRightInd w:val="0"/>
        <w:spacing w:line="800" w:lineRule="exact"/>
        <w:ind w:firstLine="964" w:firstLineChars="300"/>
        <w:rPr>
          <w:rFonts w:hint="eastAsia" w:ascii="宋体" w:hAnsi="宋体" w:cs="宋体"/>
          <w:b/>
          <w:bCs/>
          <w:color w:val="000000"/>
          <w:kern w:val="0"/>
          <w:sz w:val="32"/>
          <w:szCs w:val="26"/>
          <w:highlight w:val="none"/>
          <w:u w:val="single"/>
        </w:rPr>
      </w:pPr>
      <w:r>
        <w:rPr>
          <w:rFonts w:hint="eastAsia" w:ascii="宋体" w:hAnsi="宋体" w:cs="宋体"/>
          <w:b/>
          <w:bCs/>
          <w:color w:val="000000"/>
          <w:kern w:val="0"/>
          <w:sz w:val="32"/>
          <w:szCs w:val="26"/>
          <w:highlight w:val="none"/>
        </w:rPr>
        <w:t xml:space="preserve">   投标人：</w:t>
      </w:r>
      <w:r>
        <w:rPr>
          <w:rFonts w:hint="eastAsia" w:ascii="宋体" w:hAnsi="宋体" w:cs="宋体"/>
          <w:b/>
          <w:bCs/>
          <w:color w:val="000000"/>
          <w:kern w:val="0"/>
          <w:sz w:val="32"/>
          <w:szCs w:val="26"/>
          <w:highlight w:val="none"/>
          <w:u w:val="single"/>
        </w:rPr>
        <w:t xml:space="preserve">                 （盖单位章）</w:t>
      </w:r>
    </w:p>
    <w:p>
      <w:pPr>
        <w:autoSpaceDE w:val="0"/>
        <w:autoSpaceDN w:val="0"/>
        <w:adjustRightInd w:val="0"/>
        <w:spacing w:line="800" w:lineRule="exact"/>
        <w:ind w:firstLine="964" w:firstLineChars="300"/>
        <w:rPr>
          <w:rFonts w:hint="eastAsia" w:ascii="宋体" w:hAnsi="宋体" w:cs="宋体"/>
          <w:b/>
          <w:bCs/>
          <w:color w:val="000000"/>
          <w:kern w:val="0"/>
          <w:sz w:val="32"/>
          <w:szCs w:val="26"/>
          <w:highlight w:val="none"/>
        </w:rPr>
      </w:pPr>
      <w:r>
        <w:rPr>
          <w:rFonts w:hint="eastAsia" w:ascii="宋体" w:hAnsi="宋体" w:cs="宋体"/>
          <w:b/>
          <w:bCs/>
          <w:color w:val="000000"/>
          <w:kern w:val="0"/>
          <w:sz w:val="32"/>
          <w:szCs w:val="26"/>
          <w:highlight w:val="none"/>
        </w:rPr>
        <w:t xml:space="preserve">   法定代表人（或委托代理人）：</w:t>
      </w:r>
      <w:r>
        <w:rPr>
          <w:rFonts w:hint="eastAsia" w:ascii="宋体" w:hAnsi="宋体" w:cs="宋体"/>
          <w:b/>
          <w:bCs/>
          <w:color w:val="000000"/>
          <w:kern w:val="0"/>
          <w:sz w:val="32"/>
          <w:szCs w:val="26"/>
          <w:highlight w:val="none"/>
          <w:u w:val="single"/>
        </w:rPr>
        <w:t xml:space="preserve">      （签字）</w:t>
      </w:r>
      <w:r>
        <w:rPr>
          <w:rFonts w:hint="eastAsia" w:ascii="宋体" w:hAnsi="宋体" w:cs="宋体"/>
          <w:b/>
          <w:bCs/>
          <w:color w:val="000000"/>
          <w:kern w:val="0"/>
          <w:sz w:val="32"/>
          <w:szCs w:val="26"/>
          <w:highlight w:val="none"/>
        </w:rPr>
        <w:t xml:space="preserve">       </w:t>
      </w:r>
    </w:p>
    <w:p>
      <w:pPr>
        <w:autoSpaceDE w:val="0"/>
        <w:autoSpaceDN w:val="0"/>
        <w:adjustRightInd w:val="0"/>
        <w:spacing w:line="800" w:lineRule="exact"/>
        <w:ind w:firstLine="2409" w:firstLineChars="750"/>
        <w:rPr>
          <w:rFonts w:ascii="宋体" w:hAnsi="宋体" w:cs="宋体"/>
          <w:b/>
          <w:bCs/>
          <w:color w:val="000000"/>
          <w:kern w:val="0"/>
          <w:sz w:val="32"/>
          <w:szCs w:val="26"/>
          <w:highlight w:val="none"/>
        </w:rPr>
      </w:pPr>
      <w:r>
        <w:rPr>
          <w:rFonts w:hint="eastAsia" w:ascii="宋体" w:hAnsi="宋体" w:cs="宋体"/>
          <w:b/>
          <w:bCs/>
          <w:color w:val="000000"/>
          <w:kern w:val="0"/>
          <w:sz w:val="32"/>
          <w:szCs w:val="26"/>
          <w:highlight w:val="none"/>
          <w:u w:val="single"/>
        </w:rPr>
        <w:t xml:space="preserve">     </w:t>
      </w:r>
      <w:r>
        <w:rPr>
          <w:rFonts w:hint="eastAsia" w:ascii="宋体" w:hAnsi="宋体" w:cs="宋体"/>
          <w:b/>
          <w:bCs/>
          <w:color w:val="000000"/>
          <w:kern w:val="0"/>
          <w:sz w:val="32"/>
          <w:szCs w:val="26"/>
          <w:highlight w:val="none"/>
        </w:rPr>
        <w:t>年</w:t>
      </w:r>
      <w:r>
        <w:rPr>
          <w:rFonts w:hint="eastAsia" w:ascii="宋体" w:hAnsi="宋体" w:cs="宋体"/>
          <w:b/>
          <w:bCs/>
          <w:color w:val="000000"/>
          <w:kern w:val="0"/>
          <w:sz w:val="32"/>
          <w:szCs w:val="26"/>
          <w:highlight w:val="none"/>
          <w:u w:val="single"/>
        </w:rPr>
        <w:t xml:space="preserve">      </w:t>
      </w:r>
      <w:r>
        <w:rPr>
          <w:rFonts w:hint="eastAsia" w:ascii="宋体" w:hAnsi="宋体" w:cs="宋体"/>
          <w:b/>
          <w:bCs/>
          <w:color w:val="000000"/>
          <w:kern w:val="0"/>
          <w:sz w:val="32"/>
          <w:szCs w:val="26"/>
          <w:highlight w:val="none"/>
        </w:rPr>
        <w:t>月</w:t>
      </w:r>
      <w:r>
        <w:rPr>
          <w:rFonts w:hint="eastAsia" w:ascii="宋体" w:hAnsi="宋体" w:cs="宋体"/>
          <w:b/>
          <w:bCs/>
          <w:color w:val="000000"/>
          <w:kern w:val="0"/>
          <w:sz w:val="32"/>
          <w:szCs w:val="26"/>
          <w:highlight w:val="none"/>
          <w:u w:val="single"/>
        </w:rPr>
        <w:t xml:space="preserve">    </w:t>
      </w:r>
      <w:r>
        <w:rPr>
          <w:rFonts w:hint="eastAsia" w:ascii="宋体" w:hAnsi="宋体" w:cs="宋体"/>
          <w:b/>
          <w:bCs/>
          <w:color w:val="000000"/>
          <w:kern w:val="0"/>
          <w:sz w:val="32"/>
          <w:szCs w:val="26"/>
          <w:highlight w:val="none"/>
        </w:rPr>
        <w:t>日</w:t>
      </w:r>
    </w:p>
    <w:p>
      <w:pPr>
        <w:tabs>
          <w:tab w:val="left" w:pos="7425"/>
        </w:tabs>
        <w:jc w:val="center"/>
        <w:rPr>
          <w:rFonts w:hint="eastAsia"/>
          <w:b/>
          <w:color w:val="000000"/>
          <w:szCs w:val="28"/>
          <w:highlight w:val="none"/>
        </w:rPr>
      </w:pPr>
      <w:r>
        <w:rPr>
          <w:rFonts w:hAnsi="宋体" w:cs="宋体"/>
          <w:color w:val="000000"/>
          <w:kern w:val="0"/>
          <w:sz w:val="26"/>
          <w:szCs w:val="26"/>
          <w:highlight w:val="none"/>
        </w:rPr>
        <w:br w:type="page"/>
      </w:r>
      <w:r>
        <w:rPr>
          <w:b/>
          <w:color w:val="000000"/>
          <w:szCs w:val="28"/>
          <w:highlight w:val="none"/>
        </w:rPr>
        <w:t>评审因素索引表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6313"/>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序号</w:t>
            </w:r>
          </w:p>
        </w:tc>
        <w:tc>
          <w:tcPr>
            <w:tcW w:w="6313"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评审因素</w:t>
            </w:r>
          </w:p>
        </w:tc>
        <w:tc>
          <w:tcPr>
            <w:tcW w:w="2159"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投标文件页码范围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1</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2</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3</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4</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5</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6</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7</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8</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9</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10</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28" w:type="dxa"/>
            <w:noWrap w:val="0"/>
            <w:vAlign w:val="center"/>
          </w:tcPr>
          <w:p>
            <w:pPr>
              <w:jc w:val="center"/>
              <w:rPr>
                <w:rFonts w:hint="eastAsia" w:ascii="宋体" w:hAnsi="宋体" w:cs="宋体"/>
                <w:b/>
                <w:color w:val="000000"/>
                <w:sz w:val="21"/>
                <w:szCs w:val="21"/>
                <w:highlight w:val="none"/>
              </w:rPr>
            </w:pPr>
            <w:r>
              <w:rPr>
                <w:rFonts w:hint="eastAsia" w:ascii="宋体" w:hAnsi="宋体" w:cs="宋体"/>
                <w:b/>
                <w:color w:val="000000"/>
                <w:sz w:val="21"/>
                <w:szCs w:val="21"/>
                <w:highlight w:val="none"/>
              </w:rPr>
              <w:t>11</w:t>
            </w:r>
          </w:p>
        </w:tc>
        <w:tc>
          <w:tcPr>
            <w:tcW w:w="6313" w:type="dxa"/>
            <w:noWrap w:val="0"/>
            <w:vAlign w:val="center"/>
          </w:tcPr>
          <w:p>
            <w:pPr>
              <w:jc w:val="center"/>
              <w:rPr>
                <w:rFonts w:hint="eastAsia" w:ascii="宋体" w:hAnsi="宋体" w:cs="宋体"/>
                <w:color w:val="000000"/>
                <w:sz w:val="21"/>
                <w:szCs w:val="21"/>
                <w:highlight w:val="none"/>
              </w:rPr>
            </w:pP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28" w:type="dxa"/>
            <w:noWrap w:val="0"/>
            <w:vAlign w:val="center"/>
          </w:tcPr>
          <w:p>
            <w:pPr>
              <w:jc w:val="center"/>
              <w:rPr>
                <w:rFonts w:hint="eastAsia" w:ascii="宋体" w:hAnsi="宋体" w:cs="宋体"/>
                <w:b/>
                <w:color w:val="000000"/>
                <w:sz w:val="21"/>
                <w:szCs w:val="21"/>
                <w:highlight w:val="none"/>
              </w:rPr>
            </w:pPr>
          </w:p>
        </w:tc>
        <w:tc>
          <w:tcPr>
            <w:tcW w:w="6313" w:type="dxa"/>
            <w:noWrap w:val="0"/>
            <w:vAlign w:val="center"/>
          </w:tcPr>
          <w:p>
            <w:pPr>
              <w:rPr>
                <w:rFonts w:hint="eastAsia" w:ascii="宋体" w:hAnsi="宋体" w:cs="宋体"/>
                <w:color w:val="000000"/>
                <w:sz w:val="21"/>
                <w:szCs w:val="21"/>
                <w:highlight w:val="none"/>
              </w:rPr>
            </w:pPr>
            <w:r>
              <w:rPr>
                <w:rFonts w:hint="eastAsia" w:ascii="宋体" w:hAnsi="宋体" w:cs="宋体"/>
                <w:color w:val="000000"/>
                <w:sz w:val="21"/>
                <w:szCs w:val="21"/>
                <w:highlight w:val="none"/>
              </w:rPr>
              <w:t>……</w:t>
            </w:r>
          </w:p>
        </w:tc>
        <w:tc>
          <w:tcPr>
            <w:tcW w:w="2159" w:type="dxa"/>
            <w:noWrap w:val="0"/>
            <w:vAlign w:val="center"/>
          </w:tcPr>
          <w:p>
            <w:pPr>
              <w:ind w:firstLine="105" w:firstLineChars="50"/>
              <w:rPr>
                <w:rFonts w:hint="eastAsia" w:ascii="宋体" w:hAnsi="宋体" w:cs="宋体"/>
                <w:color w:val="000000"/>
                <w:sz w:val="21"/>
                <w:szCs w:val="21"/>
                <w:highlight w:val="none"/>
              </w:rPr>
            </w:pP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~P</w:t>
            </w:r>
            <w:r>
              <w:rPr>
                <w:rFonts w:hint="eastAsia" w:ascii="宋体" w:hAnsi="宋体" w:cs="宋体"/>
                <w:color w:val="000000"/>
                <w:sz w:val="21"/>
                <w:szCs w:val="21"/>
                <w:highlight w:val="none"/>
                <w:u w:val="single"/>
              </w:rPr>
              <w:t xml:space="preserve">     </w:t>
            </w:r>
          </w:p>
        </w:tc>
      </w:tr>
    </w:tbl>
    <w:p>
      <w:pPr>
        <w:pStyle w:val="5"/>
        <w:numPr>
          <w:ilvl w:val="0"/>
          <w:numId w:val="0"/>
        </w:numPr>
        <w:spacing w:line="525" w:lineRule="exact"/>
        <w:ind w:right="457"/>
        <w:jc w:val="center"/>
        <w:rPr>
          <w:rFonts w:hint="eastAsia" w:ascii="宋体" w:hAnsi="宋体" w:cs="宋体"/>
          <w:color w:val="000000"/>
          <w:highlight w:val="none"/>
        </w:rPr>
      </w:pPr>
    </w:p>
    <w:p>
      <w:pPr>
        <w:rPr>
          <w:rFonts w:hint="eastAsia"/>
          <w:color w:val="000000"/>
          <w:highlight w:val="none"/>
        </w:rPr>
      </w:pPr>
    </w:p>
    <w:p>
      <w:pPr>
        <w:pStyle w:val="5"/>
        <w:numPr>
          <w:ilvl w:val="0"/>
          <w:numId w:val="0"/>
        </w:numPr>
        <w:spacing w:line="525" w:lineRule="exact"/>
        <w:ind w:right="457"/>
        <w:jc w:val="center"/>
        <w:rPr>
          <w:rFonts w:ascii="宋体" w:hAnsi="宋体"/>
          <w:color w:val="000000"/>
          <w:highlight w:val="none"/>
        </w:rPr>
      </w:pPr>
      <w:bookmarkStart w:id="128" w:name="_Toc32138"/>
      <w:r>
        <w:rPr>
          <w:rFonts w:hint="eastAsia" w:ascii="宋体" w:hAnsi="宋体" w:cs="宋体"/>
          <w:color w:val="000000"/>
          <w:highlight w:val="none"/>
        </w:rPr>
        <w:t>目   录</w:t>
      </w:r>
      <w:bookmarkEnd w:id="128"/>
    </w:p>
    <w:p>
      <w:pPr>
        <w:pStyle w:val="3"/>
        <w:rPr>
          <w:b/>
          <w:bCs/>
          <w:color w:val="000000"/>
          <w:sz w:val="20"/>
          <w:szCs w:val="20"/>
          <w:highlight w:val="none"/>
        </w:rPr>
      </w:pPr>
    </w:p>
    <w:p>
      <w:pPr>
        <w:numPr>
          <w:ilvl w:val="0"/>
          <w:numId w:val="5"/>
        </w:numPr>
        <w:autoSpaceDE w:val="0"/>
        <w:autoSpaceDN w:val="0"/>
        <w:spacing w:line="360" w:lineRule="auto"/>
        <w:jc w:val="left"/>
        <w:rPr>
          <w:color w:val="000000"/>
          <w:sz w:val="21"/>
          <w:szCs w:val="21"/>
          <w:highlight w:val="none"/>
        </w:rPr>
      </w:pPr>
      <w:r>
        <w:rPr>
          <w:rFonts w:hint="eastAsia"/>
          <w:color w:val="000000"/>
          <w:sz w:val="21"/>
          <w:szCs w:val="21"/>
          <w:highlight w:val="none"/>
        </w:rPr>
        <w:t>投标函</w:t>
      </w:r>
    </w:p>
    <w:p>
      <w:pPr>
        <w:numPr>
          <w:ilvl w:val="0"/>
          <w:numId w:val="5"/>
        </w:numPr>
        <w:autoSpaceDE w:val="0"/>
        <w:autoSpaceDN w:val="0"/>
        <w:spacing w:line="360" w:lineRule="auto"/>
        <w:jc w:val="left"/>
        <w:rPr>
          <w:color w:val="000000"/>
          <w:sz w:val="21"/>
          <w:szCs w:val="21"/>
          <w:highlight w:val="none"/>
        </w:rPr>
      </w:pPr>
      <w:r>
        <w:rPr>
          <w:rFonts w:hint="eastAsia"/>
          <w:color w:val="000000"/>
          <w:sz w:val="21"/>
          <w:szCs w:val="21"/>
          <w:highlight w:val="none"/>
        </w:rPr>
        <w:t>法定代表人身份证明或授权委托书</w:t>
      </w:r>
    </w:p>
    <w:p>
      <w:pPr>
        <w:numPr>
          <w:ilvl w:val="0"/>
          <w:numId w:val="5"/>
        </w:numPr>
        <w:autoSpaceDE w:val="0"/>
        <w:autoSpaceDN w:val="0"/>
        <w:spacing w:line="360" w:lineRule="auto"/>
        <w:jc w:val="left"/>
        <w:rPr>
          <w:color w:val="000000"/>
          <w:sz w:val="21"/>
          <w:szCs w:val="21"/>
          <w:highlight w:val="none"/>
        </w:rPr>
      </w:pPr>
      <w:r>
        <w:rPr>
          <w:rFonts w:hint="eastAsia"/>
          <w:color w:val="000000"/>
          <w:sz w:val="21"/>
          <w:szCs w:val="21"/>
          <w:highlight w:val="none"/>
        </w:rPr>
        <w:t>投标保证金</w:t>
      </w:r>
    </w:p>
    <w:p>
      <w:pPr>
        <w:numPr>
          <w:ilvl w:val="0"/>
          <w:numId w:val="5"/>
        </w:numPr>
        <w:autoSpaceDE w:val="0"/>
        <w:autoSpaceDN w:val="0"/>
        <w:spacing w:line="360" w:lineRule="auto"/>
        <w:jc w:val="left"/>
        <w:rPr>
          <w:color w:val="000000"/>
          <w:sz w:val="21"/>
          <w:szCs w:val="21"/>
          <w:highlight w:val="none"/>
        </w:rPr>
      </w:pPr>
      <w:r>
        <w:rPr>
          <w:rFonts w:hint="eastAsia"/>
          <w:color w:val="000000"/>
          <w:sz w:val="21"/>
          <w:szCs w:val="21"/>
          <w:highlight w:val="none"/>
          <w:lang w:val="en-US" w:eastAsia="zh-CN"/>
        </w:rPr>
        <w:t>报价表</w:t>
      </w:r>
    </w:p>
    <w:p>
      <w:pPr>
        <w:numPr>
          <w:ilvl w:val="0"/>
          <w:numId w:val="5"/>
        </w:numPr>
        <w:autoSpaceDE w:val="0"/>
        <w:autoSpaceDN w:val="0"/>
        <w:spacing w:line="360" w:lineRule="auto"/>
        <w:jc w:val="left"/>
        <w:rPr>
          <w:color w:val="000000"/>
          <w:sz w:val="21"/>
          <w:szCs w:val="21"/>
          <w:highlight w:val="none"/>
        </w:rPr>
      </w:pPr>
      <w:r>
        <w:rPr>
          <w:rFonts w:hint="eastAsia"/>
          <w:color w:val="000000"/>
          <w:sz w:val="21"/>
          <w:szCs w:val="21"/>
          <w:highlight w:val="none"/>
        </w:rPr>
        <w:t>资格审查资料</w:t>
      </w:r>
    </w:p>
    <w:p>
      <w:pPr>
        <w:numPr>
          <w:ilvl w:val="0"/>
          <w:numId w:val="5"/>
        </w:numPr>
        <w:autoSpaceDE w:val="0"/>
        <w:autoSpaceDN w:val="0"/>
        <w:spacing w:line="360" w:lineRule="auto"/>
        <w:jc w:val="left"/>
        <w:rPr>
          <w:color w:val="000000"/>
          <w:sz w:val="21"/>
          <w:szCs w:val="21"/>
          <w:highlight w:val="none"/>
        </w:rPr>
      </w:pPr>
      <w:r>
        <w:rPr>
          <w:rFonts w:hint="eastAsia"/>
          <w:color w:val="000000"/>
          <w:sz w:val="21"/>
          <w:szCs w:val="21"/>
          <w:highlight w:val="none"/>
          <w:lang w:val="en-US" w:eastAsia="zh-CN"/>
        </w:rPr>
        <w:t>商务技术部分</w:t>
      </w:r>
    </w:p>
    <w:p>
      <w:pPr>
        <w:numPr>
          <w:ilvl w:val="0"/>
          <w:numId w:val="5"/>
        </w:numPr>
        <w:autoSpaceDE w:val="0"/>
        <w:autoSpaceDN w:val="0"/>
        <w:spacing w:line="360" w:lineRule="auto"/>
        <w:jc w:val="left"/>
        <w:rPr>
          <w:color w:val="000000"/>
          <w:sz w:val="21"/>
          <w:szCs w:val="21"/>
          <w:highlight w:val="none"/>
        </w:rPr>
      </w:pPr>
      <w:r>
        <w:rPr>
          <w:rFonts w:hint="eastAsia"/>
          <w:color w:val="000000"/>
          <w:sz w:val="21"/>
          <w:szCs w:val="21"/>
          <w:highlight w:val="none"/>
        </w:rPr>
        <w:t>招标文件要求提供的其他资料。</w:t>
      </w:r>
    </w:p>
    <w:p>
      <w:pPr>
        <w:pStyle w:val="7"/>
        <w:rPr>
          <w:rFonts w:hint="eastAsia" w:ascii="宋体" w:hAnsi="宋体" w:cs="宋体"/>
          <w:color w:val="000000"/>
          <w:sz w:val="32"/>
          <w:szCs w:val="32"/>
          <w:highlight w:val="none"/>
        </w:rPr>
      </w:pPr>
      <w:r>
        <w:rPr>
          <w:rFonts w:hint="eastAsia" w:ascii="宋体" w:hAnsi="宋体" w:cs="宋体"/>
          <w:b/>
          <w:bCs/>
          <w:color w:val="000000"/>
          <w:highlight w:val="none"/>
          <w:u w:val="single"/>
        </w:rPr>
        <w:t>注：本目录不作为格式目录，投标人可相应修改或补充，为便于评标委员会评审，投标人可自行编制目录并编制页码。</w:t>
      </w:r>
    </w:p>
    <w:p>
      <w:pPr>
        <w:pStyle w:val="15"/>
      </w:pPr>
    </w:p>
    <w:p>
      <w:pPr>
        <w:pStyle w:val="15"/>
      </w:pPr>
    </w:p>
    <w:p>
      <w:pPr>
        <w:pStyle w:val="15"/>
        <w:sectPr>
          <w:pgSz w:w="11905" w:h="16838"/>
          <w:pgMar w:top="1417" w:right="1417" w:bottom="1417" w:left="1417" w:header="850" w:footer="992" w:gutter="0"/>
          <w:cols w:space="720" w:num="1"/>
          <w:docGrid w:type="lines" w:linePitch="389" w:charSpace="0"/>
        </w:sectPr>
      </w:pPr>
    </w:p>
    <w:bookmarkEnd w:id="122"/>
    <w:bookmarkEnd w:id="123"/>
    <w:bookmarkEnd w:id="124"/>
    <w:bookmarkEnd w:id="125"/>
    <w:bookmarkEnd w:id="126"/>
    <w:bookmarkEnd w:id="127"/>
    <w:p>
      <w:pPr>
        <w:jc w:val="center"/>
        <w:rPr>
          <w:rFonts w:hint="eastAsia" w:ascii="宋体" w:hAnsi="宋体" w:cs="宋体"/>
          <w:b/>
          <w:color w:val="000000"/>
          <w:szCs w:val="28"/>
          <w:highlight w:val="none"/>
        </w:rPr>
      </w:pPr>
      <w:bookmarkStart w:id="129" w:name="_Toc27608_WPSOffice_Level1"/>
      <w:bookmarkStart w:id="130" w:name="_Toc25107_WPSOffice_Level1"/>
      <w:r>
        <w:rPr>
          <w:rFonts w:hint="eastAsia" w:ascii="宋体" w:hAnsi="宋体" w:cs="宋体"/>
          <w:b/>
          <w:color w:val="000000"/>
          <w:szCs w:val="28"/>
          <w:highlight w:val="none"/>
        </w:rPr>
        <w:t>一、投标函</w:t>
      </w:r>
    </w:p>
    <w:p>
      <w:pPr>
        <w:rPr>
          <w:rFonts w:hint="eastAsia" w:ascii="宋体" w:hAnsi="宋体" w:cs="宋体"/>
          <w:b/>
          <w:color w:val="000000"/>
          <w:sz w:val="24"/>
          <w:highlight w:val="none"/>
        </w:rPr>
      </w:pPr>
    </w:p>
    <w:p>
      <w:pPr>
        <w:spacing w:line="360" w:lineRule="auto"/>
        <w:rPr>
          <w:rFonts w:hint="eastAsia" w:ascii="宋体" w:hAnsi="宋体" w:cs="宋体"/>
          <w:color w:val="000000"/>
          <w:sz w:val="21"/>
          <w:szCs w:val="21"/>
          <w:highlight w:val="none"/>
          <w:u w:val="single"/>
        </w:rPr>
      </w:pPr>
      <w:r>
        <w:rPr>
          <w:rFonts w:hint="eastAsia" w:ascii="宋体" w:hAnsi="宋体" w:cs="宋体"/>
          <w:color w:val="000000"/>
          <w:kern w:val="0"/>
          <w:sz w:val="21"/>
          <w:szCs w:val="21"/>
          <w:highlight w:val="none"/>
          <w:u w:val="single"/>
        </w:rPr>
        <w:t xml:space="preserve">                    （招标人名称）：</w:t>
      </w:r>
    </w:p>
    <w:p>
      <w:pPr>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1、我方经仔细研究</w:t>
      </w:r>
      <w:r>
        <w:rPr>
          <w:rFonts w:hint="eastAsia" w:ascii="宋体" w:hAnsi="宋体" w:cs="宋体"/>
          <w:color w:val="000000"/>
          <w:sz w:val="21"/>
          <w:szCs w:val="21"/>
          <w:highlight w:val="none"/>
          <w:u w:val="single"/>
        </w:rPr>
        <w:t xml:space="preserve">     （项目名称）     </w:t>
      </w:r>
      <w:r>
        <w:rPr>
          <w:rFonts w:hint="eastAsia" w:ascii="宋体" w:hAnsi="宋体" w:cs="宋体"/>
          <w:color w:val="000000"/>
          <w:kern w:val="0"/>
          <w:sz w:val="21"/>
          <w:szCs w:val="21"/>
          <w:highlight w:val="none"/>
        </w:rPr>
        <w:t>招标及合同文件</w:t>
      </w:r>
      <w:r>
        <w:rPr>
          <w:rFonts w:hint="eastAsia" w:ascii="宋体" w:hAnsi="宋体" w:cs="宋体"/>
          <w:color w:val="000000"/>
          <w:sz w:val="21"/>
          <w:szCs w:val="21"/>
          <w:highlight w:val="none"/>
        </w:rPr>
        <w:t>(包括补充通知) 和有关资料后，愿意</w:t>
      </w:r>
      <w:r>
        <w:rPr>
          <w:rFonts w:hint="eastAsia" w:ascii="宋体" w:hAnsi="宋体" w:cs="宋体"/>
          <w:color w:val="000000"/>
          <w:sz w:val="21"/>
          <w:szCs w:val="21"/>
          <w:highlight w:val="none"/>
          <w:lang w:val="en-US" w:eastAsia="zh-CN"/>
        </w:rPr>
        <w:t>投标总价</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lang w:val="en-US" w:eastAsia="zh-CN"/>
        </w:rPr>
        <w:t>元</w:t>
      </w:r>
      <w:r>
        <w:rPr>
          <w:rFonts w:hint="eastAsia" w:ascii="宋体" w:hAnsi="宋体" w:cs="宋体"/>
          <w:color w:val="000000"/>
          <w:sz w:val="21"/>
          <w:szCs w:val="21"/>
          <w:highlight w:val="none"/>
        </w:rPr>
        <w:t>（精确到小数点后</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位）（大写：</w:t>
      </w:r>
      <w:r>
        <w:rPr>
          <w:rFonts w:hint="eastAsia" w:ascii="宋体" w:hAnsi="宋体" w:cs="宋体"/>
          <w:color w:val="000000"/>
          <w:sz w:val="21"/>
          <w:szCs w:val="21"/>
          <w:highlight w:val="none"/>
          <w:lang w:val="en-US" w:eastAsia="zh-CN"/>
        </w:rPr>
        <w:t>人民币</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）投标，</w:t>
      </w:r>
      <w:r>
        <w:rPr>
          <w:rFonts w:hint="eastAsia" w:ascii="宋体" w:hAnsi="宋体" w:cs="宋体"/>
          <w:color w:val="000000"/>
          <w:sz w:val="21"/>
          <w:szCs w:val="21"/>
          <w:highlight w:val="none"/>
          <w:lang w:val="en-US" w:eastAsia="zh-CN"/>
        </w:rPr>
        <w:t>交货期</w:t>
      </w:r>
      <w:r>
        <w:rPr>
          <w:rFonts w:hint="eastAsia" w:ascii="宋体" w:hAnsi="宋体" w:cs="宋体"/>
          <w:color w:val="000000"/>
          <w:sz w:val="21"/>
          <w:szCs w:val="21"/>
          <w:highlight w:val="none"/>
        </w:rPr>
        <w:t>限：</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 xml:space="preserve"> ，按合同约定完成</w:t>
      </w:r>
      <w:r>
        <w:rPr>
          <w:rFonts w:hint="eastAsia" w:ascii="宋体" w:hAnsi="宋体" w:cs="宋体"/>
          <w:color w:val="000000"/>
          <w:sz w:val="21"/>
          <w:szCs w:val="21"/>
          <w:highlight w:val="none"/>
          <w:lang w:val="en-US" w:eastAsia="zh-CN"/>
        </w:rPr>
        <w:t>设备供货</w:t>
      </w:r>
      <w:r>
        <w:rPr>
          <w:rFonts w:hint="eastAsia" w:ascii="宋体" w:hAnsi="宋体" w:cs="宋体"/>
          <w:color w:val="000000"/>
          <w:sz w:val="21"/>
          <w:szCs w:val="21"/>
          <w:highlight w:val="none"/>
        </w:rPr>
        <w:t>。</w:t>
      </w:r>
    </w:p>
    <w:p>
      <w:pPr>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2、我方提交的投标文件(包括投标报价书和其它投标文件)在投标截止时间后的</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90</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天内有效，在此期间被你方接受的上述文件对我方一直具有约束力。我方保证在投标文件的有效期内不撤回投标文件，除招标文件另有规定外，不修改投标文件。</w:t>
      </w:r>
    </w:p>
    <w:p>
      <w:pPr>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3、随同本投标报价书附上投标保证金一份，作为我方投标的担保。</w:t>
      </w:r>
    </w:p>
    <w:p>
      <w:pPr>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4、若我方中标：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(1) 我方保证在收到你方的中标通知书后，按招标文件规定的期限，及时派代表前去签订合同。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(2) 我方保证向你方按时提交招标文件规定的履约担保证件，作为我方的履约担保。</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highlight w:val="none"/>
        </w:rPr>
      </w:pPr>
      <w:r>
        <w:rPr>
          <w:rFonts w:hint="eastAsia" w:ascii="宋体" w:hAnsi="宋体" w:cs="宋体"/>
          <w:color w:val="000000"/>
          <w:sz w:val="21"/>
          <w:szCs w:val="21"/>
          <w:highlight w:val="none"/>
        </w:rPr>
        <w:t>(3)我方完全理解你方不保证投标价最低的投标人中标。</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5、我方在此声明，所递交的投标文件及有关资料内容完整、真实和准确，且不存在第二章投标人须知第1.4.3款规定的任何一种情形。</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6、质量标准：按国家、省、市相关标准执行，达到合格。</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7、（其它补充说明）。</w:t>
      </w:r>
    </w:p>
    <w:p>
      <w:pPr>
        <w:wordWrap w:val="0"/>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投标人：</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(盖单位章)</w:t>
      </w:r>
    </w:p>
    <w:p>
      <w:pPr>
        <w:wordWrap w:val="0"/>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法定代表人(或委托代理人)：</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(签字)                            地    址：</w:t>
      </w:r>
      <w:r>
        <w:rPr>
          <w:rFonts w:hint="eastAsia" w:ascii="宋体" w:hAnsi="宋体" w:cs="宋体"/>
          <w:color w:val="000000"/>
          <w:sz w:val="21"/>
          <w:szCs w:val="21"/>
          <w:highlight w:val="none"/>
          <w:u w:val="single"/>
        </w:rPr>
        <w:t xml:space="preserve">                  </w:t>
      </w:r>
    </w:p>
    <w:p>
      <w:pPr>
        <w:wordWrap w:val="0"/>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电    话：</w:t>
      </w:r>
      <w:r>
        <w:rPr>
          <w:rFonts w:hint="eastAsia" w:ascii="宋体" w:hAnsi="宋体" w:cs="宋体"/>
          <w:color w:val="000000"/>
          <w:sz w:val="21"/>
          <w:szCs w:val="21"/>
          <w:highlight w:val="none"/>
          <w:u w:val="single"/>
        </w:rPr>
        <w:t xml:space="preserve">                   </w:t>
      </w:r>
    </w:p>
    <w:p>
      <w:pPr>
        <w:wordWrap w:val="0"/>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w:t>
      </w:r>
      <w:r>
        <w:rPr>
          <w:rFonts w:hint="eastAsia" w:ascii="宋体" w:hAnsi="宋体" w:cs="宋体"/>
          <w:color w:val="000000"/>
          <w:sz w:val="21"/>
          <w:szCs w:val="21"/>
          <w:highlight w:val="none"/>
          <w:lang w:val="en-US" w:eastAsia="zh-CN"/>
        </w:rPr>
        <w:t xml:space="preserve"> </w:t>
      </w:r>
      <w:r>
        <w:rPr>
          <w:rFonts w:hint="eastAsia" w:ascii="宋体" w:hAnsi="宋体" w:cs="宋体"/>
          <w:color w:val="000000"/>
          <w:sz w:val="21"/>
          <w:szCs w:val="21"/>
          <w:highlight w:val="none"/>
        </w:rPr>
        <w:t xml:space="preserve"> 传    真：</w:t>
      </w:r>
      <w:r>
        <w:rPr>
          <w:rFonts w:hint="eastAsia" w:ascii="宋体" w:hAnsi="宋体" w:cs="宋体"/>
          <w:color w:val="000000"/>
          <w:sz w:val="21"/>
          <w:szCs w:val="21"/>
          <w:highlight w:val="none"/>
          <w:u w:val="single"/>
        </w:rPr>
        <w:t xml:space="preserve">                   </w:t>
      </w:r>
    </w:p>
    <w:p>
      <w:pPr>
        <w:wordWrap w:val="0"/>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邮政编码：</w:t>
      </w:r>
      <w:r>
        <w:rPr>
          <w:rFonts w:hint="eastAsia" w:ascii="宋体" w:hAnsi="宋体" w:cs="宋体"/>
          <w:color w:val="000000"/>
          <w:sz w:val="21"/>
          <w:szCs w:val="21"/>
          <w:highlight w:val="none"/>
          <w:u w:val="single"/>
        </w:rPr>
        <w:t xml:space="preserve">                   </w:t>
      </w:r>
    </w:p>
    <w:p>
      <w:pPr>
        <w:pStyle w:val="3"/>
        <w:tabs>
          <w:tab w:val="left" w:pos="7381"/>
        </w:tabs>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年</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月</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日　</w:t>
      </w:r>
    </w:p>
    <w:bookmarkEnd w:id="129"/>
    <w:bookmarkEnd w:id="130"/>
    <w:p>
      <w:pPr>
        <w:jc w:val="center"/>
        <w:rPr>
          <w:rFonts w:hint="eastAsia" w:ascii="宋体" w:hAnsi="宋体" w:cs="宋体"/>
          <w:b/>
          <w:color w:val="000000"/>
          <w:szCs w:val="28"/>
          <w:highlight w:val="none"/>
        </w:rPr>
      </w:pPr>
      <w:bookmarkStart w:id="131" w:name="_Toc24198_WPSOffice_Level1"/>
      <w:bookmarkStart w:id="132" w:name="_Toc571_WPSOffice_Level1"/>
      <w:bookmarkStart w:id="133" w:name="_Toc202697127"/>
    </w:p>
    <w:p>
      <w:pPr>
        <w:rPr>
          <w:rFonts w:hint="eastAsia" w:ascii="宋体" w:hAnsi="宋体" w:cs="宋体"/>
          <w:b/>
          <w:color w:val="000000"/>
          <w:szCs w:val="28"/>
          <w:highlight w:val="none"/>
        </w:rPr>
      </w:pPr>
      <w:r>
        <w:rPr>
          <w:rFonts w:hint="eastAsia" w:ascii="宋体" w:hAnsi="宋体" w:cs="宋体"/>
          <w:b/>
          <w:color w:val="000000"/>
          <w:szCs w:val="28"/>
          <w:highlight w:val="none"/>
        </w:rPr>
        <w:br w:type="page"/>
      </w:r>
    </w:p>
    <w:p>
      <w:pPr>
        <w:jc w:val="center"/>
        <w:rPr>
          <w:rFonts w:hint="eastAsia" w:ascii="宋体" w:hAnsi="宋体" w:cs="宋体"/>
          <w:b/>
          <w:color w:val="000000"/>
          <w:szCs w:val="28"/>
          <w:highlight w:val="none"/>
        </w:rPr>
      </w:pPr>
      <w:r>
        <w:rPr>
          <w:rFonts w:hint="eastAsia" w:ascii="宋体" w:hAnsi="宋体" w:cs="宋体"/>
          <w:b/>
          <w:color w:val="000000"/>
          <w:szCs w:val="28"/>
          <w:highlight w:val="none"/>
        </w:rPr>
        <w:t>二、法定代表人身份证明或授权委托书</w:t>
      </w:r>
    </w:p>
    <w:p>
      <w:pPr>
        <w:rPr>
          <w:rFonts w:hint="eastAsia" w:ascii="宋体" w:hAnsi="宋体" w:cs="宋体"/>
          <w:color w:val="000000"/>
          <w:sz w:val="24"/>
          <w:highlight w:val="none"/>
        </w:rPr>
      </w:pPr>
    </w:p>
    <w:p>
      <w:pPr>
        <w:jc w:val="center"/>
        <w:rPr>
          <w:rFonts w:hint="eastAsia" w:ascii="宋体" w:hAnsi="宋体" w:cs="宋体"/>
          <w:color w:val="000000"/>
          <w:sz w:val="24"/>
          <w:highlight w:val="none"/>
        </w:rPr>
      </w:pPr>
      <w:r>
        <w:rPr>
          <w:rFonts w:hint="eastAsia" w:ascii="宋体" w:hAnsi="宋体" w:cs="宋体"/>
          <w:color w:val="000000"/>
          <w:sz w:val="24"/>
          <w:highlight w:val="none"/>
        </w:rPr>
        <w:t>（一） 法定代表人身份证明书</w:t>
      </w:r>
    </w:p>
    <w:p>
      <w:pPr>
        <w:rPr>
          <w:rFonts w:hint="eastAsia" w:ascii="宋体" w:hAnsi="宋体" w:cs="宋体"/>
          <w:color w:val="000000"/>
          <w:sz w:val="21"/>
          <w:szCs w:val="21"/>
          <w:highlight w:val="none"/>
        </w:rPr>
      </w:pPr>
    </w:p>
    <w:p>
      <w:pPr>
        <w:rPr>
          <w:rFonts w:hint="eastAsia" w:ascii="宋体" w:hAnsi="宋体" w:cs="宋体"/>
          <w:color w:val="000000"/>
          <w:sz w:val="21"/>
          <w:szCs w:val="21"/>
          <w:highlight w:val="none"/>
        </w:rPr>
      </w:pP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投标人名称：</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 xml:space="preserve"> </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单位性质：</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 xml:space="preserve"> </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地址：</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 xml:space="preserve"> </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成立时间：</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年</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月</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日</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经营期限：</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 xml:space="preserve"> </w:t>
      </w:r>
    </w:p>
    <w:p>
      <w:pPr>
        <w:spacing w:line="360" w:lineRule="auto"/>
        <w:ind w:firstLine="420" w:firstLineChars="200"/>
        <w:rPr>
          <w:rFonts w:hint="eastAsia" w:ascii="宋体" w:hAnsi="宋体" w:cs="宋体"/>
          <w:color w:val="000000"/>
          <w:sz w:val="21"/>
          <w:szCs w:val="21"/>
          <w:highlight w:val="none"/>
          <w:u w:val="single"/>
        </w:rPr>
      </w:pPr>
      <w:r>
        <w:rPr>
          <w:rFonts w:hint="eastAsia" w:ascii="宋体" w:hAnsi="宋体" w:cs="宋体"/>
          <w:color w:val="000000"/>
          <w:sz w:val="21"/>
          <w:szCs w:val="21"/>
          <w:highlight w:val="none"/>
        </w:rPr>
        <w:t>姓名：</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性别：</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年龄：</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身份证号码：</w:t>
      </w:r>
      <w:r>
        <w:rPr>
          <w:rFonts w:hint="eastAsia" w:ascii="宋体" w:hAnsi="宋体" w:cs="宋体"/>
          <w:color w:val="000000"/>
          <w:sz w:val="21"/>
          <w:szCs w:val="21"/>
          <w:highlight w:val="none"/>
          <w:u w:val="single"/>
        </w:rPr>
        <w:t xml:space="preserve">             </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职务：</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系</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（投标人名称）的法定代表人。</w:t>
      </w:r>
    </w:p>
    <w:p>
      <w:pPr>
        <w:spacing w:line="360" w:lineRule="auto"/>
        <w:ind w:firstLine="840" w:firstLineChars="400"/>
        <w:rPr>
          <w:rFonts w:hint="eastAsia" w:ascii="宋体" w:hAnsi="宋体" w:cs="宋体"/>
          <w:color w:val="000000"/>
          <w:sz w:val="21"/>
          <w:szCs w:val="21"/>
          <w:highlight w:val="none"/>
        </w:rPr>
      </w:pPr>
      <w:r>
        <w:rPr>
          <w:rFonts w:hint="eastAsia" w:ascii="宋体" w:hAnsi="宋体" w:cs="宋体"/>
          <w:color w:val="000000"/>
          <w:sz w:val="21"/>
          <w:szCs w:val="21"/>
          <w:highlight w:val="none"/>
        </w:rPr>
        <w:t>特此证明。</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附：法定代表人身份证复印件</w:t>
      </w:r>
    </w:p>
    <w:p>
      <w:pPr>
        <w:spacing w:line="360" w:lineRule="auto"/>
        <w:ind w:firstLine="420" w:firstLineChars="200"/>
        <w:rPr>
          <w:rFonts w:hint="eastAsia" w:ascii="宋体" w:hAnsi="宋体" w:cs="宋体"/>
          <w:color w:val="000000"/>
          <w:sz w:val="21"/>
          <w:szCs w:val="21"/>
          <w:highlight w:val="none"/>
        </w:rPr>
      </w:pPr>
    </w:p>
    <w:p>
      <w:pPr>
        <w:spacing w:line="360" w:lineRule="auto"/>
        <w:ind w:firstLine="420" w:firstLineChars="200"/>
        <w:rPr>
          <w:rFonts w:hint="eastAsia" w:ascii="宋体" w:hAnsi="宋体" w:cs="宋体"/>
          <w:color w:val="000000"/>
          <w:sz w:val="21"/>
          <w:szCs w:val="21"/>
          <w:highlight w:val="none"/>
        </w:rPr>
      </w:pPr>
    </w:p>
    <w:p>
      <w:pPr>
        <w:spacing w:line="360" w:lineRule="auto"/>
        <w:ind w:firstLine="420" w:firstLineChars="200"/>
        <w:rPr>
          <w:rFonts w:hint="eastAsia" w:ascii="宋体" w:hAnsi="宋体" w:cs="宋体"/>
          <w:color w:val="000000"/>
          <w:sz w:val="21"/>
          <w:szCs w:val="21"/>
          <w:highlight w:val="none"/>
        </w:rPr>
      </w:pPr>
    </w:p>
    <w:p>
      <w:pPr>
        <w:spacing w:line="360" w:lineRule="auto"/>
        <w:ind w:firstLine="4200" w:firstLineChars="2000"/>
        <w:rPr>
          <w:rFonts w:hint="eastAsia" w:ascii="宋体" w:hAnsi="宋体" w:cs="宋体"/>
          <w:color w:val="000000"/>
          <w:sz w:val="21"/>
          <w:szCs w:val="21"/>
          <w:highlight w:val="none"/>
        </w:rPr>
      </w:pPr>
      <w:r>
        <w:rPr>
          <w:rFonts w:hint="eastAsia" w:ascii="宋体" w:hAnsi="宋体" w:cs="宋体"/>
          <w:color w:val="000000"/>
          <w:sz w:val="21"/>
          <w:szCs w:val="21"/>
          <w:highlight w:val="none"/>
        </w:rPr>
        <w:t>投标人：</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（盖单位章）</w:t>
      </w:r>
    </w:p>
    <w:p>
      <w:pPr>
        <w:spacing w:line="360" w:lineRule="auto"/>
        <w:ind w:firstLine="4515" w:firstLineChars="2150"/>
        <w:rPr>
          <w:rFonts w:hint="eastAsia" w:ascii="宋体" w:hAnsi="宋体" w:cs="宋体"/>
          <w:color w:val="000000"/>
          <w:sz w:val="21"/>
          <w:szCs w:val="21"/>
          <w:highlight w:val="none"/>
          <w:u w:val="single"/>
        </w:rPr>
      </w:pPr>
    </w:p>
    <w:p>
      <w:pPr>
        <w:spacing w:line="360" w:lineRule="auto"/>
        <w:ind w:firstLine="4515" w:firstLineChars="2150"/>
        <w:rPr>
          <w:rFonts w:hint="eastAsia" w:ascii="宋体" w:hAnsi="宋体" w:cs="宋体"/>
          <w:color w:val="000000"/>
          <w:sz w:val="21"/>
          <w:szCs w:val="21"/>
          <w:highlight w:val="none"/>
        </w:rPr>
      </w:pP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年</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月</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日</w:t>
      </w:r>
    </w:p>
    <w:p>
      <w:pPr>
        <w:spacing w:line="360" w:lineRule="auto"/>
        <w:ind w:firstLine="4515" w:firstLineChars="2150"/>
        <w:rPr>
          <w:rFonts w:hint="eastAsia" w:ascii="宋体" w:hAnsi="宋体" w:cs="宋体"/>
          <w:color w:val="000000"/>
          <w:sz w:val="21"/>
          <w:szCs w:val="21"/>
          <w:highlight w:val="none"/>
        </w:rPr>
      </w:pPr>
    </w:p>
    <w:p>
      <w:pPr>
        <w:rPr>
          <w:rFonts w:hint="eastAsia" w:ascii="宋体" w:hAnsi="宋体" w:cs="宋体"/>
          <w:b/>
          <w:bCs/>
          <w:color w:val="000000"/>
          <w:sz w:val="24"/>
          <w:highlight w:val="none"/>
        </w:rPr>
      </w:pPr>
      <w:r>
        <w:rPr>
          <w:rFonts w:hint="eastAsia" w:ascii="宋体" w:hAnsi="宋体" w:cs="宋体"/>
          <w:b/>
          <w:bCs/>
          <w:color w:val="000000"/>
          <w:sz w:val="24"/>
          <w:highlight w:val="none"/>
        </w:rPr>
        <w:br w:type="page"/>
      </w:r>
    </w:p>
    <w:p>
      <w:pPr>
        <w:jc w:val="center"/>
        <w:rPr>
          <w:rFonts w:hint="eastAsia" w:ascii="宋体" w:hAnsi="宋体" w:cs="宋体"/>
          <w:b/>
          <w:bCs/>
          <w:color w:val="000000"/>
          <w:sz w:val="24"/>
          <w:highlight w:val="none"/>
        </w:rPr>
      </w:pPr>
      <w:r>
        <w:rPr>
          <w:rFonts w:hint="eastAsia" w:ascii="宋体" w:hAnsi="宋体" w:cs="宋体"/>
          <w:b/>
          <w:bCs/>
          <w:color w:val="000000"/>
          <w:sz w:val="24"/>
          <w:highlight w:val="none"/>
        </w:rPr>
        <w:t>（二） 授权委托书</w:t>
      </w:r>
    </w:p>
    <w:p>
      <w:pPr>
        <w:spacing w:line="360" w:lineRule="auto"/>
        <w:ind w:firstLine="480" w:firstLineChars="200"/>
        <w:rPr>
          <w:rFonts w:hint="eastAsia" w:ascii="宋体" w:hAnsi="宋体" w:cs="宋体"/>
          <w:color w:val="000000"/>
          <w:sz w:val="24"/>
          <w:highlight w:val="none"/>
        </w:rPr>
      </w:pP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本人</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（姓名）系</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（投标人名称）的法定代表人，现委托</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（姓名）为我方代理人。代理人根据授权，以我方名义签署、澄清、说明、补正、递交、撤回、修改</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（项目名称）投标文件、签订合同和处理有关事宜，其法律后果由我方承担。</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委托期限：</w:t>
      </w:r>
      <w:r>
        <w:rPr>
          <w:rFonts w:hint="eastAsia" w:ascii="宋体" w:hAnsi="宋体" w:cs="宋体"/>
          <w:color w:val="000000"/>
          <w:sz w:val="21"/>
          <w:szCs w:val="21"/>
          <w:highlight w:val="none"/>
          <w:u w:val="single"/>
        </w:rPr>
        <w:t xml:space="preserve"> 至投标有效期的期满之日止。 </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代理人无转委托权。</w:t>
      </w:r>
    </w:p>
    <w:p>
      <w:pPr>
        <w:spacing w:line="360" w:lineRule="auto"/>
        <w:ind w:firstLine="420" w:firstLineChars="200"/>
        <w:rPr>
          <w:rFonts w:hint="eastAsia" w:ascii="宋体" w:hAnsi="宋体" w:cs="宋体"/>
          <w:color w:val="000000"/>
          <w:sz w:val="21"/>
          <w:szCs w:val="21"/>
          <w:highlight w:val="none"/>
        </w:rPr>
      </w:pPr>
      <w:r>
        <w:rPr>
          <w:rFonts w:hint="eastAsia" w:ascii="宋体" w:hAnsi="宋体" w:cs="宋体"/>
          <w:color w:val="000000"/>
          <w:sz w:val="21"/>
          <w:szCs w:val="21"/>
          <w:highlight w:val="none"/>
        </w:rPr>
        <w:t>附：授权委托人的身份证复印件。</w:t>
      </w:r>
    </w:p>
    <w:p>
      <w:pPr>
        <w:spacing w:line="360" w:lineRule="auto"/>
        <w:ind w:firstLine="420" w:firstLineChars="200"/>
        <w:rPr>
          <w:rFonts w:hint="eastAsia" w:ascii="宋体" w:hAnsi="宋体" w:cs="宋体"/>
          <w:color w:val="000000"/>
          <w:sz w:val="21"/>
          <w:szCs w:val="21"/>
          <w:highlight w:val="none"/>
        </w:rPr>
      </w:pPr>
    </w:p>
    <w:p>
      <w:pPr>
        <w:spacing w:line="360" w:lineRule="auto"/>
        <w:ind w:firstLine="420" w:firstLineChars="200"/>
        <w:rPr>
          <w:rFonts w:hint="eastAsia" w:ascii="宋体" w:hAnsi="宋体" w:cs="宋体"/>
          <w:color w:val="000000"/>
          <w:sz w:val="21"/>
          <w:szCs w:val="21"/>
          <w:highlight w:val="none"/>
        </w:rPr>
      </w:pPr>
    </w:p>
    <w:p>
      <w:pPr>
        <w:spacing w:line="360" w:lineRule="auto"/>
        <w:ind w:firstLine="420" w:firstLineChars="200"/>
        <w:rPr>
          <w:rFonts w:hint="eastAsia" w:ascii="宋体" w:hAnsi="宋体" w:cs="宋体"/>
          <w:color w:val="000000"/>
          <w:sz w:val="21"/>
          <w:szCs w:val="21"/>
          <w:highlight w:val="none"/>
        </w:rPr>
      </w:pPr>
    </w:p>
    <w:p>
      <w:pPr>
        <w:spacing w:line="360" w:lineRule="auto"/>
        <w:ind w:firstLine="420" w:firstLineChars="200"/>
        <w:rPr>
          <w:rFonts w:hint="eastAsia" w:ascii="宋体" w:hAnsi="宋体" w:cs="宋体"/>
          <w:color w:val="000000"/>
          <w:sz w:val="21"/>
          <w:szCs w:val="21"/>
          <w:highlight w:val="none"/>
        </w:rPr>
      </w:pPr>
    </w:p>
    <w:p>
      <w:pPr>
        <w:spacing w:line="360" w:lineRule="auto"/>
        <w:ind w:firstLine="4515" w:firstLineChars="2150"/>
        <w:rPr>
          <w:rFonts w:hint="eastAsia" w:ascii="宋体" w:hAnsi="宋体" w:cs="宋体"/>
          <w:color w:val="000000"/>
          <w:sz w:val="21"/>
          <w:szCs w:val="21"/>
          <w:highlight w:val="none"/>
        </w:rPr>
      </w:pPr>
    </w:p>
    <w:p>
      <w:pPr>
        <w:spacing w:line="360" w:lineRule="auto"/>
        <w:jc w:val="right"/>
        <w:rPr>
          <w:rFonts w:hint="eastAsia" w:ascii="宋体" w:hAnsi="宋体" w:cs="宋体"/>
          <w:color w:val="000000"/>
          <w:sz w:val="21"/>
          <w:szCs w:val="21"/>
          <w:highlight w:val="none"/>
        </w:rPr>
      </w:pPr>
      <w:r>
        <w:rPr>
          <w:rFonts w:hint="eastAsia" w:ascii="宋体" w:hAnsi="宋体" w:cs="宋体"/>
          <w:color w:val="000000"/>
          <w:sz w:val="21"/>
          <w:szCs w:val="21"/>
          <w:highlight w:val="none"/>
        </w:rPr>
        <w:t>投标人：</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（盖单位章）</w:t>
      </w:r>
    </w:p>
    <w:p>
      <w:pPr>
        <w:spacing w:line="360" w:lineRule="auto"/>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 xml:space="preserve">                                               法定代表人：</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（签字）</w:t>
      </w:r>
    </w:p>
    <w:p>
      <w:pPr>
        <w:spacing w:line="360" w:lineRule="auto"/>
        <w:ind w:firstLine="5355" w:firstLineChars="2550"/>
        <w:rPr>
          <w:rFonts w:hint="eastAsia" w:ascii="宋体" w:hAnsi="宋体" w:cs="宋体"/>
          <w:color w:val="000000"/>
          <w:sz w:val="21"/>
          <w:szCs w:val="21"/>
          <w:highlight w:val="none"/>
        </w:rPr>
      </w:pPr>
      <w:r>
        <w:rPr>
          <w:rFonts w:hint="eastAsia" w:ascii="宋体" w:hAnsi="宋体" w:cs="宋体"/>
          <w:color w:val="000000"/>
          <w:sz w:val="21"/>
          <w:szCs w:val="21"/>
          <w:highlight w:val="none"/>
        </w:rPr>
        <w:t>身份证号码：</w:t>
      </w:r>
      <w:r>
        <w:rPr>
          <w:rFonts w:hint="eastAsia" w:ascii="宋体" w:hAnsi="宋体" w:cs="宋体"/>
          <w:color w:val="000000"/>
          <w:sz w:val="21"/>
          <w:szCs w:val="21"/>
          <w:highlight w:val="none"/>
          <w:u w:val="single"/>
        </w:rPr>
        <w:t xml:space="preserve">                  </w:t>
      </w:r>
    </w:p>
    <w:p>
      <w:pPr>
        <w:spacing w:line="360" w:lineRule="auto"/>
        <w:ind w:firstLine="5460" w:firstLineChars="2600"/>
        <w:rPr>
          <w:rFonts w:hint="eastAsia" w:ascii="宋体" w:hAnsi="宋体" w:cs="宋体"/>
          <w:color w:val="000000"/>
          <w:sz w:val="21"/>
          <w:szCs w:val="21"/>
          <w:highlight w:val="none"/>
        </w:rPr>
      </w:pPr>
      <w:r>
        <w:rPr>
          <w:rFonts w:hint="eastAsia" w:ascii="宋体" w:hAnsi="宋体" w:cs="宋体"/>
          <w:color w:val="000000"/>
          <w:sz w:val="21"/>
          <w:szCs w:val="21"/>
          <w:highlight w:val="none"/>
        </w:rPr>
        <w:t>委托代理人：</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（签字）</w:t>
      </w:r>
    </w:p>
    <w:p>
      <w:pPr>
        <w:spacing w:line="360" w:lineRule="auto"/>
        <w:ind w:firstLine="5460" w:firstLineChars="2600"/>
        <w:rPr>
          <w:rFonts w:hint="eastAsia" w:ascii="宋体" w:hAnsi="宋体" w:cs="宋体"/>
          <w:color w:val="000000"/>
          <w:sz w:val="21"/>
          <w:szCs w:val="21"/>
          <w:highlight w:val="none"/>
        </w:rPr>
      </w:pPr>
      <w:r>
        <w:rPr>
          <w:rFonts w:hint="eastAsia" w:ascii="宋体" w:hAnsi="宋体" w:cs="宋体"/>
          <w:color w:val="000000"/>
          <w:sz w:val="21"/>
          <w:szCs w:val="21"/>
          <w:highlight w:val="none"/>
        </w:rPr>
        <w:t>身份证号码：</w:t>
      </w:r>
      <w:r>
        <w:rPr>
          <w:rFonts w:hint="eastAsia" w:ascii="宋体" w:hAnsi="宋体" w:cs="宋体"/>
          <w:color w:val="000000"/>
          <w:sz w:val="21"/>
          <w:szCs w:val="21"/>
          <w:highlight w:val="none"/>
          <w:u w:val="single"/>
        </w:rPr>
        <w:t xml:space="preserve">                   </w:t>
      </w:r>
    </w:p>
    <w:p>
      <w:pPr>
        <w:spacing w:line="360" w:lineRule="auto"/>
        <w:ind w:firstLine="5145" w:firstLineChars="2450"/>
        <w:rPr>
          <w:rFonts w:hint="eastAsia" w:ascii="宋体" w:hAnsi="宋体" w:cs="宋体"/>
          <w:color w:val="000000"/>
          <w:sz w:val="21"/>
          <w:szCs w:val="21"/>
          <w:highlight w:val="none"/>
          <w:u w:val="single"/>
        </w:rPr>
      </w:pPr>
    </w:p>
    <w:p>
      <w:pPr>
        <w:spacing w:line="360" w:lineRule="auto"/>
        <w:jc w:val="right"/>
        <w:rPr>
          <w:rFonts w:hint="eastAsia" w:ascii="宋体" w:hAnsi="宋体" w:cs="宋体"/>
          <w:color w:val="000000"/>
          <w:sz w:val="21"/>
          <w:szCs w:val="21"/>
          <w:highlight w:val="none"/>
        </w:rPr>
      </w:pP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年</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月</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日</w:t>
      </w:r>
    </w:p>
    <w:p>
      <w:pPr>
        <w:spacing w:line="360" w:lineRule="auto"/>
        <w:ind w:firstLine="4515" w:firstLineChars="2150"/>
        <w:rPr>
          <w:rFonts w:hint="eastAsia" w:ascii="宋体" w:hAnsi="宋体" w:cs="宋体"/>
          <w:color w:val="000000"/>
          <w:sz w:val="21"/>
          <w:szCs w:val="21"/>
          <w:highlight w:val="none"/>
        </w:rPr>
      </w:pPr>
    </w:p>
    <w:p>
      <w:pPr>
        <w:autoSpaceDE w:val="0"/>
        <w:autoSpaceDN w:val="0"/>
        <w:adjustRightInd w:val="0"/>
        <w:snapToGrid w:val="0"/>
        <w:spacing w:before="194" w:beforeLines="50" w:after="194" w:afterLines="50" w:line="300" w:lineRule="auto"/>
        <w:jc w:val="left"/>
        <w:rPr>
          <w:rFonts w:hint="eastAsia" w:ascii="宋体" w:hAnsi="宋体" w:cs="宋体"/>
          <w:b/>
          <w:bCs/>
          <w:color w:val="000000"/>
          <w:sz w:val="21"/>
          <w:szCs w:val="21"/>
          <w:highlight w:val="none"/>
        </w:rPr>
      </w:pPr>
      <w:r>
        <w:rPr>
          <w:rFonts w:hint="eastAsia" w:ascii="宋体" w:hAnsi="宋体" w:cs="宋体"/>
          <w:color w:val="000000"/>
          <w:sz w:val="21"/>
          <w:szCs w:val="21"/>
          <w:highlight w:val="none"/>
        </w:rPr>
        <w:t>注：如法人负责投标相关事宜，则无需提供授权委托书。</w:t>
      </w:r>
    </w:p>
    <w:p>
      <w:pPr>
        <w:rPr>
          <w:rFonts w:hint="eastAsia"/>
          <w:b/>
          <w:bCs/>
          <w:color w:val="000000"/>
          <w:szCs w:val="28"/>
          <w:highlight w:val="none"/>
        </w:rPr>
      </w:pPr>
      <w:r>
        <w:rPr>
          <w:rFonts w:hint="eastAsia"/>
          <w:b/>
          <w:bCs/>
          <w:color w:val="000000"/>
          <w:szCs w:val="28"/>
          <w:highlight w:val="none"/>
        </w:rPr>
        <w:br w:type="page"/>
      </w:r>
    </w:p>
    <w:p>
      <w:pPr>
        <w:spacing w:line="525" w:lineRule="exact"/>
        <w:ind w:right="457"/>
        <w:jc w:val="center"/>
        <w:rPr>
          <w:b/>
          <w:bCs/>
          <w:color w:val="000000"/>
          <w:szCs w:val="28"/>
          <w:highlight w:val="none"/>
        </w:rPr>
      </w:pPr>
      <w:r>
        <w:rPr>
          <w:rFonts w:hint="eastAsia"/>
          <w:b/>
          <w:bCs/>
          <w:color w:val="000000"/>
          <w:szCs w:val="28"/>
          <w:highlight w:val="none"/>
        </w:rPr>
        <w:t>三、</w:t>
      </w:r>
      <w:bookmarkStart w:id="134" w:name="_bookmark182"/>
      <w:bookmarkEnd w:id="134"/>
      <w:r>
        <w:rPr>
          <w:rFonts w:hint="eastAsia"/>
          <w:b/>
          <w:bCs/>
          <w:color w:val="000000"/>
          <w:szCs w:val="28"/>
          <w:highlight w:val="none"/>
        </w:rPr>
        <w:t>投标保证金</w:t>
      </w:r>
      <w:bookmarkEnd w:id="131"/>
      <w:bookmarkEnd w:id="132"/>
    </w:p>
    <w:p>
      <w:pPr>
        <w:spacing w:line="525" w:lineRule="exact"/>
        <w:ind w:right="459" w:firstLine="420" w:firstLineChars="200"/>
        <w:jc w:val="left"/>
        <w:rPr>
          <w:rFonts w:hint="eastAsia"/>
          <w:color w:val="000000"/>
          <w:sz w:val="21"/>
          <w:szCs w:val="21"/>
          <w:highlight w:val="none"/>
        </w:rPr>
      </w:pPr>
      <w:bookmarkStart w:id="135" w:name="_bookmark183"/>
      <w:bookmarkEnd w:id="135"/>
    </w:p>
    <w:p>
      <w:pPr>
        <w:spacing w:line="525" w:lineRule="exact"/>
        <w:ind w:right="459" w:firstLine="420" w:firstLineChars="200"/>
        <w:jc w:val="left"/>
        <w:rPr>
          <w:rFonts w:hint="eastAsia"/>
          <w:color w:val="000000"/>
          <w:sz w:val="21"/>
          <w:szCs w:val="21"/>
          <w:highlight w:val="none"/>
        </w:rPr>
      </w:pPr>
      <w:r>
        <w:rPr>
          <w:rFonts w:hint="eastAsia"/>
          <w:color w:val="000000"/>
          <w:sz w:val="21"/>
          <w:szCs w:val="21"/>
          <w:highlight w:val="none"/>
        </w:rPr>
        <w:t>若采用投标保证金方式，投标人应在此提供汇款凭证的彩色扫描件。</w:t>
      </w:r>
    </w:p>
    <w:p>
      <w:pPr>
        <w:spacing w:line="525" w:lineRule="exact"/>
        <w:ind w:right="459" w:firstLine="420" w:firstLineChars="200"/>
        <w:jc w:val="left"/>
        <w:rPr>
          <w:rFonts w:hint="eastAsia"/>
          <w:color w:val="000000"/>
          <w:sz w:val="21"/>
          <w:szCs w:val="21"/>
          <w:highlight w:val="none"/>
        </w:rPr>
      </w:pPr>
      <w:r>
        <w:rPr>
          <w:rFonts w:hint="eastAsia"/>
          <w:color w:val="000000"/>
          <w:sz w:val="21"/>
          <w:szCs w:val="21"/>
          <w:highlight w:val="none"/>
        </w:rPr>
        <w:t>若采用投标保证担保方式，格式以各银行出具为准，投标人应在此提供银行保函的彩色扫描件。</w:t>
      </w:r>
    </w:p>
    <w:p>
      <w:pPr>
        <w:spacing w:line="525" w:lineRule="exact"/>
        <w:ind w:right="459" w:firstLine="420" w:firstLineChars="200"/>
        <w:jc w:val="left"/>
        <w:rPr>
          <w:rFonts w:hint="eastAsia"/>
          <w:color w:val="000000"/>
          <w:sz w:val="21"/>
          <w:szCs w:val="21"/>
          <w:highlight w:val="none"/>
        </w:rPr>
      </w:pPr>
      <w:r>
        <w:rPr>
          <w:rFonts w:hint="eastAsia"/>
          <w:color w:val="000000"/>
          <w:sz w:val="21"/>
          <w:szCs w:val="21"/>
          <w:highlight w:val="none"/>
        </w:rPr>
        <w:t>若采用投标保证保险方式，投标人应在此提供建设工程交易系统网上投保后的电子保单彩色扫描件或截图。</w:t>
      </w:r>
    </w:p>
    <w:p>
      <w:pPr>
        <w:spacing w:line="525" w:lineRule="exact"/>
        <w:ind w:right="459" w:firstLine="480" w:firstLineChars="200"/>
        <w:jc w:val="left"/>
        <w:rPr>
          <w:rFonts w:hint="eastAsia"/>
          <w:color w:val="000000"/>
          <w:sz w:val="24"/>
          <w:highlight w:val="none"/>
        </w:rPr>
      </w:pPr>
    </w:p>
    <w:p>
      <w:pPr>
        <w:pStyle w:val="11"/>
        <w:spacing w:line="360" w:lineRule="auto"/>
        <w:jc w:val="center"/>
        <w:rPr>
          <w:rFonts w:hint="eastAsia" w:eastAsia="宋体"/>
          <w:b/>
          <w:bCs/>
          <w:color w:val="000000"/>
          <w:sz w:val="28"/>
          <w:szCs w:val="28"/>
          <w:highlight w:val="none"/>
          <w:lang w:val="en-US" w:eastAsia="zh-CN"/>
        </w:rPr>
      </w:pPr>
      <w:r>
        <w:rPr>
          <w:color w:val="000000"/>
          <w:highlight w:val="none"/>
        </w:rPr>
        <w:br w:type="page"/>
      </w:r>
      <w:r>
        <w:rPr>
          <w:rFonts w:hint="eastAsia"/>
          <w:b/>
          <w:bCs/>
          <w:color w:val="000000"/>
          <w:sz w:val="28"/>
          <w:szCs w:val="28"/>
          <w:highlight w:val="none"/>
        </w:rPr>
        <w:t>四、</w:t>
      </w:r>
      <w:r>
        <w:rPr>
          <w:rFonts w:hint="eastAsia"/>
          <w:b/>
          <w:bCs/>
          <w:color w:val="000000"/>
          <w:sz w:val="28"/>
          <w:szCs w:val="28"/>
          <w:highlight w:val="none"/>
          <w:lang w:val="en-US" w:eastAsia="zh-CN"/>
        </w:rPr>
        <w:t>报价表</w:t>
      </w:r>
    </w:p>
    <w:p>
      <w:pPr>
        <w:spacing w:before="62" w:line="360" w:lineRule="auto"/>
        <w:jc w:val="center"/>
        <w:rPr>
          <w:rFonts w:hint="default"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rPr>
        <w:t>（一）</w:t>
      </w:r>
      <w:r>
        <w:rPr>
          <w:rFonts w:hint="eastAsia" w:ascii="宋体" w:hAnsi="宋体" w:cs="宋体"/>
          <w:b w:val="0"/>
          <w:bCs w:val="0"/>
          <w:color w:val="000000"/>
          <w:sz w:val="28"/>
          <w:szCs w:val="28"/>
          <w:highlight w:val="none"/>
          <w:lang w:val="en-US" w:eastAsia="zh-CN"/>
        </w:rPr>
        <w:t>开标一览表</w:t>
      </w:r>
    </w:p>
    <w:p>
      <w:pPr>
        <w:kinsoku/>
        <w:autoSpaceDE/>
        <w:autoSpaceDN/>
        <w:textAlignment w:val="auto"/>
        <w:rPr>
          <w:rFonts w:hint="eastAsia"/>
          <w:color w:val="auto"/>
          <w:sz w:val="24"/>
          <w:szCs w:val="24"/>
          <w:highlight w:val="none"/>
        </w:rPr>
      </w:pPr>
      <w:r>
        <w:rPr>
          <w:color w:val="auto"/>
          <w:sz w:val="24"/>
          <w:szCs w:val="24"/>
          <w:highlight w:val="none"/>
        </w:rPr>
        <w:t xml:space="preserve">项目名称：                  </w:t>
      </w:r>
    </w:p>
    <w:p>
      <w:pPr>
        <w:kinsoku/>
        <w:autoSpaceDE/>
        <w:autoSpaceDN/>
        <w:textAlignment w:val="auto"/>
        <w:rPr>
          <w:rFonts w:hint="eastAsia"/>
          <w:color w:val="auto"/>
          <w:sz w:val="24"/>
          <w:szCs w:val="24"/>
          <w:highlight w:val="none"/>
        </w:rPr>
      </w:pPr>
      <w:r>
        <w:rPr>
          <w:color w:val="auto"/>
          <w:sz w:val="24"/>
          <w:szCs w:val="24"/>
          <w:highlight w:val="none"/>
        </w:rPr>
        <w:t xml:space="preserve">项目编号：                  </w:t>
      </w:r>
    </w:p>
    <w:tbl>
      <w:tblPr>
        <w:tblStyle w:val="27"/>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6"/>
        <w:gridCol w:w="1179"/>
        <w:gridCol w:w="4162"/>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106" w:type="dxa"/>
            <w:vAlign w:val="center"/>
          </w:tcPr>
          <w:p>
            <w:pPr>
              <w:spacing w:line="240" w:lineRule="auto"/>
              <w:jc w:val="center"/>
              <w:rPr>
                <w:rFonts w:hint="eastAsia"/>
                <w:color w:val="auto"/>
                <w:sz w:val="24"/>
                <w:szCs w:val="24"/>
                <w:highlight w:val="none"/>
              </w:rPr>
            </w:pPr>
            <w:r>
              <w:rPr>
                <w:rFonts w:hint="eastAsia"/>
                <w:color w:val="auto"/>
                <w:sz w:val="24"/>
                <w:szCs w:val="24"/>
                <w:highlight w:val="none"/>
              </w:rPr>
              <w:t>货物名称</w:t>
            </w:r>
          </w:p>
        </w:tc>
        <w:tc>
          <w:tcPr>
            <w:tcW w:w="1179" w:type="dxa"/>
            <w:vAlign w:val="center"/>
          </w:tcPr>
          <w:p>
            <w:pPr>
              <w:spacing w:line="240" w:lineRule="auto"/>
              <w:jc w:val="center"/>
              <w:rPr>
                <w:rFonts w:hint="eastAsia"/>
                <w:color w:val="auto"/>
                <w:sz w:val="24"/>
                <w:szCs w:val="24"/>
                <w:highlight w:val="none"/>
              </w:rPr>
            </w:pPr>
            <w:r>
              <w:rPr>
                <w:rFonts w:hint="eastAsia"/>
                <w:color w:val="auto"/>
                <w:sz w:val="24"/>
                <w:szCs w:val="24"/>
                <w:highlight w:val="none"/>
              </w:rPr>
              <w:t>单位</w:t>
            </w:r>
          </w:p>
        </w:tc>
        <w:tc>
          <w:tcPr>
            <w:tcW w:w="4162" w:type="dxa"/>
            <w:vAlign w:val="center"/>
          </w:tcPr>
          <w:p>
            <w:pPr>
              <w:spacing w:line="240" w:lineRule="auto"/>
              <w:jc w:val="center"/>
              <w:rPr>
                <w:rFonts w:hint="eastAsia"/>
                <w:color w:val="auto"/>
                <w:sz w:val="24"/>
                <w:szCs w:val="24"/>
                <w:highlight w:val="none"/>
              </w:rPr>
            </w:pPr>
            <w:r>
              <w:rPr>
                <w:rFonts w:hint="eastAsia"/>
                <w:color w:val="auto"/>
                <w:sz w:val="24"/>
                <w:szCs w:val="24"/>
                <w:highlight w:val="none"/>
                <w:lang w:val="en-US" w:eastAsia="zh-CN"/>
              </w:rPr>
              <w:t>投标总报</w:t>
            </w:r>
            <w:r>
              <w:rPr>
                <w:rFonts w:hint="eastAsia"/>
                <w:color w:val="auto"/>
                <w:sz w:val="24"/>
                <w:szCs w:val="24"/>
                <w:highlight w:val="none"/>
              </w:rPr>
              <w:t>价</w:t>
            </w:r>
          </w:p>
          <w:p>
            <w:pPr>
              <w:spacing w:line="240" w:lineRule="auto"/>
              <w:jc w:val="center"/>
              <w:rPr>
                <w:rFonts w:hint="eastAsia"/>
                <w:color w:val="auto"/>
                <w:sz w:val="24"/>
                <w:szCs w:val="24"/>
                <w:highlight w:val="none"/>
              </w:rPr>
            </w:pPr>
            <w:r>
              <w:rPr>
                <w:rFonts w:hint="eastAsia"/>
                <w:color w:val="auto"/>
                <w:sz w:val="24"/>
                <w:szCs w:val="24"/>
                <w:highlight w:val="none"/>
              </w:rPr>
              <w:t>（</w:t>
            </w:r>
            <w:r>
              <w:rPr>
                <w:rFonts w:hint="eastAsia"/>
                <w:color w:val="auto"/>
                <w:sz w:val="24"/>
                <w:szCs w:val="24"/>
                <w:highlight w:val="none"/>
                <w:lang w:val="en-US" w:eastAsia="zh-CN"/>
              </w:rPr>
              <w:t>含税，</w:t>
            </w:r>
            <w:r>
              <w:rPr>
                <w:rFonts w:hint="eastAsia"/>
                <w:color w:val="auto"/>
                <w:sz w:val="24"/>
                <w:szCs w:val="24"/>
                <w:highlight w:val="none"/>
              </w:rPr>
              <w:t>元）</w:t>
            </w:r>
          </w:p>
        </w:tc>
        <w:tc>
          <w:tcPr>
            <w:tcW w:w="1573" w:type="dxa"/>
            <w:vAlign w:val="center"/>
          </w:tcPr>
          <w:p>
            <w:pPr>
              <w:spacing w:line="240" w:lineRule="auto"/>
              <w:jc w:val="center"/>
              <w:rPr>
                <w:rFonts w:hint="eastAsia"/>
                <w:color w:val="auto"/>
                <w:sz w:val="24"/>
                <w:szCs w:val="24"/>
                <w:highlight w:val="none"/>
              </w:rPr>
            </w:pPr>
            <w:r>
              <w:rPr>
                <w:rFonts w:hint="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2106" w:type="dxa"/>
            <w:vMerge w:val="restart"/>
            <w:vAlign w:val="center"/>
          </w:tcPr>
          <w:p>
            <w:pPr>
              <w:widowControl w:val="0"/>
              <w:kinsoku/>
              <w:autoSpaceDE/>
              <w:autoSpaceDN/>
              <w:adjustRightInd/>
              <w:snapToGrid/>
              <w:spacing w:line="240" w:lineRule="auto"/>
              <w:jc w:val="center"/>
              <w:textAlignment w:val="auto"/>
              <w:rPr>
                <w:rFonts w:hint="eastAsia" w:eastAsia="宋体" w:cs="Times New Roman"/>
                <w:color w:val="auto"/>
                <w:sz w:val="24"/>
                <w:szCs w:val="24"/>
                <w:highlight w:val="none"/>
                <w:lang w:eastAsia="zh-CN"/>
              </w:rPr>
            </w:pPr>
            <w:r>
              <w:rPr>
                <w:rFonts w:hint="eastAsia" w:eastAsia="宋体" w:cs="Times New Roman"/>
                <w:color w:val="auto"/>
                <w:sz w:val="24"/>
                <w:szCs w:val="24"/>
                <w:highlight w:val="none"/>
                <w:lang w:eastAsia="zh-CN"/>
              </w:rPr>
              <w:t>粉煤制备系统安全技术升级改造</w:t>
            </w:r>
            <w:r>
              <w:rPr>
                <w:rFonts w:hint="eastAsia" w:eastAsia="宋体" w:cs="Times New Roman"/>
                <w:color w:val="auto"/>
                <w:sz w:val="24"/>
                <w:szCs w:val="24"/>
                <w:highlight w:val="none"/>
                <w:lang w:val="en-US" w:eastAsia="zh-CN"/>
              </w:rPr>
              <w:t>项目工艺设备</w:t>
            </w:r>
          </w:p>
        </w:tc>
        <w:tc>
          <w:tcPr>
            <w:tcW w:w="1179" w:type="dxa"/>
            <w:vMerge w:val="restart"/>
            <w:vAlign w:val="center"/>
          </w:tcPr>
          <w:p>
            <w:pPr>
              <w:widowControl w:val="0"/>
              <w:kinsoku/>
              <w:autoSpaceDE/>
              <w:autoSpaceDN/>
              <w:adjustRightInd/>
              <w:snapToGrid/>
              <w:spacing w:line="240" w:lineRule="auto"/>
              <w:jc w:val="center"/>
              <w:textAlignment w:val="auto"/>
              <w:rPr>
                <w:rFonts w:hint="eastAsia" w:eastAsia="宋体" w:cs="Times New Roman"/>
                <w:color w:val="auto"/>
                <w:sz w:val="24"/>
                <w:szCs w:val="24"/>
                <w:highlight w:val="none"/>
                <w:lang w:val="en-US" w:eastAsia="zh-CN"/>
              </w:rPr>
            </w:pPr>
            <w:r>
              <w:rPr>
                <w:rFonts w:hint="eastAsia" w:cs="Times New Roman"/>
                <w:color w:val="auto"/>
                <w:sz w:val="24"/>
                <w:szCs w:val="24"/>
                <w:highlight w:val="none"/>
              </w:rPr>
              <w:t>1</w:t>
            </w:r>
            <w:r>
              <w:rPr>
                <w:rFonts w:hint="eastAsia" w:cs="Times New Roman"/>
                <w:color w:val="auto"/>
                <w:sz w:val="24"/>
                <w:szCs w:val="24"/>
                <w:highlight w:val="none"/>
                <w:lang w:val="en-US" w:eastAsia="zh-CN"/>
              </w:rPr>
              <w:t>套</w:t>
            </w:r>
          </w:p>
        </w:tc>
        <w:tc>
          <w:tcPr>
            <w:tcW w:w="4162" w:type="dxa"/>
            <w:vAlign w:val="center"/>
          </w:tcPr>
          <w:p>
            <w:pPr>
              <w:widowControl w:val="0"/>
              <w:kinsoku/>
              <w:autoSpaceDE/>
              <w:autoSpaceDN/>
              <w:adjustRightInd/>
              <w:snapToGrid/>
              <w:spacing w:line="240" w:lineRule="auto"/>
              <w:jc w:val="both"/>
              <w:textAlignment w:val="auto"/>
              <w:rPr>
                <w:rFonts w:hint="default"/>
                <w:color w:val="auto"/>
                <w:sz w:val="24"/>
                <w:szCs w:val="24"/>
                <w:highlight w:val="none"/>
                <w:lang w:val="en-US"/>
              </w:rPr>
            </w:pPr>
            <w:r>
              <w:rPr>
                <w:rFonts w:hint="eastAsia"/>
                <w:color w:val="auto"/>
                <w:sz w:val="24"/>
                <w:szCs w:val="24"/>
                <w:highlight w:val="none"/>
                <w:lang w:val="en-US" w:eastAsia="zh-CN"/>
              </w:rPr>
              <w:t>小写：</w:t>
            </w:r>
            <w:r>
              <w:rPr>
                <w:rFonts w:hint="default"/>
                <w:color w:val="auto"/>
                <w:sz w:val="24"/>
                <w:szCs w:val="24"/>
                <w:highlight w:val="none"/>
                <w:lang w:val="en-US" w:eastAsia="zh-CN"/>
              </w:rPr>
              <w:t>¥</w:t>
            </w:r>
          </w:p>
        </w:tc>
        <w:tc>
          <w:tcPr>
            <w:tcW w:w="1573" w:type="dxa"/>
            <w:vMerge w:val="restart"/>
            <w:vAlign w:val="center"/>
          </w:tcPr>
          <w:p>
            <w:pPr>
              <w:widowControl w:val="0"/>
              <w:kinsoku/>
              <w:autoSpaceDE/>
              <w:autoSpaceDN/>
              <w:adjustRightInd/>
              <w:snapToGrid/>
              <w:spacing w:line="240" w:lineRule="auto"/>
              <w:jc w:val="both"/>
              <w:textAlignment w:val="auto"/>
              <w:rPr>
                <w:rFonts w:hint="eastAsia" w:cs="Times New Roman"/>
                <w:color w:val="auto"/>
                <w:sz w:val="24"/>
                <w:szCs w:val="24"/>
                <w:highlight w:val="none"/>
              </w:rPr>
            </w:pPr>
            <w:r>
              <w:rPr>
                <w:rFonts w:hint="eastAsia" w:cs="Times New Roman"/>
                <w:color w:val="auto"/>
                <w:sz w:val="24"/>
                <w:szCs w:val="24"/>
                <w:highlight w:val="none"/>
              </w:rPr>
              <w:t>明细见</w:t>
            </w:r>
            <w:r>
              <w:rPr>
                <w:color w:val="auto"/>
                <w:sz w:val="24"/>
                <w:szCs w:val="24"/>
                <w:highlight w:val="none"/>
              </w:rPr>
              <w:t>详细报价清单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2106" w:type="dxa"/>
            <w:vMerge w:val="continue"/>
            <w:vAlign w:val="center"/>
          </w:tcPr>
          <w:p>
            <w:pPr>
              <w:widowControl w:val="0"/>
              <w:kinsoku/>
              <w:autoSpaceDE/>
              <w:autoSpaceDN/>
              <w:adjustRightInd/>
              <w:snapToGrid/>
              <w:spacing w:line="240" w:lineRule="auto"/>
              <w:jc w:val="both"/>
              <w:textAlignment w:val="auto"/>
              <w:rPr>
                <w:color w:val="auto"/>
                <w:sz w:val="24"/>
                <w:szCs w:val="24"/>
              </w:rPr>
            </w:pPr>
          </w:p>
        </w:tc>
        <w:tc>
          <w:tcPr>
            <w:tcW w:w="1179" w:type="dxa"/>
            <w:vMerge w:val="continue"/>
            <w:vAlign w:val="center"/>
          </w:tcPr>
          <w:p>
            <w:pPr>
              <w:widowControl w:val="0"/>
              <w:kinsoku/>
              <w:autoSpaceDE/>
              <w:autoSpaceDN/>
              <w:adjustRightInd/>
              <w:snapToGrid/>
              <w:spacing w:line="240" w:lineRule="auto"/>
              <w:jc w:val="both"/>
              <w:textAlignment w:val="auto"/>
              <w:rPr>
                <w:color w:val="auto"/>
                <w:sz w:val="24"/>
                <w:szCs w:val="24"/>
              </w:rPr>
            </w:pPr>
          </w:p>
        </w:tc>
        <w:tc>
          <w:tcPr>
            <w:tcW w:w="4162" w:type="dxa"/>
            <w:vAlign w:val="center"/>
          </w:tcPr>
          <w:p>
            <w:pPr>
              <w:widowControl w:val="0"/>
              <w:kinsoku/>
              <w:autoSpaceDE/>
              <w:autoSpaceDN/>
              <w:adjustRightInd/>
              <w:snapToGrid/>
              <w:spacing w:line="240" w:lineRule="auto"/>
              <w:jc w:val="both"/>
              <w:textAlignment w:val="auto"/>
              <w:rPr>
                <w:rFonts w:hint="eastAsia"/>
                <w:color w:val="auto"/>
                <w:sz w:val="24"/>
                <w:szCs w:val="24"/>
                <w:highlight w:val="none"/>
                <w:lang w:val="en-US" w:eastAsia="zh-CN"/>
              </w:rPr>
            </w:pPr>
            <w:r>
              <w:rPr>
                <w:rFonts w:hint="eastAsia"/>
                <w:color w:val="auto"/>
                <w:sz w:val="24"/>
                <w:szCs w:val="24"/>
                <w:highlight w:val="none"/>
                <w:lang w:val="en-US" w:eastAsia="zh-CN"/>
              </w:rPr>
              <w:t>大写：</w:t>
            </w:r>
          </w:p>
        </w:tc>
        <w:tc>
          <w:tcPr>
            <w:tcW w:w="1573" w:type="dxa"/>
            <w:vMerge w:val="continue"/>
            <w:vAlign w:val="center"/>
          </w:tcPr>
          <w:p>
            <w:pPr>
              <w:widowControl w:val="0"/>
              <w:kinsoku/>
              <w:autoSpaceDE/>
              <w:autoSpaceDN/>
              <w:adjustRightInd/>
              <w:snapToGrid/>
              <w:spacing w:line="240" w:lineRule="auto"/>
              <w:jc w:val="both"/>
              <w:textAlignment w:val="auto"/>
              <w:rPr>
                <w:rFonts w:hint="eastAsia"/>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106" w:type="dxa"/>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r>
              <w:rPr>
                <w:rFonts w:ascii="Times New Roman" w:hAnsi="Times New Roman"/>
                <w:color w:val="auto"/>
                <w:sz w:val="24"/>
                <w:szCs w:val="24"/>
                <w:highlight w:val="none"/>
              </w:rPr>
              <w:t>备注</w:t>
            </w:r>
          </w:p>
        </w:tc>
        <w:tc>
          <w:tcPr>
            <w:tcW w:w="6914" w:type="dxa"/>
            <w:gridSpan w:val="3"/>
            <w:vAlign w:val="center"/>
          </w:tcPr>
          <w:p>
            <w:pPr>
              <w:widowControl w:val="0"/>
              <w:numPr>
                <w:ilvl w:val="0"/>
                <w:numId w:val="0"/>
              </w:numPr>
              <w:kinsoku/>
              <w:autoSpaceDE/>
              <w:autoSpaceDN/>
              <w:adjustRightInd/>
              <w:snapToGrid/>
              <w:spacing w:line="240" w:lineRule="auto"/>
              <w:jc w:val="both"/>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报价方式：采用人民币报价</w:t>
            </w:r>
          </w:p>
        </w:tc>
      </w:tr>
    </w:tbl>
    <w:p>
      <w:pPr>
        <w:pStyle w:val="3"/>
        <w:rPr>
          <w:rFonts w:hint="eastAsia"/>
          <w:color w:val="auto"/>
          <w:sz w:val="24"/>
          <w:szCs w:val="24"/>
          <w:highlight w:val="none"/>
        </w:rPr>
      </w:pPr>
    </w:p>
    <w:p>
      <w:pPr>
        <w:spacing w:line="360" w:lineRule="auto"/>
        <w:ind w:right="420"/>
        <w:rPr>
          <w:rFonts w:hint="eastAsia" w:ascii="宋体" w:hAnsi="宋体" w:eastAsia="宋体" w:cs="宋体"/>
          <w:color w:val="000000"/>
          <w:sz w:val="24"/>
          <w:szCs w:val="24"/>
          <w:highlight w:val="none"/>
          <w:u w:val="single"/>
          <w:lang w:eastAsia="zh-CN"/>
        </w:rPr>
      </w:pPr>
      <w:r>
        <w:rPr>
          <w:rFonts w:hint="eastAsia" w:ascii="宋体" w:hAnsi="宋体" w:cs="宋体"/>
          <w:color w:val="000000"/>
          <w:sz w:val="24"/>
          <w:szCs w:val="24"/>
          <w:highlight w:val="none"/>
        </w:rPr>
        <w:t>投标人：</w:t>
      </w:r>
      <w:r>
        <w:rPr>
          <w:rFonts w:hint="eastAsia" w:ascii="宋体" w:hAnsi="宋体" w:cs="宋体"/>
          <w:color w:val="000000"/>
          <w:sz w:val="24"/>
          <w:szCs w:val="24"/>
          <w:highlight w:val="none"/>
          <w:u w:val="single"/>
        </w:rPr>
        <w:t xml:space="preserve">                 （盖单位章</w:t>
      </w:r>
      <w:r>
        <w:rPr>
          <w:rFonts w:hint="eastAsia" w:ascii="宋体" w:hAnsi="宋体" w:cs="宋体"/>
          <w:color w:val="000000"/>
          <w:sz w:val="24"/>
          <w:szCs w:val="24"/>
          <w:highlight w:val="none"/>
          <w:u w:val="single"/>
          <w:lang w:eastAsia="zh-CN"/>
        </w:rPr>
        <w:t>）</w:t>
      </w:r>
    </w:p>
    <w:p>
      <w:pPr>
        <w:pStyle w:val="15"/>
        <w:spacing w:line="360" w:lineRule="auto"/>
        <w:ind w:right="360"/>
        <w:rPr>
          <w:rFonts w:hint="eastAsia" w:ascii="宋体" w:hAnsi="宋体" w:cs="宋体"/>
          <w:color w:val="000000"/>
          <w:sz w:val="24"/>
          <w:szCs w:val="24"/>
          <w:highlight w:val="none"/>
        </w:rPr>
      </w:pPr>
      <w:r>
        <w:rPr>
          <w:rFonts w:hint="eastAsia" w:hAnsi="宋体" w:cs="宋体"/>
          <w:color w:val="000000"/>
          <w:sz w:val="24"/>
          <w:szCs w:val="24"/>
          <w:highlight w:val="none"/>
        </w:rPr>
        <w:t>法定代表人（或委托代理人）：</w:t>
      </w:r>
      <w:r>
        <w:rPr>
          <w:rFonts w:hint="eastAsia" w:hAnsi="宋体" w:cs="宋体"/>
          <w:color w:val="000000"/>
          <w:sz w:val="24"/>
          <w:szCs w:val="24"/>
          <w:highlight w:val="none"/>
          <w:u w:val="single"/>
        </w:rPr>
        <w:t xml:space="preserve">           （签字）</w:t>
      </w:r>
    </w:p>
    <w:p>
      <w:pPr>
        <w:autoSpaceDE w:val="0"/>
        <w:autoSpaceDN w:val="0"/>
        <w:adjustRightInd w:val="0"/>
        <w:spacing w:line="360" w:lineRule="auto"/>
        <w:ind w:right="979"/>
        <w:rPr>
          <w:rFonts w:hint="eastAsia"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pPr>
        <w:kinsoku/>
        <w:autoSpaceDE/>
        <w:autoSpaceDN/>
        <w:textAlignment w:val="auto"/>
        <w:rPr>
          <w:rFonts w:hint="eastAsia"/>
          <w:color w:val="auto"/>
          <w:sz w:val="24"/>
          <w:szCs w:val="24"/>
          <w:highlight w:val="none"/>
        </w:rPr>
      </w:pPr>
    </w:p>
    <w:p>
      <w:pPr>
        <w:kinsoku/>
        <w:autoSpaceDE/>
        <w:autoSpaceDN/>
        <w:textAlignment w:val="auto"/>
        <w:rPr>
          <w:rFonts w:hint="eastAsia"/>
          <w:color w:val="auto"/>
          <w:sz w:val="24"/>
          <w:szCs w:val="24"/>
          <w:highlight w:val="none"/>
        </w:rPr>
      </w:pPr>
    </w:p>
    <w:p>
      <w:pPr>
        <w:kinsoku/>
        <w:autoSpaceDE/>
        <w:autoSpaceDN/>
        <w:textAlignment w:val="auto"/>
        <w:rPr>
          <w:rFonts w:hint="eastAsia"/>
          <w:color w:val="auto"/>
          <w:sz w:val="24"/>
          <w:szCs w:val="24"/>
          <w:highlight w:val="none"/>
        </w:rPr>
      </w:pPr>
      <w:r>
        <w:rPr>
          <w:color w:val="auto"/>
          <w:sz w:val="24"/>
          <w:szCs w:val="24"/>
          <w:highlight w:val="none"/>
        </w:rPr>
        <w:t>注：</w:t>
      </w:r>
    </w:p>
    <w:p>
      <w:pPr>
        <w:kinsoku/>
        <w:autoSpaceDE/>
        <w:autoSpaceDN/>
        <w:textAlignment w:val="auto"/>
        <w:rPr>
          <w:rFonts w:hint="eastAsia"/>
          <w:color w:val="auto"/>
          <w:sz w:val="24"/>
          <w:szCs w:val="24"/>
          <w:highlight w:val="none"/>
        </w:rPr>
      </w:pPr>
      <w:r>
        <w:rPr>
          <w:rFonts w:hint="eastAsia"/>
          <w:color w:val="auto"/>
          <w:sz w:val="24"/>
          <w:szCs w:val="24"/>
          <w:highlight w:val="none"/>
        </w:rPr>
        <w:t>1.</w:t>
      </w:r>
      <w:r>
        <w:rPr>
          <w:color w:val="auto"/>
          <w:sz w:val="24"/>
          <w:szCs w:val="24"/>
          <w:highlight w:val="none"/>
        </w:rPr>
        <w:t>投标文件中涉及的报价采用人民币报价。投标文件中的大写金额和小写金额不一致的，以大写金额为准；总价金额与单价金额和数量乘积不一致的，以单价金额和数量乘积为准，但单价金额小数点有明显错误的除外；对不同文字文本投标文件的解释发生异议的，以中文文本为准。</w:t>
      </w:r>
    </w:p>
    <w:p>
      <w:pPr>
        <w:kinsoku/>
        <w:autoSpaceDE/>
        <w:autoSpaceDN/>
        <w:textAlignment w:val="auto"/>
        <w:rPr>
          <w:rFonts w:hint="eastAsia"/>
          <w:color w:val="auto"/>
          <w:sz w:val="24"/>
          <w:szCs w:val="24"/>
          <w:highlight w:val="none"/>
        </w:rPr>
      </w:pPr>
      <w:r>
        <w:rPr>
          <w:rFonts w:hint="eastAsia"/>
          <w:color w:val="auto"/>
          <w:sz w:val="24"/>
          <w:szCs w:val="24"/>
          <w:highlight w:val="none"/>
        </w:rPr>
        <w:t>2.</w:t>
      </w:r>
      <w:r>
        <w:rPr>
          <w:color w:val="auto"/>
          <w:sz w:val="24"/>
          <w:szCs w:val="24"/>
          <w:highlight w:val="none"/>
        </w:rPr>
        <w:t>投标总价为投标人最终报价，包含一切税费及相关费用，需与详细报价表中相应包的总报价一致；</w:t>
      </w:r>
    </w:p>
    <w:p>
      <w:pPr>
        <w:kinsoku/>
        <w:autoSpaceDE/>
        <w:autoSpaceDN/>
        <w:textAlignment w:val="auto"/>
        <w:rPr>
          <w:rFonts w:hint="eastAsia"/>
          <w:color w:val="auto"/>
          <w:sz w:val="24"/>
          <w:szCs w:val="24"/>
          <w:highlight w:val="none"/>
        </w:rPr>
      </w:pPr>
      <w:r>
        <w:rPr>
          <w:rFonts w:hint="eastAsia"/>
          <w:color w:val="auto"/>
          <w:sz w:val="24"/>
          <w:szCs w:val="24"/>
          <w:highlight w:val="none"/>
        </w:rPr>
        <w:t>3.</w:t>
      </w:r>
      <w:r>
        <w:rPr>
          <w:color w:val="auto"/>
          <w:sz w:val="24"/>
          <w:szCs w:val="24"/>
          <w:highlight w:val="none"/>
        </w:rPr>
        <w:t>我公司只接受投标人一个最有竞争力的报价，对含糊不清或不固定的报价将视为无效报价。</w:t>
      </w:r>
    </w:p>
    <w:p>
      <w:pPr>
        <w:spacing w:before="62"/>
        <w:ind w:left="377"/>
        <w:rPr>
          <w:rFonts w:hint="eastAsia" w:ascii="宋体" w:hAnsi="宋体" w:cs="宋体"/>
          <w:color w:val="000000"/>
          <w:sz w:val="24"/>
          <w:szCs w:val="24"/>
          <w:highlight w:val="none"/>
        </w:rPr>
      </w:pPr>
    </w:p>
    <w:p>
      <w:pPr>
        <w:spacing w:before="62"/>
        <w:rPr>
          <w:rFonts w:hint="eastAsia" w:ascii="宋体" w:hAnsi="宋体" w:cs="宋体"/>
          <w:color w:val="000000"/>
          <w:sz w:val="21"/>
          <w:szCs w:val="21"/>
          <w:highlight w:val="none"/>
        </w:rPr>
      </w:pPr>
    </w:p>
    <w:p>
      <w:pPr>
        <w:rPr>
          <w:rFonts w:hint="eastAsia" w:ascii="宋体" w:hAnsi="宋体" w:cs="宋体"/>
          <w:color w:val="000000"/>
          <w:sz w:val="28"/>
          <w:szCs w:val="28"/>
          <w:highlight w:val="none"/>
        </w:rPr>
      </w:pPr>
      <w:r>
        <w:rPr>
          <w:rFonts w:hint="eastAsia" w:ascii="宋体" w:hAnsi="宋体" w:cs="宋体"/>
          <w:color w:val="000000"/>
          <w:sz w:val="28"/>
          <w:szCs w:val="28"/>
          <w:highlight w:val="none"/>
        </w:rPr>
        <w:br w:type="page"/>
      </w:r>
    </w:p>
    <w:p>
      <w:pPr>
        <w:spacing w:before="62" w:line="360" w:lineRule="auto"/>
        <w:ind w:left="377"/>
        <w:rPr>
          <w:rFonts w:hint="default" w:ascii="宋体" w:hAnsi="宋体" w:eastAsia="宋体" w:cs="宋体"/>
          <w:color w:val="000000"/>
          <w:sz w:val="28"/>
          <w:szCs w:val="28"/>
          <w:highlight w:val="none"/>
          <w:lang w:val="en-US" w:eastAsia="zh-CN"/>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val="en-US" w:eastAsia="zh-CN"/>
        </w:rPr>
        <w:t>二</w:t>
      </w:r>
      <w:r>
        <w:rPr>
          <w:rFonts w:hint="eastAsia" w:ascii="宋体" w:hAnsi="宋体" w:cs="宋体"/>
          <w:color w:val="000000"/>
          <w:sz w:val="28"/>
          <w:szCs w:val="28"/>
          <w:highlight w:val="none"/>
        </w:rPr>
        <w:t>）</w:t>
      </w:r>
      <w:r>
        <w:rPr>
          <w:rFonts w:hint="eastAsia" w:ascii="宋体" w:hAnsi="宋体" w:cs="宋体"/>
          <w:color w:val="000000"/>
          <w:sz w:val="28"/>
          <w:szCs w:val="28"/>
          <w:highlight w:val="none"/>
          <w:lang w:val="en-US" w:eastAsia="zh-CN"/>
        </w:rPr>
        <w:t>详细报价清单</w:t>
      </w:r>
    </w:p>
    <w:p>
      <w:pPr>
        <w:kinsoku/>
        <w:autoSpaceDE/>
        <w:autoSpaceDN/>
        <w:textAlignment w:val="auto"/>
        <w:rPr>
          <w:rFonts w:hint="eastAsia"/>
          <w:color w:val="auto"/>
          <w:sz w:val="24"/>
          <w:szCs w:val="24"/>
          <w:highlight w:val="none"/>
        </w:rPr>
      </w:pPr>
      <w:r>
        <w:rPr>
          <w:color w:val="auto"/>
          <w:sz w:val="24"/>
          <w:szCs w:val="24"/>
          <w:highlight w:val="none"/>
        </w:rPr>
        <w:t xml:space="preserve">项目名称：                  </w:t>
      </w:r>
    </w:p>
    <w:p>
      <w:pPr>
        <w:kinsoku/>
        <w:autoSpaceDE/>
        <w:autoSpaceDN/>
        <w:textAlignment w:val="auto"/>
        <w:rPr>
          <w:rFonts w:hint="eastAsia"/>
          <w:color w:val="auto"/>
          <w:sz w:val="24"/>
          <w:szCs w:val="24"/>
          <w:highlight w:val="none"/>
        </w:rPr>
      </w:pPr>
      <w:r>
        <w:rPr>
          <w:color w:val="auto"/>
          <w:sz w:val="24"/>
          <w:szCs w:val="24"/>
          <w:highlight w:val="none"/>
        </w:rPr>
        <w:t xml:space="preserve">项目编号：                  </w:t>
      </w:r>
    </w:p>
    <w:p>
      <w:pPr>
        <w:kinsoku/>
        <w:autoSpaceDE/>
        <w:autoSpaceDN/>
        <w:spacing w:line="240" w:lineRule="auto"/>
        <w:textAlignment w:val="auto"/>
        <w:rPr>
          <w:rFonts w:hint="eastAsia"/>
          <w:color w:val="auto"/>
          <w:sz w:val="24"/>
          <w:szCs w:val="24"/>
          <w:highlight w:val="none"/>
        </w:rPr>
      </w:pPr>
      <w:r>
        <w:rPr>
          <w:rFonts w:hint="eastAsia"/>
          <w:color w:val="auto"/>
          <w:sz w:val="24"/>
          <w:szCs w:val="24"/>
          <w:highlight w:val="none"/>
        </w:rPr>
        <w:t>【本格式仅供参考，投标人可根据实际情况自定。】</w:t>
      </w:r>
    </w:p>
    <w:tbl>
      <w:tblPr>
        <w:tblStyle w:val="27"/>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93"/>
        <w:gridCol w:w="1033"/>
        <w:gridCol w:w="472"/>
        <w:gridCol w:w="1585"/>
        <w:gridCol w:w="456"/>
        <w:gridCol w:w="456"/>
        <w:gridCol w:w="986"/>
        <w:gridCol w:w="1479"/>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 w:type="pct"/>
            <w:vAlign w:val="center"/>
          </w:tcPr>
          <w:p>
            <w:pPr>
              <w:spacing w:line="240" w:lineRule="auto"/>
              <w:jc w:val="center"/>
              <w:rPr>
                <w:rFonts w:hint="eastAsia" w:eastAsia="宋体"/>
                <w:color w:val="auto"/>
                <w:sz w:val="24"/>
                <w:szCs w:val="24"/>
                <w:highlight w:val="none"/>
                <w:lang w:val="en-US" w:eastAsia="zh-CN"/>
              </w:rPr>
            </w:pPr>
            <w:r>
              <w:rPr>
                <w:rFonts w:hint="eastAsia"/>
                <w:color w:val="auto"/>
                <w:sz w:val="24"/>
                <w:szCs w:val="24"/>
                <w:highlight w:val="none"/>
                <w:lang w:val="en-US" w:eastAsia="zh-CN"/>
              </w:rPr>
              <w:t>序号</w:t>
            </w:r>
          </w:p>
        </w:tc>
        <w:tc>
          <w:tcPr>
            <w:tcW w:w="507"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货物名称</w:t>
            </w:r>
          </w:p>
        </w:tc>
        <w:tc>
          <w:tcPr>
            <w:tcW w:w="584"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规格型号</w:t>
            </w:r>
          </w:p>
        </w:tc>
        <w:tc>
          <w:tcPr>
            <w:tcW w:w="275"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产地</w:t>
            </w:r>
          </w:p>
        </w:tc>
        <w:tc>
          <w:tcPr>
            <w:tcW w:w="887"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厂家</w:t>
            </w:r>
          </w:p>
        </w:tc>
        <w:tc>
          <w:tcPr>
            <w:tcW w:w="206"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数量</w:t>
            </w:r>
          </w:p>
        </w:tc>
        <w:tc>
          <w:tcPr>
            <w:tcW w:w="220"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单位</w:t>
            </w:r>
          </w:p>
        </w:tc>
        <w:tc>
          <w:tcPr>
            <w:tcW w:w="556"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含税单价</w:t>
            </w:r>
          </w:p>
          <w:p>
            <w:pPr>
              <w:spacing w:line="240" w:lineRule="auto"/>
              <w:jc w:val="center"/>
              <w:rPr>
                <w:rFonts w:hint="eastAsia"/>
                <w:color w:val="auto"/>
                <w:sz w:val="24"/>
                <w:szCs w:val="24"/>
                <w:highlight w:val="none"/>
              </w:rPr>
            </w:pPr>
            <w:r>
              <w:rPr>
                <w:rFonts w:hint="eastAsia"/>
                <w:color w:val="auto"/>
                <w:sz w:val="24"/>
                <w:szCs w:val="24"/>
                <w:highlight w:val="none"/>
              </w:rPr>
              <w:t>（元）</w:t>
            </w:r>
          </w:p>
        </w:tc>
        <w:tc>
          <w:tcPr>
            <w:tcW w:w="829"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含税总价（元）</w:t>
            </w:r>
          </w:p>
        </w:tc>
        <w:tc>
          <w:tcPr>
            <w:tcW w:w="715" w:type="pct"/>
            <w:vAlign w:val="center"/>
          </w:tcPr>
          <w:p>
            <w:pPr>
              <w:spacing w:line="240" w:lineRule="auto"/>
              <w:jc w:val="center"/>
              <w:rPr>
                <w:rFonts w:hint="eastAsia"/>
                <w:color w:val="auto"/>
                <w:sz w:val="24"/>
                <w:szCs w:val="24"/>
                <w:highlight w:val="none"/>
              </w:rPr>
            </w:pPr>
            <w:r>
              <w:rPr>
                <w:rFonts w:hint="eastAsia"/>
                <w:color w:val="auto"/>
                <w:sz w:val="24"/>
                <w:szCs w:val="24"/>
                <w:highlight w:val="none"/>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 w:type="pct"/>
            <w:vAlign w:val="center"/>
          </w:tcPr>
          <w:p>
            <w:pPr>
              <w:widowControl w:val="0"/>
              <w:kinsoku/>
              <w:autoSpaceDE/>
              <w:autoSpaceDN/>
              <w:adjustRightInd/>
              <w:snapToGrid/>
              <w:spacing w:line="240" w:lineRule="auto"/>
              <w:jc w:val="center"/>
              <w:textAlignment w:val="auto"/>
              <w:rPr>
                <w:rFonts w:hint="eastAsia"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w:t>
            </w:r>
          </w:p>
        </w:tc>
        <w:tc>
          <w:tcPr>
            <w:tcW w:w="507"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584"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75"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887"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06"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20"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556"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829"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715"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 w:type="pct"/>
            <w:vAlign w:val="center"/>
          </w:tcPr>
          <w:p>
            <w:pPr>
              <w:widowControl w:val="0"/>
              <w:kinsoku/>
              <w:autoSpaceDE/>
              <w:autoSpaceDN/>
              <w:adjustRightInd/>
              <w:snapToGrid/>
              <w:spacing w:line="240" w:lineRule="auto"/>
              <w:jc w:val="center"/>
              <w:textAlignment w:val="auto"/>
              <w:rPr>
                <w:rFonts w:hint="eastAsia"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w:t>
            </w:r>
          </w:p>
        </w:tc>
        <w:tc>
          <w:tcPr>
            <w:tcW w:w="507"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584"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75"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887"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06"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20"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556"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829"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715"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 w:type="pct"/>
            <w:vAlign w:val="center"/>
          </w:tcPr>
          <w:p>
            <w:pPr>
              <w:widowControl w:val="0"/>
              <w:kinsoku/>
              <w:autoSpaceDE/>
              <w:autoSpaceDN/>
              <w:adjustRightInd/>
              <w:snapToGrid/>
              <w:spacing w:line="240" w:lineRule="auto"/>
              <w:jc w:val="center"/>
              <w:textAlignment w:val="auto"/>
              <w:rPr>
                <w:rFonts w:hint="default" w:eastAsia="宋体" w:cs="Times New Roman"/>
                <w:color w:val="auto"/>
                <w:sz w:val="24"/>
                <w:szCs w:val="24"/>
                <w:highlight w:val="none"/>
                <w:lang w:val="en-US" w:eastAsia="zh-CN"/>
              </w:rPr>
            </w:pPr>
          </w:p>
        </w:tc>
        <w:tc>
          <w:tcPr>
            <w:tcW w:w="507"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584"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75"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887"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06"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220"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556"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829"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c>
          <w:tcPr>
            <w:tcW w:w="715" w:type="pct"/>
            <w:vAlign w:val="center"/>
          </w:tcPr>
          <w:p>
            <w:pPr>
              <w:widowControl w:val="0"/>
              <w:kinsoku/>
              <w:autoSpaceDE/>
              <w:autoSpaceDN/>
              <w:adjustRightInd/>
              <w:snapToGrid/>
              <w:spacing w:line="240" w:lineRule="auto"/>
              <w:jc w:val="center"/>
              <w:textAlignment w:val="auto"/>
              <w:rPr>
                <w:rFonts w:hint="eastAsia"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55" w:type="pct"/>
            <w:gridSpan w:val="8"/>
            <w:vAlign w:val="center"/>
          </w:tcPr>
          <w:p>
            <w:pPr>
              <w:widowControl w:val="0"/>
              <w:kinsoku/>
              <w:autoSpaceDE/>
              <w:autoSpaceDN/>
              <w:adjustRightInd/>
              <w:snapToGrid/>
              <w:spacing w:line="240" w:lineRule="auto"/>
              <w:jc w:val="both"/>
              <w:textAlignment w:val="auto"/>
              <w:rPr>
                <w:rFonts w:hint="eastAsia" w:cs="Times New Roman"/>
                <w:color w:val="auto"/>
                <w:sz w:val="24"/>
                <w:szCs w:val="24"/>
                <w:highlight w:val="none"/>
              </w:rPr>
            </w:pPr>
            <w:r>
              <w:rPr>
                <w:rFonts w:hint="eastAsia" w:cs="Times New Roman"/>
                <w:color w:val="auto"/>
                <w:sz w:val="24"/>
                <w:szCs w:val="24"/>
                <w:highlight w:val="none"/>
              </w:rPr>
              <w:t>合计（元）</w:t>
            </w:r>
          </w:p>
        </w:tc>
        <w:tc>
          <w:tcPr>
            <w:tcW w:w="829" w:type="pct"/>
            <w:vAlign w:val="center"/>
          </w:tcPr>
          <w:p>
            <w:pPr>
              <w:widowControl w:val="0"/>
              <w:kinsoku/>
              <w:autoSpaceDE/>
              <w:autoSpaceDN/>
              <w:adjustRightInd/>
              <w:snapToGrid/>
              <w:spacing w:line="240" w:lineRule="auto"/>
              <w:jc w:val="both"/>
              <w:textAlignment w:val="auto"/>
              <w:rPr>
                <w:rFonts w:hint="eastAsia" w:cs="Times New Roman"/>
                <w:color w:val="auto"/>
                <w:sz w:val="24"/>
                <w:szCs w:val="24"/>
                <w:highlight w:val="none"/>
              </w:rPr>
            </w:pPr>
          </w:p>
        </w:tc>
        <w:tc>
          <w:tcPr>
            <w:tcW w:w="715" w:type="pct"/>
            <w:tcBorders>
              <w:tr2bl w:val="single" w:color="auto" w:sz="4" w:space="0"/>
            </w:tcBorders>
            <w:vAlign w:val="center"/>
          </w:tcPr>
          <w:p>
            <w:pPr>
              <w:widowControl w:val="0"/>
              <w:kinsoku/>
              <w:autoSpaceDE/>
              <w:autoSpaceDN/>
              <w:adjustRightInd/>
              <w:snapToGrid/>
              <w:spacing w:line="240" w:lineRule="auto"/>
              <w:jc w:val="both"/>
              <w:textAlignment w:val="auto"/>
              <w:rPr>
                <w:rFonts w:hint="eastAsia" w:cs="Times New Roman"/>
                <w:color w:val="auto"/>
                <w:sz w:val="24"/>
                <w:szCs w:val="24"/>
                <w:highlight w:val="none"/>
              </w:rPr>
            </w:pPr>
          </w:p>
        </w:tc>
      </w:tr>
    </w:tbl>
    <w:p>
      <w:pPr>
        <w:kinsoku/>
        <w:autoSpaceDE/>
        <w:autoSpaceDN/>
        <w:textAlignment w:val="auto"/>
        <w:rPr>
          <w:rFonts w:hint="eastAsia"/>
          <w:color w:val="auto"/>
          <w:sz w:val="24"/>
          <w:szCs w:val="24"/>
          <w:highlight w:val="none"/>
        </w:rPr>
      </w:pPr>
      <w:r>
        <w:rPr>
          <w:color w:val="auto"/>
          <w:sz w:val="24"/>
          <w:szCs w:val="24"/>
          <w:highlight w:val="none"/>
        </w:rPr>
        <w:t>注：1.如果按单价计算的结果与总价不一致，以单价为准修正总价。</w:t>
      </w:r>
    </w:p>
    <w:p>
      <w:pPr>
        <w:kinsoku/>
        <w:autoSpaceDE/>
        <w:autoSpaceDN/>
        <w:textAlignment w:val="auto"/>
        <w:rPr>
          <w:rFonts w:hint="eastAsia"/>
          <w:color w:val="auto"/>
          <w:sz w:val="24"/>
          <w:szCs w:val="24"/>
          <w:highlight w:val="none"/>
        </w:rPr>
      </w:pPr>
      <w:r>
        <w:rPr>
          <w:color w:val="auto"/>
          <w:sz w:val="24"/>
          <w:szCs w:val="24"/>
          <w:highlight w:val="none"/>
        </w:rPr>
        <w:t>2.以上报价包括安装、质保等所有费用。</w:t>
      </w:r>
    </w:p>
    <w:p>
      <w:pPr>
        <w:kinsoku/>
        <w:autoSpaceDE/>
        <w:autoSpaceDN/>
        <w:textAlignment w:val="auto"/>
        <w:rPr>
          <w:rFonts w:hint="eastAsia"/>
          <w:color w:val="auto"/>
          <w:sz w:val="24"/>
          <w:szCs w:val="24"/>
          <w:highlight w:val="none"/>
        </w:rPr>
      </w:pPr>
      <w:r>
        <w:rPr>
          <w:color w:val="auto"/>
          <w:sz w:val="24"/>
          <w:szCs w:val="24"/>
          <w:highlight w:val="none"/>
        </w:rPr>
        <w:t>3.如果不提供详细分项报价将视为没有实质性响应招标文件。</w:t>
      </w:r>
    </w:p>
    <w:p>
      <w:pPr>
        <w:kinsoku/>
        <w:autoSpaceDE/>
        <w:autoSpaceDN/>
        <w:textAlignment w:val="auto"/>
        <w:rPr>
          <w:rFonts w:hint="eastAsia"/>
          <w:color w:val="auto"/>
          <w:sz w:val="24"/>
          <w:szCs w:val="24"/>
          <w:highlight w:val="none"/>
        </w:rPr>
      </w:pPr>
    </w:p>
    <w:p>
      <w:pPr>
        <w:spacing w:line="360" w:lineRule="auto"/>
        <w:ind w:right="420"/>
        <w:rPr>
          <w:rFonts w:hint="eastAsia" w:ascii="宋体" w:hAnsi="宋体" w:cs="宋体"/>
          <w:color w:val="000000"/>
          <w:sz w:val="24"/>
          <w:szCs w:val="24"/>
          <w:highlight w:val="none"/>
          <w:u w:val="single"/>
        </w:rPr>
      </w:pPr>
      <w:r>
        <w:rPr>
          <w:rFonts w:hint="eastAsia" w:ascii="宋体" w:hAnsi="宋体" w:cs="宋体"/>
          <w:color w:val="000000"/>
          <w:sz w:val="24"/>
          <w:szCs w:val="24"/>
          <w:highlight w:val="none"/>
        </w:rPr>
        <w:t>投标人：</w:t>
      </w:r>
      <w:r>
        <w:rPr>
          <w:rFonts w:hint="eastAsia" w:ascii="宋体" w:hAnsi="宋体" w:cs="宋体"/>
          <w:color w:val="000000"/>
          <w:sz w:val="24"/>
          <w:szCs w:val="24"/>
          <w:highlight w:val="none"/>
          <w:u w:val="single"/>
        </w:rPr>
        <w:t xml:space="preserve">                 （盖单位章 ）</w:t>
      </w:r>
    </w:p>
    <w:p>
      <w:pPr>
        <w:autoSpaceDE w:val="0"/>
        <w:autoSpaceDN w:val="0"/>
        <w:adjustRightInd w:val="0"/>
        <w:spacing w:line="360" w:lineRule="auto"/>
        <w:ind w:right="979"/>
        <w:rPr>
          <w:rFonts w:hint="eastAsia"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pPr>
        <w:tabs>
          <w:tab w:val="left" w:pos="2592"/>
        </w:tabs>
        <w:autoSpaceDE w:val="0"/>
        <w:autoSpaceDN w:val="0"/>
        <w:adjustRightInd w:val="0"/>
        <w:spacing w:line="633" w:lineRule="exact"/>
        <w:ind w:left="124" w:right="40"/>
        <w:jc w:val="both"/>
        <w:rPr>
          <w:rFonts w:hint="eastAsia" w:ascii="宋体" w:hAnsi="宋体" w:cs="宋体"/>
          <w:b/>
          <w:bCs/>
          <w:color w:val="000000"/>
          <w:kern w:val="0"/>
          <w:sz w:val="21"/>
          <w:szCs w:val="21"/>
          <w:highlight w:val="none"/>
        </w:rPr>
      </w:pPr>
    </w:p>
    <w:p>
      <w:pPr>
        <w:rPr>
          <w:color w:val="000000"/>
          <w:highlight w:val="none"/>
        </w:rPr>
      </w:pPr>
      <w:r>
        <w:rPr>
          <w:color w:val="000000"/>
          <w:highlight w:val="none"/>
        </w:rPr>
        <w:br w:type="page"/>
      </w:r>
    </w:p>
    <w:p>
      <w:pPr>
        <w:pStyle w:val="11"/>
        <w:jc w:val="center"/>
        <w:rPr>
          <w:b/>
          <w:bCs/>
          <w:color w:val="000000"/>
          <w:sz w:val="28"/>
          <w:szCs w:val="28"/>
          <w:highlight w:val="none"/>
        </w:rPr>
      </w:pPr>
      <w:r>
        <w:rPr>
          <w:rFonts w:hint="eastAsia"/>
          <w:b/>
          <w:bCs/>
          <w:color w:val="000000"/>
          <w:sz w:val="28"/>
          <w:szCs w:val="28"/>
          <w:highlight w:val="none"/>
          <w:lang w:val="en-US" w:eastAsia="zh-CN"/>
        </w:rPr>
        <w:t>五</w:t>
      </w:r>
      <w:r>
        <w:rPr>
          <w:rFonts w:hint="eastAsia"/>
          <w:b/>
          <w:bCs/>
          <w:color w:val="000000"/>
          <w:sz w:val="28"/>
          <w:szCs w:val="28"/>
          <w:highlight w:val="none"/>
        </w:rPr>
        <w:t>、资格审查资料</w:t>
      </w:r>
    </w:p>
    <w:p>
      <w:pPr>
        <w:spacing w:before="62" w:line="360" w:lineRule="auto"/>
        <w:ind w:left="377"/>
        <w:rPr>
          <w:rFonts w:hint="eastAsia" w:ascii="宋体" w:hAnsi="宋体" w:cs="宋体"/>
          <w:color w:val="000000"/>
          <w:sz w:val="24"/>
          <w:szCs w:val="24"/>
          <w:highlight w:val="none"/>
        </w:rPr>
      </w:pPr>
      <w:bookmarkStart w:id="136" w:name="_bookmark185"/>
      <w:bookmarkEnd w:id="136"/>
      <w:r>
        <w:rPr>
          <w:rFonts w:hint="eastAsia" w:ascii="宋体" w:hAnsi="宋体" w:cs="宋体"/>
          <w:color w:val="000000"/>
          <w:sz w:val="24"/>
          <w:szCs w:val="24"/>
          <w:highlight w:val="none"/>
        </w:rPr>
        <w:t>（一）投标人基本情况表</w:t>
      </w:r>
    </w:p>
    <w:p>
      <w:pPr>
        <w:tabs>
          <w:tab w:val="left" w:pos="2592"/>
        </w:tabs>
        <w:autoSpaceDE w:val="0"/>
        <w:autoSpaceDN w:val="0"/>
        <w:adjustRightInd w:val="0"/>
        <w:spacing w:line="360" w:lineRule="auto"/>
        <w:ind w:left="124" w:right="40"/>
        <w:jc w:val="center"/>
        <w:rPr>
          <w:rFonts w:hint="eastAsia" w:ascii="宋体" w:hAnsi="宋体" w:eastAsia="宋体" w:cs="宋体"/>
          <w:b/>
          <w:bCs/>
          <w:color w:val="000000"/>
          <w:kern w:val="0"/>
          <w:sz w:val="24"/>
          <w:szCs w:val="24"/>
          <w:highlight w:val="none"/>
          <w:lang w:eastAsia="zh-CN"/>
        </w:rPr>
      </w:pPr>
      <w:r>
        <w:rPr>
          <w:rFonts w:hint="eastAsia" w:ascii="宋体" w:hAnsi="宋体" w:cs="宋体"/>
          <w:color w:val="000000"/>
          <w:sz w:val="24"/>
          <w:szCs w:val="24"/>
          <w:highlight w:val="none"/>
        </w:rPr>
        <w:t>投标人基本情况表</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格式</w:t>
      </w:r>
      <w:r>
        <w:rPr>
          <w:rFonts w:hint="eastAsia" w:ascii="宋体" w:hAnsi="宋体" w:cs="宋体"/>
          <w:color w:val="000000"/>
          <w:sz w:val="24"/>
          <w:szCs w:val="24"/>
          <w:highlight w:val="none"/>
          <w:lang w:eastAsia="zh-CN"/>
        </w:rPr>
        <w:t>）</w:t>
      </w:r>
    </w:p>
    <w:tbl>
      <w:tblPr>
        <w:tblStyle w:val="27"/>
        <w:tblW w:w="913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1156"/>
        <w:gridCol w:w="1185"/>
        <w:gridCol w:w="6"/>
        <w:gridCol w:w="1073"/>
        <w:gridCol w:w="720"/>
        <w:gridCol w:w="805"/>
        <w:gridCol w:w="665"/>
        <w:gridCol w:w="315"/>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2"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33" w:lineRule="exact"/>
              <w:ind w:right="24"/>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单位名称</w:t>
            </w:r>
          </w:p>
        </w:tc>
        <w:tc>
          <w:tcPr>
            <w:tcW w:w="6975" w:type="dxa"/>
            <w:gridSpan w:val="9"/>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633" w:lineRule="exact"/>
              <w:jc w:val="center"/>
              <w:rPr>
                <w:rFonts w:hint="eastAsia" w:ascii="宋体" w:hAnsi="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8"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right="24"/>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通</w:t>
            </w:r>
            <w:r>
              <w:rPr>
                <w:rFonts w:hint="eastAsia" w:ascii="宋体" w:hAnsi="宋体" w:cs="宋体"/>
                <w:color w:val="000000"/>
                <w:kern w:val="0"/>
                <w:sz w:val="21"/>
                <w:szCs w:val="21"/>
                <w:highlight w:val="none"/>
              </w:rPr>
              <w:t>信</w:t>
            </w:r>
            <w:r>
              <w:rPr>
                <w:rFonts w:hint="eastAsia" w:ascii="宋体" w:hAnsi="宋体" w:cs="宋体"/>
                <w:color w:val="000000"/>
                <w:kern w:val="0"/>
                <w:sz w:val="21"/>
                <w:szCs w:val="21"/>
                <w:highlight w:val="none"/>
                <w:lang w:eastAsia="zh-TW"/>
              </w:rPr>
              <w:t>地址</w:t>
            </w:r>
          </w:p>
        </w:tc>
        <w:tc>
          <w:tcPr>
            <w:tcW w:w="6975" w:type="dxa"/>
            <w:gridSpan w:val="9"/>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2"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right="24"/>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电话</w:t>
            </w:r>
          </w:p>
        </w:tc>
        <w:tc>
          <w:tcPr>
            <w:tcW w:w="1156" w:type="dxa"/>
            <w:tcBorders>
              <w:top w:val="single" w:color="auto" w:sz="4" w:space="0"/>
              <w:left w:val="single" w:color="auto" w:sz="4" w:space="0"/>
              <w:bottom w:val="single" w:color="auto" w:sz="4" w:space="0"/>
              <w:right w:val="nil"/>
            </w:tcBorders>
            <w:noWrap w:val="0"/>
            <w:vAlign w:val="center"/>
          </w:tcPr>
          <w:p>
            <w:pPr>
              <w:autoSpaceDE w:val="0"/>
              <w:autoSpaceDN w:val="0"/>
              <w:adjustRightInd w:val="0"/>
              <w:ind w:right="24"/>
              <w:jc w:val="center"/>
              <w:rPr>
                <w:rFonts w:hint="eastAsia" w:ascii="宋体" w:hAnsi="宋体" w:cs="宋体"/>
                <w:color w:val="000000"/>
                <w:kern w:val="0"/>
                <w:sz w:val="21"/>
                <w:szCs w:val="21"/>
                <w:highlight w:val="none"/>
              </w:rPr>
            </w:pPr>
          </w:p>
        </w:tc>
        <w:tc>
          <w:tcPr>
            <w:tcW w:w="1185" w:type="dxa"/>
            <w:tcBorders>
              <w:top w:val="single" w:color="auto" w:sz="4" w:space="0"/>
              <w:left w:val="single" w:color="auto" w:sz="4" w:space="0"/>
              <w:bottom w:val="single" w:color="auto" w:sz="4" w:space="0"/>
              <w:right w:val="nil"/>
            </w:tcBorders>
            <w:noWrap w:val="0"/>
            <w:vAlign w:val="center"/>
          </w:tcPr>
          <w:p>
            <w:pPr>
              <w:autoSpaceDE w:val="0"/>
              <w:autoSpaceDN w:val="0"/>
              <w:adjustRightInd w:val="0"/>
              <w:ind w:left="64" w:leftChars="23" w:right="24"/>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传真</w:t>
            </w:r>
          </w:p>
        </w:tc>
        <w:tc>
          <w:tcPr>
            <w:tcW w:w="1799"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c>
          <w:tcPr>
            <w:tcW w:w="147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邮政编码</w:t>
            </w: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2"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电子信箱</w:t>
            </w:r>
          </w:p>
        </w:tc>
        <w:tc>
          <w:tcPr>
            <w:tcW w:w="4140" w:type="dxa"/>
            <w:gridSpan w:val="5"/>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c>
          <w:tcPr>
            <w:tcW w:w="147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联系人</w:t>
            </w: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2"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成立时间</w:t>
            </w:r>
          </w:p>
        </w:tc>
        <w:tc>
          <w:tcPr>
            <w:tcW w:w="6975" w:type="dxa"/>
            <w:gridSpan w:val="9"/>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法定代表人</w:t>
            </w:r>
          </w:p>
        </w:tc>
        <w:tc>
          <w:tcPr>
            <w:tcW w:w="115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姓名</w:t>
            </w:r>
          </w:p>
        </w:tc>
        <w:tc>
          <w:tcPr>
            <w:tcW w:w="1191"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left="24" w:right="33"/>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职务</w:t>
            </w:r>
          </w:p>
        </w:tc>
        <w:tc>
          <w:tcPr>
            <w:tcW w:w="152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c>
          <w:tcPr>
            <w:tcW w:w="98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right="24"/>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职称</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right="24"/>
              <w:jc w:val="center"/>
              <w:rPr>
                <w:rFonts w:hint="eastAsia" w:ascii="宋体" w:hAnsi="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45"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right="24"/>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法人营业</w:t>
            </w:r>
          </w:p>
          <w:p>
            <w:pPr>
              <w:autoSpaceDE w:val="0"/>
              <w:autoSpaceDN w:val="0"/>
              <w:adjustRightInd w:val="0"/>
              <w:ind w:right="24"/>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执照证号</w:t>
            </w:r>
          </w:p>
        </w:tc>
        <w:tc>
          <w:tcPr>
            <w:tcW w:w="3420"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c>
          <w:tcPr>
            <w:tcW w:w="152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注册资金</w:t>
            </w:r>
          </w:p>
        </w:tc>
        <w:tc>
          <w:tcPr>
            <w:tcW w:w="203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2"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right="24"/>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lang w:eastAsia="zh-TW"/>
              </w:rPr>
              <w:t>开户行名称</w:t>
            </w:r>
          </w:p>
        </w:tc>
        <w:tc>
          <w:tcPr>
            <w:tcW w:w="3420" w:type="dxa"/>
            <w:gridSpan w:val="4"/>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c>
          <w:tcPr>
            <w:tcW w:w="152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银行帐号</w:t>
            </w:r>
          </w:p>
        </w:tc>
        <w:tc>
          <w:tcPr>
            <w:tcW w:w="203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2" w:hRule="atLeast"/>
        </w:trPr>
        <w:tc>
          <w:tcPr>
            <w:tcW w:w="21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ind w:right="24"/>
              <w:jc w:val="center"/>
              <w:rPr>
                <w:rFonts w:hint="eastAsia" w:ascii="宋体" w:hAnsi="宋体" w:cs="宋体"/>
                <w:color w:val="000000"/>
                <w:kern w:val="0"/>
                <w:sz w:val="21"/>
                <w:szCs w:val="21"/>
                <w:highlight w:val="none"/>
                <w:lang w:eastAsia="zh-TW"/>
              </w:rPr>
            </w:pPr>
            <w:r>
              <w:rPr>
                <w:rFonts w:hint="eastAsia" w:ascii="宋体" w:hAnsi="宋体" w:cs="宋体"/>
                <w:color w:val="000000"/>
                <w:kern w:val="0"/>
                <w:sz w:val="21"/>
                <w:szCs w:val="21"/>
                <w:highlight w:val="none"/>
                <w:lang w:eastAsia="zh-TW"/>
              </w:rPr>
              <w:t>单位总人数</w:t>
            </w:r>
          </w:p>
        </w:tc>
        <w:tc>
          <w:tcPr>
            <w:tcW w:w="6975" w:type="dxa"/>
            <w:gridSpan w:val="9"/>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u w:val="single"/>
                <w:lang w:val="en-US" w:eastAsia="zh-CN"/>
              </w:rPr>
              <w:t xml:space="preserve">    </w:t>
            </w:r>
            <w:r>
              <w:rPr>
                <w:rFonts w:hint="eastAsia" w:ascii="宋体" w:hAnsi="宋体" w:cs="宋体"/>
                <w:color w:val="000000"/>
                <w:kern w:val="0"/>
                <w:sz w:val="21"/>
                <w:szCs w:val="21"/>
                <w:highlight w:val="none"/>
                <w:lang w:eastAsia="zh-TW"/>
              </w:rPr>
              <w:t>人</w:t>
            </w:r>
          </w:p>
        </w:tc>
      </w:tr>
    </w:tbl>
    <w:p>
      <w:pPr>
        <w:pStyle w:val="15"/>
        <w:spacing w:line="360" w:lineRule="exact"/>
        <w:ind w:right="420"/>
        <w:rPr>
          <w:rFonts w:hint="eastAsia" w:hAnsi="宋体" w:cs="宋体"/>
          <w:color w:val="000000"/>
          <w:sz w:val="21"/>
          <w:highlight w:val="none"/>
        </w:rPr>
      </w:pPr>
      <w:r>
        <w:rPr>
          <w:rFonts w:hint="eastAsia" w:hAnsi="宋体" w:cs="宋体"/>
          <w:color w:val="000000"/>
          <w:sz w:val="21"/>
          <w:highlight w:val="none"/>
          <w:lang w:val="en-US" w:eastAsia="zh-CN"/>
        </w:rPr>
        <w:t>注：提供</w:t>
      </w:r>
      <w:r>
        <w:rPr>
          <w:rFonts w:hint="eastAsia" w:hAnsi="宋体" w:cs="宋体"/>
          <w:color w:val="000000"/>
          <w:sz w:val="21"/>
          <w:highlight w:val="none"/>
        </w:rPr>
        <w:t>投标人</w:t>
      </w:r>
      <w:r>
        <w:rPr>
          <w:rFonts w:hint="eastAsia" w:hAnsi="宋体" w:cs="宋体"/>
          <w:color w:val="000000"/>
          <w:sz w:val="21"/>
          <w:highlight w:val="none"/>
          <w:lang w:val="en-US" w:eastAsia="zh-CN"/>
        </w:rPr>
        <w:t>营业执照复印件。</w:t>
      </w:r>
    </w:p>
    <w:p>
      <w:pPr>
        <w:spacing w:line="440" w:lineRule="exact"/>
        <w:ind w:right="420" w:firstLine="2730" w:firstLineChars="1300"/>
        <w:rPr>
          <w:rFonts w:hint="eastAsia" w:ascii="宋体" w:hAnsi="宋体" w:cs="宋体"/>
          <w:color w:val="000000"/>
          <w:sz w:val="21"/>
          <w:szCs w:val="21"/>
          <w:highlight w:val="none"/>
        </w:rPr>
      </w:pPr>
    </w:p>
    <w:p>
      <w:pPr>
        <w:spacing w:line="360" w:lineRule="auto"/>
        <w:ind w:right="420"/>
        <w:jc w:val="right"/>
        <w:rPr>
          <w:rFonts w:hint="eastAsia" w:ascii="宋体" w:hAnsi="宋体" w:cs="宋体"/>
          <w:color w:val="000000"/>
          <w:sz w:val="21"/>
          <w:szCs w:val="21"/>
          <w:highlight w:val="none"/>
          <w:u w:val="single"/>
        </w:rPr>
      </w:pPr>
      <w:r>
        <w:rPr>
          <w:rFonts w:hint="eastAsia" w:ascii="宋体" w:hAnsi="宋体" w:cs="宋体"/>
          <w:color w:val="000000"/>
          <w:sz w:val="21"/>
          <w:szCs w:val="21"/>
          <w:highlight w:val="none"/>
        </w:rPr>
        <w:t>投标人：</w:t>
      </w:r>
      <w:r>
        <w:rPr>
          <w:rFonts w:hint="eastAsia" w:ascii="宋体" w:hAnsi="宋体" w:cs="宋体"/>
          <w:color w:val="000000"/>
          <w:sz w:val="21"/>
          <w:szCs w:val="21"/>
          <w:highlight w:val="none"/>
          <w:u w:val="single"/>
        </w:rPr>
        <w:t xml:space="preserve">                 （盖单位章 ）</w:t>
      </w:r>
    </w:p>
    <w:p>
      <w:pPr>
        <w:autoSpaceDE w:val="0"/>
        <w:autoSpaceDN w:val="0"/>
        <w:adjustRightInd w:val="0"/>
        <w:spacing w:line="360" w:lineRule="auto"/>
        <w:ind w:right="979"/>
        <w:jc w:val="right"/>
        <w:rPr>
          <w:rFonts w:hint="eastAsia" w:ascii="宋体" w:hAnsi="宋体" w:cs="宋体"/>
          <w:color w:val="000000"/>
          <w:sz w:val="21"/>
          <w:szCs w:val="21"/>
          <w:highlight w:val="none"/>
        </w:rPr>
      </w:pP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年</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月</w:t>
      </w:r>
      <w:r>
        <w:rPr>
          <w:rFonts w:hint="eastAsia" w:ascii="宋体" w:hAnsi="宋体" w:cs="宋体"/>
          <w:color w:val="000000"/>
          <w:sz w:val="21"/>
          <w:szCs w:val="21"/>
          <w:highlight w:val="none"/>
          <w:u w:val="single"/>
        </w:rPr>
        <w:t xml:space="preserve">    </w:t>
      </w:r>
      <w:r>
        <w:rPr>
          <w:rFonts w:hint="eastAsia" w:ascii="宋体" w:hAnsi="宋体" w:cs="宋体"/>
          <w:color w:val="000000"/>
          <w:sz w:val="21"/>
          <w:szCs w:val="21"/>
          <w:highlight w:val="none"/>
        </w:rPr>
        <w:t>日</w:t>
      </w:r>
    </w:p>
    <w:p>
      <w:pPr>
        <w:autoSpaceDE w:val="0"/>
        <w:autoSpaceDN w:val="0"/>
        <w:adjustRightInd w:val="0"/>
        <w:spacing w:line="440" w:lineRule="exact"/>
        <w:ind w:right="979"/>
        <w:rPr>
          <w:rFonts w:hint="eastAsia" w:ascii="宋体" w:hAnsi="宋体" w:cs="宋体"/>
          <w:color w:val="000000"/>
          <w:kern w:val="0"/>
          <w:sz w:val="21"/>
          <w:szCs w:val="21"/>
          <w:highlight w:val="none"/>
        </w:rPr>
      </w:pPr>
      <w:r>
        <w:rPr>
          <w:rFonts w:hint="eastAsia" w:ascii="宋体" w:hAnsi="宋体" w:cs="宋体"/>
          <w:color w:val="000000"/>
          <w:spacing w:val="-6"/>
          <w:sz w:val="24"/>
          <w:highlight w:val="none"/>
        </w:rPr>
        <w:br w:type="page"/>
      </w:r>
      <w:r>
        <w:rPr>
          <w:rFonts w:hint="eastAsia" w:ascii="宋体" w:hAnsi="宋体" w:cs="宋体"/>
          <w:color w:val="000000"/>
          <w:kern w:val="0"/>
          <w:sz w:val="21"/>
          <w:szCs w:val="21"/>
          <w:highlight w:val="none"/>
        </w:rPr>
        <w:t>（</w:t>
      </w:r>
      <w:r>
        <w:rPr>
          <w:rFonts w:hint="eastAsia" w:ascii="宋体" w:hAnsi="宋体" w:cs="宋体"/>
          <w:color w:val="000000"/>
          <w:kern w:val="0"/>
          <w:sz w:val="21"/>
          <w:szCs w:val="21"/>
          <w:highlight w:val="none"/>
          <w:lang w:val="en-US" w:eastAsia="zh-CN"/>
        </w:rPr>
        <w:t>二</w:t>
      </w:r>
      <w:r>
        <w:rPr>
          <w:rFonts w:hint="eastAsia" w:ascii="宋体" w:hAnsi="宋体" w:cs="宋体"/>
          <w:color w:val="000000"/>
          <w:kern w:val="0"/>
          <w:sz w:val="21"/>
          <w:szCs w:val="21"/>
          <w:highlight w:val="none"/>
        </w:rPr>
        <w:t>）投标人须是主体设备（立式磨煤机）的生产制造商。生产制造商可根据自身情况提供一项或多项足以证明制造商资质的证明材料的复印件（如：营业执照、业绩合同、厂房、设备、专利等其他材料）。</w:t>
      </w:r>
    </w:p>
    <w:p>
      <w:pPr>
        <w:rPr>
          <w:rFonts w:hint="eastAsia" w:ascii="宋体" w:hAnsi="宋体" w:cs="宋体"/>
          <w:color w:val="000000"/>
          <w:kern w:val="0"/>
          <w:sz w:val="21"/>
          <w:szCs w:val="21"/>
          <w:highlight w:val="none"/>
        </w:rPr>
      </w:pPr>
    </w:p>
    <w:p>
      <w:pPr>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br w:type="page"/>
      </w:r>
    </w:p>
    <w:p>
      <w:pPr>
        <w:autoSpaceDE w:val="0"/>
        <w:autoSpaceDN w:val="0"/>
        <w:adjustRightInd w:val="0"/>
        <w:spacing w:line="360" w:lineRule="auto"/>
        <w:ind w:right="979"/>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（三）</w:t>
      </w:r>
      <w:r>
        <w:rPr>
          <w:rFonts w:hint="eastAsia" w:ascii="宋体" w:hAnsi="宋体" w:cs="宋体"/>
          <w:color w:val="000000"/>
          <w:kern w:val="0"/>
          <w:sz w:val="24"/>
          <w:szCs w:val="24"/>
          <w:highlight w:val="none"/>
        </w:rPr>
        <w:t>业绩证明材料</w:t>
      </w:r>
    </w:p>
    <w:tbl>
      <w:tblPr>
        <w:tblStyle w:val="27"/>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1"/>
        <w:gridCol w:w="7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631" w:type="dxa"/>
            <w:noWrap w:val="0"/>
            <w:vAlign w:val="center"/>
          </w:tcPr>
          <w:p>
            <w:pPr>
              <w:spacing w:line="239"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设备名称</w:t>
            </w:r>
          </w:p>
        </w:tc>
        <w:tc>
          <w:tcPr>
            <w:tcW w:w="7153" w:type="dxa"/>
            <w:noWrap w:val="0"/>
            <w:vAlign w:val="center"/>
          </w:tcPr>
          <w:p>
            <w:pPr>
              <w:jc w:val="center"/>
              <w:rPr>
                <w:rFonts w:hint="eastAsia" w:ascii="宋体" w:hAnsi="宋体" w:eastAsia="宋体" w:cs="宋体"/>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631" w:type="dxa"/>
            <w:noWrap w:val="0"/>
            <w:vAlign w:val="center"/>
          </w:tcPr>
          <w:p>
            <w:pPr>
              <w:spacing w:line="239"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规格和型号</w:t>
            </w:r>
          </w:p>
        </w:tc>
        <w:tc>
          <w:tcPr>
            <w:tcW w:w="7153" w:type="dxa"/>
            <w:noWrap w:val="0"/>
            <w:vAlign w:val="center"/>
          </w:tcPr>
          <w:p>
            <w:pPr>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631" w:type="dxa"/>
            <w:noWrap w:val="0"/>
            <w:vAlign w:val="center"/>
          </w:tcPr>
          <w:p>
            <w:pPr>
              <w:spacing w:line="239"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合同</w:t>
            </w:r>
            <w:r>
              <w:rPr>
                <w:rFonts w:hint="eastAsia" w:ascii="宋体" w:hAnsi="宋体" w:eastAsia="宋体" w:cs="宋体"/>
                <w:color w:val="auto"/>
                <w:sz w:val="21"/>
                <w:szCs w:val="21"/>
                <w:highlight w:val="none"/>
              </w:rPr>
              <w:t>名称</w:t>
            </w:r>
          </w:p>
        </w:tc>
        <w:tc>
          <w:tcPr>
            <w:tcW w:w="7153" w:type="dxa"/>
            <w:noWrap w:val="0"/>
            <w:vAlign w:val="center"/>
          </w:tcPr>
          <w:p>
            <w:pPr>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631" w:type="dxa"/>
            <w:noWrap w:val="0"/>
            <w:vAlign w:val="center"/>
          </w:tcPr>
          <w:p>
            <w:pPr>
              <w:spacing w:line="239"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名称</w:t>
            </w:r>
          </w:p>
        </w:tc>
        <w:tc>
          <w:tcPr>
            <w:tcW w:w="7153" w:type="dxa"/>
            <w:noWrap w:val="0"/>
            <w:vAlign w:val="center"/>
          </w:tcPr>
          <w:p>
            <w:pPr>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631" w:type="dxa"/>
            <w:noWrap w:val="0"/>
            <w:vAlign w:val="center"/>
          </w:tcPr>
          <w:p>
            <w:pPr>
              <w:spacing w:line="239"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合同</w:t>
            </w:r>
            <w:r>
              <w:rPr>
                <w:rFonts w:hint="eastAsia" w:ascii="宋体" w:hAnsi="宋体" w:eastAsia="宋体" w:cs="宋体"/>
                <w:color w:val="auto"/>
                <w:sz w:val="21"/>
                <w:szCs w:val="21"/>
                <w:highlight w:val="none"/>
                <w:lang w:val="en-US" w:eastAsia="zh-CN"/>
              </w:rPr>
              <w:t>金额</w:t>
            </w:r>
          </w:p>
        </w:tc>
        <w:tc>
          <w:tcPr>
            <w:tcW w:w="7153" w:type="dxa"/>
            <w:noWrap w:val="0"/>
            <w:vAlign w:val="center"/>
          </w:tcPr>
          <w:p>
            <w:pPr>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2631" w:type="dxa"/>
            <w:noWrap w:val="0"/>
            <w:vAlign w:val="center"/>
          </w:tcPr>
          <w:p>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合同签订时间</w:t>
            </w:r>
          </w:p>
        </w:tc>
        <w:tc>
          <w:tcPr>
            <w:tcW w:w="7153" w:type="dxa"/>
            <w:noWrap w:val="0"/>
            <w:vAlign w:val="center"/>
          </w:tcPr>
          <w:p>
            <w:pPr>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631"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7153" w:type="dxa"/>
            <w:noWrap w:val="0"/>
            <w:vAlign w:val="center"/>
          </w:tcPr>
          <w:p>
            <w:pPr>
              <w:jc w:val="center"/>
              <w:rPr>
                <w:rFonts w:hint="eastAsia" w:ascii="宋体" w:hAnsi="宋体" w:eastAsia="宋体" w:cs="宋体"/>
                <w:color w:val="auto"/>
                <w:sz w:val="21"/>
                <w:szCs w:val="21"/>
                <w:highlight w:val="none"/>
              </w:rPr>
            </w:pPr>
          </w:p>
        </w:tc>
      </w:tr>
    </w:tbl>
    <w:p>
      <w:pPr>
        <w:autoSpaceDE w:val="0"/>
        <w:autoSpaceDN w:val="0"/>
        <w:adjustRightInd w:val="0"/>
        <w:spacing w:line="440" w:lineRule="exact"/>
        <w:ind w:right="979"/>
        <w:jc w:val="left"/>
        <w:rPr>
          <w:rFonts w:hint="eastAsia" w:ascii="宋体" w:hAnsi="宋体" w:cs="宋体"/>
          <w:color w:val="000000"/>
          <w:sz w:val="21"/>
          <w:szCs w:val="21"/>
          <w:highlight w:val="none"/>
        </w:rPr>
      </w:pPr>
    </w:p>
    <w:p>
      <w:pPr>
        <w:autoSpaceDE w:val="0"/>
        <w:autoSpaceDN w:val="0"/>
        <w:adjustRightInd w:val="0"/>
        <w:spacing w:line="440" w:lineRule="exact"/>
        <w:ind w:right="979"/>
        <w:jc w:val="left"/>
        <w:rPr>
          <w:rFonts w:hint="eastAsia" w:ascii="宋体" w:hAnsi="宋体" w:cs="宋体"/>
          <w:color w:val="000000"/>
          <w:sz w:val="21"/>
          <w:szCs w:val="21"/>
          <w:highlight w:val="none"/>
        </w:rPr>
      </w:pPr>
    </w:p>
    <w:p>
      <w:pPr>
        <w:autoSpaceDE w:val="0"/>
        <w:autoSpaceDN w:val="0"/>
        <w:adjustRightInd w:val="0"/>
        <w:spacing w:line="440" w:lineRule="exact"/>
        <w:ind w:right="979"/>
        <w:jc w:val="left"/>
        <w:rPr>
          <w:rFonts w:hint="eastAsia" w:ascii="宋体" w:hAnsi="宋体" w:cs="宋体"/>
          <w:color w:val="000000"/>
          <w:sz w:val="21"/>
          <w:szCs w:val="21"/>
          <w:highlight w:val="none"/>
        </w:rPr>
      </w:pPr>
      <w:r>
        <w:rPr>
          <w:rFonts w:hint="eastAsia" w:ascii="宋体" w:hAnsi="宋体" w:cs="宋体"/>
          <w:color w:val="000000"/>
          <w:sz w:val="21"/>
          <w:szCs w:val="21"/>
          <w:highlight w:val="none"/>
        </w:rPr>
        <w:t>说明：</w:t>
      </w:r>
    </w:p>
    <w:p>
      <w:pPr>
        <w:autoSpaceDE w:val="0"/>
        <w:autoSpaceDN w:val="0"/>
        <w:adjustRightInd w:val="0"/>
        <w:spacing w:line="440" w:lineRule="exact"/>
        <w:ind w:right="979"/>
        <w:jc w:val="center"/>
        <w:rPr>
          <w:rFonts w:hint="eastAsia" w:ascii="宋体" w:hAnsi="宋体"/>
          <w:color w:val="000000"/>
          <w:sz w:val="21"/>
          <w:szCs w:val="21"/>
          <w:highlight w:val="none"/>
        </w:rPr>
      </w:pPr>
      <w:r>
        <w:rPr>
          <w:rFonts w:hint="eastAsia" w:ascii="宋体" w:hAnsi="宋体"/>
          <w:color w:val="000000"/>
          <w:sz w:val="21"/>
          <w:szCs w:val="21"/>
          <w:highlight w:val="none"/>
        </w:rPr>
        <w:t>注：按照第三章</w:t>
      </w:r>
      <w:r>
        <w:rPr>
          <w:rFonts w:hint="eastAsia"/>
          <w:color w:val="000000"/>
          <w:sz w:val="21"/>
          <w:szCs w:val="21"/>
          <w:highlight w:val="none"/>
        </w:rPr>
        <w:t>评标标准和办法的</w:t>
      </w:r>
      <w:r>
        <w:rPr>
          <w:rFonts w:hint="eastAsia" w:ascii="宋体" w:hAnsi="宋体"/>
          <w:color w:val="000000"/>
          <w:sz w:val="21"/>
          <w:szCs w:val="21"/>
          <w:highlight w:val="none"/>
        </w:rPr>
        <w:t>评审要求提供相关证明材料。</w:t>
      </w:r>
    </w:p>
    <w:p>
      <w:pPr>
        <w:autoSpaceDE w:val="0"/>
        <w:autoSpaceDN w:val="0"/>
        <w:adjustRightInd w:val="0"/>
        <w:spacing w:line="440" w:lineRule="exact"/>
        <w:ind w:right="979"/>
        <w:jc w:val="both"/>
        <w:rPr>
          <w:rFonts w:hint="eastAsia" w:ascii="宋体" w:hAnsi="宋体" w:cs="宋体"/>
          <w:color w:val="000000"/>
          <w:sz w:val="21"/>
          <w:szCs w:val="21"/>
          <w:highlight w:val="none"/>
        </w:rPr>
      </w:pPr>
    </w:p>
    <w:p>
      <w:pPr>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br w:type="page"/>
      </w:r>
    </w:p>
    <w:p>
      <w:pPr>
        <w:numPr>
          <w:ilvl w:val="0"/>
          <w:numId w:val="0"/>
        </w:numPr>
        <w:autoSpaceDE w:val="0"/>
        <w:autoSpaceDN w:val="0"/>
        <w:adjustRightInd w:val="0"/>
        <w:spacing w:line="360" w:lineRule="auto"/>
        <w:ind w:right="979" w:rightChars="0"/>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（四）偏离表</w:t>
      </w:r>
    </w:p>
    <w:p>
      <w:pPr>
        <w:bidi w:val="0"/>
        <w:jc w:val="center"/>
        <w:rPr>
          <w:rFonts w:hint="eastAsia"/>
          <w:b/>
          <w:bCs/>
        </w:rPr>
      </w:pPr>
      <w:bookmarkStart w:id="137" w:name="_Toc11363"/>
      <w:bookmarkStart w:id="138" w:name="_Toc157325620"/>
      <w:r>
        <w:rPr>
          <w:rFonts w:hint="eastAsia"/>
          <w:b/>
          <w:bCs/>
        </w:rPr>
        <w:t>合同</w:t>
      </w:r>
      <w:r>
        <w:rPr>
          <w:b/>
          <w:bCs/>
        </w:rPr>
        <w:t>条款响应/偏离表</w:t>
      </w:r>
      <w:bookmarkEnd w:id="137"/>
      <w:bookmarkEnd w:id="138"/>
    </w:p>
    <w:p>
      <w:pPr>
        <w:kinsoku/>
        <w:autoSpaceDE/>
        <w:autoSpaceDN/>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项目名称：                  </w:t>
      </w:r>
    </w:p>
    <w:p>
      <w:pPr>
        <w:kinsoku/>
        <w:autoSpaceDE/>
        <w:autoSpaceDN/>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项目编号：                  </w:t>
      </w:r>
    </w:p>
    <w:tbl>
      <w:tblPr>
        <w:tblStyle w:val="84"/>
        <w:tblW w:w="91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4"/>
        <w:gridCol w:w="1048"/>
        <w:gridCol w:w="2780"/>
        <w:gridCol w:w="1184"/>
        <w:gridCol w:w="2218"/>
        <w:gridCol w:w="11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jc w:val="center"/>
        </w:trPr>
        <w:tc>
          <w:tcPr>
            <w:tcW w:w="714" w:type="dxa"/>
            <w:vAlign w:val="center"/>
          </w:tcPr>
          <w:p>
            <w:pPr>
              <w:kinsoku/>
              <w:autoSpaceDE/>
              <w:autoSpaceDN/>
              <w:spacing w:line="24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1048" w:type="dxa"/>
            <w:vAlign w:val="center"/>
          </w:tcPr>
          <w:p>
            <w:pPr>
              <w:kinsoku/>
              <w:autoSpaceDE/>
              <w:autoSpaceDN/>
              <w:spacing w:line="24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合同条目号</w:t>
            </w:r>
          </w:p>
        </w:tc>
        <w:tc>
          <w:tcPr>
            <w:tcW w:w="2780" w:type="dxa"/>
            <w:vAlign w:val="center"/>
          </w:tcPr>
          <w:p>
            <w:pPr>
              <w:kinsoku/>
              <w:autoSpaceDE/>
              <w:autoSpaceDN/>
              <w:spacing w:line="24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招标文件的合同条款</w:t>
            </w:r>
          </w:p>
        </w:tc>
        <w:tc>
          <w:tcPr>
            <w:tcW w:w="1184" w:type="dxa"/>
            <w:vAlign w:val="center"/>
          </w:tcPr>
          <w:p>
            <w:pPr>
              <w:kinsoku/>
              <w:autoSpaceDE/>
              <w:autoSpaceDN/>
              <w:spacing w:line="24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投标文件的合同条款</w:t>
            </w:r>
          </w:p>
        </w:tc>
        <w:tc>
          <w:tcPr>
            <w:tcW w:w="2218" w:type="dxa"/>
            <w:vAlign w:val="center"/>
          </w:tcPr>
          <w:p>
            <w:pPr>
              <w:kinsoku/>
              <w:autoSpaceDE/>
              <w:autoSpaceDN/>
              <w:spacing w:line="24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偏离情况</w:t>
            </w:r>
          </w:p>
          <w:p>
            <w:pPr>
              <w:kinsoku/>
              <w:autoSpaceDE/>
              <w:autoSpaceDN/>
              <w:spacing w:line="24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（正偏离/负偏离/无偏离）</w:t>
            </w:r>
          </w:p>
        </w:tc>
        <w:tc>
          <w:tcPr>
            <w:tcW w:w="1189" w:type="dxa"/>
            <w:vAlign w:val="center"/>
          </w:tcPr>
          <w:p>
            <w:pPr>
              <w:kinsoku/>
              <w:autoSpaceDE/>
              <w:autoSpaceDN/>
              <w:spacing w:line="24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714"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1048"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c>
          <w:tcPr>
            <w:tcW w:w="2780"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c>
          <w:tcPr>
            <w:tcW w:w="1184"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c>
          <w:tcPr>
            <w:tcW w:w="2218"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c>
          <w:tcPr>
            <w:tcW w:w="1189"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jc w:val="center"/>
        </w:trPr>
        <w:tc>
          <w:tcPr>
            <w:tcW w:w="714"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1048"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请投标人 自行添加</w:t>
            </w:r>
          </w:p>
        </w:tc>
        <w:tc>
          <w:tcPr>
            <w:tcW w:w="2780"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c>
          <w:tcPr>
            <w:tcW w:w="1184"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c>
          <w:tcPr>
            <w:tcW w:w="2218"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c>
          <w:tcPr>
            <w:tcW w:w="1189" w:type="dxa"/>
            <w:vAlign w:val="center"/>
          </w:tcPr>
          <w:p>
            <w:pPr>
              <w:kinsoku/>
              <w:autoSpaceDE/>
              <w:autoSpaceDN/>
              <w:jc w:val="center"/>
              <w:textAlignment w:val="auto"/>
              <w:rPr>
                <w:rFonts w:hint="eastAsia" w:asciiTheme="minorEastAsia" w:hAnsiTheme="minorEastAsia" w:eastAsiaTheme="minorEastAsia" w:cstheme="minorEastAsia"/>
                <w:color w:val="auto"/>
                <w:sz w:val="24"/>
                <w:szCs w:val="24"/>
                <w:highlight w:val="none"/>
              </w:rPr>
            </w:pPr>
          </w:p>
        </w:tc>
      </w:tr>
    </w:tbl>
    <w:p>
      <w:pPr>
        <w:kinsoku/>
        <w:autoSpaceDE/>
        <w:autoSpaceDN/>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pPr>
        <w:kinsoku/>
        <w:autoSpaceDE/>
        <w:autoSpaceDN/>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1.按本项目招标文件的合同条款对应如实填写。如有偏离，</w:t>
      </w:r>
      <w:r>
        <w:rPr>
          <w:rFonts w:hint="eastAsia" w:asciiTheme="minorEastAsia" w:hAnsiTheme="minorEastAsia" w:eastAsiaTheme="minorEastAsia" w:cstheme="minorEastAsia"/>
          <w:color w:val="auto"/>
          <w:sz w:val="24"/>
          <w:szCs w:val="24"/>
          <w:highlight w:val="none"/>
          <w:lang w:val="en-US" w:eastAsia="zh-CN"/>
        </w:rPr>
        <w:t>须在</w:t>
      </w:r>
      <w:r>
        <w:rPr>
          <w:rFonts w:hint="eastAsia" w:asciiTheme="minorEastAsia" w:hAnsiTheme="minorEastAsia" w:eastAsiaTheme="minorEastAsia" w:cstheme="minorEastAsia"/>
          <w:color w:val="auto"/>
          <w:sz w:val="24"/>
          <w:szCs w:val="24"/>
          <w:highlight w:val="none"/>
        </w:rPr>
        <w:t>“偏离情况”栏内如实注明是“正</w:t>
      </w:r>
      <w:r>
        <w:rPr>
          <w:rFonts w:hint="eastAsia" w:asciiTheme="minorEastAsia" w:hAnsiTheme="minorEastAsia" w:eastAsiaTheme="minorEastAsia" w:cstheme="minorEastAsia"/>
          <w:color w:val="auto"/>
          <w:sz w:val="24"/>
          <w:szCs w:val="24"/>
          <w:highlight w:val="none"/>
          <w:lang w:val="en-US" w:eastAsia="zh-CN"/>
        </w:rPr>
        <w:t>偏离</w:t>
      </w:r>
      <w:r>
        <w:rPr>
          <w:rFonts w:hint="eastAsia" w:asciiTheme="minorEastAsia" w:hAnsiTheme="minorEastAsia" w:eastAsiaTheme="minorEastAsia" w:cstheme="minorEastAsia"/>
          <w:color w:val="auto"/>
          <w:sz w:val="24"/>
          <w:szCs w:val="24"/>
          <w:highlight w:val="none"/>
        </w:rPr>
        <w:t>”或“负</w:t>
      </w:r>
      <w:r>
        <w:rPr>
          <w:rFonts w:hint="eastAsia" w:asciiTheme="minorEastAsia" w:hAnsiTheme="minorEastAsia" w:eastAsiaTheme="minorEastAsia" w:cstheme="minorEastAsia"/>
          <w:color w:val="auto"/>
          <w:sz w:val="24"/>
          <w:szCs w:val="24"/>
          <w:highlight w:val="none"/>
          <w:lang w:val="en-US" w:eastAsia="zh-CN"/>
        </w:rPr>
        <w:t>偏离</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并</w:t>
      </w:r>
      <w:r>
        <w:rPr>
          <w:rFonts w:hint="eastAsia" w:asciiTheme="minorEastAsia" w:hAnsiTheme="minorEastAsia" w:eastAsiaTheme="minorEastAsia" w:cstheme="minorEastAsia"/>
          <w:color w:val="auto"/>
          <w:sz w:val="24"/>
          <w:szCs w:val="24"/>
          <w:highlight w:val="none"/>
        </w:rPr>
        <w:t>予以说明</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（“正</w:t>
      </w:r>
      <w:r>
        <w:rPr>
          <w:rFonts w:hint="eastAsia" w:asciiTheme="minorEastAsia" w:hAnsiTheme="minorEastAsia" w:eastAsiaTheme="minorEastAsia" w:cstheme="minorEastAsia"/>
          <w:color w:val="auto"/>
          <w:sz w:val="24"/>
          <w:szCs w:val="24"/>
          <w:highlight w:val="none"/>
          <w:lang w:val="en-US" w:eastAsia="zh-CN"/>
        </w:rPr>
        <w:t>偏离</w:t>
      </w:r>
      <w:r>
        <w:rPr>
          <w:rFonts w:hint="eastAsia" w:asciiTheme="minorEastAsia" w:hAnsiTheme="minorEastAsia" w:eastAsiaTheme="minorEastAsia" w:cstheme="minorEastAsia"/>
          <w:color w:val="auto"/>
          <w:sz w:val="24"/>
          <w:szCs w:val="24"/>
          <w:highlight w:val="none"/>
        </w:rPr>
        <w:t>”指</w:t>
      </w:r>
      <w:r>
        <w:rPr>
          <w:rFonts w:hint="eastAsia" w:asciiTheme="minorEastAsia" w:hAnsiTheme="minorEastAsia" w:eastAsiaTheme="minorEastAsia" w:cstheme="minorEastAsia"/>
          <w:color w:val="auto"/>
          <w:sz w:val="24"/>
          <w:szCs w:val="24"/>
          <w:highlight w:val="none"/>
          <w:lang w:val="en-US" w:eastAsia="zh-CN"/>
        </w:rPr>
        <w:t>所报合同响应情况</w:t>
      </w:r>
      <w:r>
        <w:rPr>
          <w:rFonts w:hint="eastAsia" w:asciiTheme="minorEastAsia" w:hAnsiTheme="minorEastAsia" w:eastAsiaTheme="minorEastAsia" w:cstheme="minorEastAsia"/>
          <w:color w:val="auto"/>
          <w:sz w:val="24"/>
          <w:szCs w:val="24"/>
          <w:highlight w:val="none"/>
        </w:rPr>
        <w:t>优于招标文件中要求，“负</w:t>
      </w:r>
      <w:r>
        <w:rPr>
          <w:rFonts w:hint="eastAsia" w:asciiTheme="minorEastAsia" w:hAnsiTheme="minorEastAsia" w:eastAsiaTheme="minorEastAsia" w:cstheme="minorEastAsia"/>
          <w:color w:val="auto"/>
          <w:sz w:val="24"/>
          <w:szCs w:val="24"/>
          <w:highlight w:val="none"/>
          <w:lang w:val="en-US" w:eastAsia="zh-CN"/>
        </w:rPr>
        <w:t>偏离</w:t>
      </w:r>
      <w:r>
        <w:rPr>
          <w:rFonts w:hint="eastAsia" w:asciiTheme="minorEastAsia" w:hAnsiTheme="minorEastAsia" w:eastAsiaTheme="minorEastAsia" w:cstheme="minorEastAsia"/>
          <w:color w:val="auto"/>
          <w:sz w:val="24"/>
          <w:szCs w:val="24"/>
          <w:highlight w:val="none"/>
        </w:rPr>
        <w:t>”指所报</w:t>
      </w:r>
      <w:r>
        <w:rPr>
          <w:rFonts w:hint="eastAsia" w:asciiTheme="minorEastAsia" w:hAnsiTheme="minorEastAsia" w:eastAsiaTheme="minorEastAsia" w:cstheme="minorEastAsia"/>
          <w:color w:val="auto"/>
          <w:sz w:val="24"/>
          <w:szCs w:val="24"/>
          <w:highlight w:val="none"/>
          <w:lang w:val="en-US" w:eastAsia="zh-CN"/>
        </w:rPr>
        <w:t>合同响应情况</w:t>
      </w:r>
      <w:r>
        <w:rPr>
          <w:rFonts w:hint="eastAsia" w:asciiTheme="minorEastAsia" w:hAnsiTheme="minorEastAsia" w:eastAsiaTheme="minorEastAsia" w:cstheme="minorEastAsia"/>
          <w:color w:val="auto"/>
          <w:sz w:val="24"/>
          <w:szCs w:val="24"/>
          <w:highlight w:val="none"/>
        </w:rPr>
        <w:t>低于招标文件中要求）</w:t>
      </w:r>
    </w:p>
    <w:p>
      <w:pPr>
        <w:kinsoku/>
        <w:autoSpaceDE/>
        <w:autoSpaceDN/>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2.如投标文件对合同条款无任何偏差，投标人仅需在本偏离表中填写“</w:t>
      </w:r>
      <w:r>
        <w:rPr>
          <w:rFonts w:hint="eastAsia" w:asciiTheme="minorEastAsia" w:hAnsiTheme="minorEastAsia" w:eastAsiaTheme="minorEastAsia" w:cstheme="minorEastAsia"/>
          <w:color w:val="auto"/>
          <w:sz w:val="24"/>
          <w:szCs w:val="24"/>
          <w:highlight w:val="none"/>
          <w:lang w:val="en-US" w:eastAsia="zh-CN"/>
        </w:rPr>
        <w:t>全部内容</w:t>
      </w:r>
      <w:r>
        <w:rPr>
          <w:rFonts w:hint="eastAsia" w:asciiTheme="minorEastAsia" w:hAnsiTheme="minorEastAsia" w:eastAsiaTheme="minorEastAsia" w:cstheme="minorEastAsia"/>
          <w:color w:val="auto"/>
          <w:sz w:val="24"/>
          <w:szCs w:val="24"/>
          <w:highlight w:val="none"/>
        </w:rPr>
        <w:t>无偏离”即可。如投标人的以上表格如为空白，则表示无偏离，即完全满足招标文件的合同条款。</w:t>
      </w:r>
    </w:p>
    <w:p>
      <w:pPr>
        <w:kinsoku/>
        <w:autoSpaceDE/>
        <w:autoSpaceDN/>
        <w:textAlignment w:val="auto"/>
        <w:rPr>
          <w:rFonts w:hint="eastAsia" w:asciiTheme="minorEastAsia" w:hAnsiTheme="minorEastAsia" w:eastAsiaTheme="minorEastAsia" w:cstheme="minorEastAsia"/>
          <w:color w:val="auto"/>
          <w:sz w:val="24"/>
          <w:szCs w:val="24"/>
          <w:highlight w:val="none"/>
        </w:rPr>
      </w:pPr>
    </w:p>
    <w:p>
      <w:pPr>
        <w:spacing w:line="360" w:lineRule="auto"/>
        <w:ind w:right="420"/>
        <w:jc w:val="right"/>
        <w:rPr>
          <w:rFonts w:hint="eastAsia" w:ascii="宋体" w:hAnsi="宋体" w:cs="宋体"/>
          <w:color w:val="000000"/>
          <w:sz w:val="24"/>
          <w:szCs w:val="24"/>
          <w:highlight w:val="none"/>
        </w:rPr>
      </w:pPr>
    </w:p>
    <w:p>
      <w:pPr>
        <w:spacing w:line="360" w:lineRule="auto"/>
        <w:ind w:right="420"/>
        <w:jc w:val="right"/>
        <w:rPr>
          <w:rFonts w:hint="eastAsia" w:ascii="宋体" w:hAnsi="宋体" w:cs="宋体"/>
          <w:color w:val="000000"/>
          <w:sz w:val="24"/>
          <w:szCs w:val="24"/>
          <w:highlight w:val="none"/>
          <w:u w:val="single"/>
        </w:rPr>
      </w:pPr>
      <w:r>
        <w:rPr>
          <w:rFonts w:hint="eastAsia" w:ascii="宋体" w:hAnsi="宋体" w:cs="宋体"/>
          <w:color w:val="000000"/>
          <w:sz w:val="24"/>
          <w:szCs w:val="24"/>
          <w:highlight w:val="none"/>
        </w:rPr>
        <w:t>投标人：</w:t>
      </w:r>
      <w:r>
        <w:rPr>
          <w:rFonts w:hint="eastAsia" w:ascii="宋体" w:hAnsi="宋体" w:cs="宋体"/>
          <w:color w:val="000000"/>
          <w:sz w:val="24"/>
          <w:szCs w:val="24"/>
          <w:highlight w:val="none"/>
          <w:u w:val="single"/>
        </w:rPr>
        <w:t xml:space="preserve">                 （盖单位章 ）</w:t>
      </w:r>
    </w:p>
    <w:p>
      <w:pPr>
        <w:autoSpaceDE w:val="0"/>
        <w:autoSpaceDN w:val="0"/>
        <w:adjustRightInd w:val="0"/>
        <w:spacing w:line="360" w:lineRule="auto"/>
        <w:ind w:right="979"/>
        <w:jc w:val="right"/>
        <w:rPr>
          <w:rFonts w:hint="eastAsia"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pPr>
        <w:pStyle w:val="2"/>
        <w:widowControl w:val="0"/>
        <w:numPr>
          <w:ilvl w:val="0"/>
          <w:numId w:val="0"/>
        </w:numPr>
        <w:spacing w:line="500" w:lineRule="exact"/>
        <w:jc w:val="both"/>
        <w:rPr>
          <w:rFonts w:hint="default"/>
          <w:lang w:val="en-US" w:eastAsia="zh-CN"/>
        </w:rPr>
      </w:pPr>
    </w:p>
    <w:p>
      <w:pPr>
        <w:pStyle w:val="3"/>
        <w:rPr>
          <w:rFonts w:hint="default"/>
          <w:lang w:val="en-US" w:eastAsia="zh-CN"/>
        </w:rPr>
      </w:pPr>
    </w:p>
    <w:p>
      <w:pPr>
        <w:rPr>
          <w:rFonts w:hint="default"/>
          <w:lang w:val="en-US" w:eastAsia="zh-CN"/>
        </w:rPr>
      </w:pPr>
      <w:r>
        <w:rPr>
          <w:rFonts w:hint="default"/>
          <w:lang w:val="en-US" w:eastAsia="zh-CN"/>
        </w:rPr>
        <w:br w:type="page"/>
      </w:r>
    </w:p>
    <w:p>
      <w:pPr>
        <w:bidi w:val="0"/>
        <w:spacing w:line="360" w:lineRule="auto"/>
        <w:jc w:val="center"/>
        <w:rPr>
          <w:rFonts w:hint="eastAsia" w:ascii="宋体" w:hAnsi="宋体" w:eastAsia="宋体" w:cs="宋体"/>
          <w:b/>
          <w:bCs/>
        </w:rPr>
      </w:pPr>
      <w:bookmarkStart w:id="139" w:name="_Toc9058"/>
      <w:bookmarkStart w:id="140" w:name="_Toc20157"/>
      <w:bookmarkStart w:id="141" w:name="_Toc157608425"/>
      <w:bookmarkStart w:id="142" w:name="_Toc157325713"/>
      <w:r>
        <w:rPr>
          <w:rFonts w:hint="eastAsia" w:ascii="宋体" w:hAnsi="宋体" w:eastAsia="宋体" w:cs="宋体"/>
          <w:b/>
          <w:bCs/>
          <w:lang w:val="en-US" w:eastAsia="zh-CN"/>
        </w:rPr>
        <w:t>委托人要求</w:t>
      </w:r>
      <w:r>
        <w:rPr>
          <w:rFonts w:hint="eastAsia" w:ascii="宋体" w:hAnsi="宋体" w:eastAsia="宋体" w:cs="宋体"/>
          <w:b/>
          <w:bCs/>
        </w:rPr>
        <w:t>响应/偏离表</w:t>
      </w:r>
      <w:bookmarkEnd w:id="139"/>
      <w:bookmarkEnd w:id="140"/>
      <w:bookmarkEnd w:id="141"/>
      <w:bookmarkEnd w:id="142"/>
    </w:p>
    <w:p>
      <w:pPr>
        <w:kinsoku/>
        <w:autoSpaceDE/>
        <w:autoSpaceDN/>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项目名称：                  </w:t>
      </w:r>
    </w:p>
    <w:p>
      <w:pPr>
        <w:kinsoku/>
        <w:autoSpaceDE/>
        <w:autoSpaceDN/>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项目编号：                  </w:t>
      </w:r>
    </w:p>
    <w:tbl>
      <w:tblPr>
        <w:tblStyle w:val="84"/>
        <w:tblW w:w="91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4"/>
        <w:gridCol w:w="1048"/>
        <w:gridCol w:w="2780"/>
        <w:gridCol w:w="1184"/>
        <w:gridCol w:w="2218"/>
        <w:gridCol w:w="11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jc w:val="center"/>
        </w:trPr>
        <w:tc>
          <w:tcPr>
            <w:tcW w:w="714" w:type="dxa"/>
            <w:vAlign w:val="center"/>
          </w:tcPr>
          <w:p>
            <w:pPr>
              <w:kinsoku/>
              <w:autoSpaceDE/>
              <w:autoSpaceDN/>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048" w:type="dxa"/>
            <w:vAlign w:val="center"/>
          </w:tcPr>
          <w:p>
            <w:pPr>
              <w:kinsoku/>
              <w:autoSpaceDE/>
              <w:autoSpaceDN/>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委托人要求条目</w:t>
            </w:r>
          </w:p>
        </w:tc>
        <w:tc>
          <w:tcPr>
            <w:tcW w:w="2780" w:type="dxa"/>
            <w:vAlign w:val="center"/>
          </w:tcPr>
          <w:p>
            <w:pPr>
              <w:kinsoku/>
              <w:autoSpaceDE/>
              <w:autoSpaceDN/>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w:t>
            </w:r>
          </w:p>
        </w:tc>
        <w:tc>
          <w:tcPr>
            <w:tcW w:w="1184" w:type="dxa"/>
            <w:vAlign w:val="center"/>
          </w:tcPr>
          <w:p>
            <w:pPr>
              <w:kinsoku/>
              <w:autoSpaceDE/>
              <w:autoSpaceDN/>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投标文件条款</w:t>
            </w:r>
          </w:p>
        </w:tc>
        <w:tc>
          <w:tcPr>
            <w:tcW w:w="2218" w:type="dxa"/>
            <w:vAlign w:val="center"/>
          </w:tcPr>
          <w:p>
            <w:pPr>
              <w:kinsoku/>
              <w:autoSpaceDE/>
              <w:autoSpaceDN/>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p>
            <w:pPr>
              <w:kinsoku/>
              <w:autoSpaceDE/>
              <w:autoSpaceDN/>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（正偏离/负偏离/无偏离）</w:t>
            </w:r>
          </w:p>
        </w:tc>
        <w:tc>
          <w:tcPr>
            <w:tcW w:w="1189" w:type="dxa"/>
            <w:vAlign w:val="center"/>
          </w:tcPr>
          <w:p>
            <w:pPr>
              <w:kinsoku/>
              <w:autoSpaceDE/>
              <w:autoSpaceDN/>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证明文件对应页码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714" w:type="dxa"/>
            <w:vAlign w:val="center"/>
          </w:tcPr>
          <w:p>
            <w:pPr>
              <w:kinsoku/>
              <w:autoSpaceDE/>
              <w:autoSpaceDN/>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48" w:type="dxa"/>
            <w:vAlign w:val="center"/>
          </w:tcPr>
          <w:p>
            <w:pPr>
              <w:kinsoku/>
              <w:autoSpaceDE/>
              <w:autoSpaceDN/>
              <w:jc w:val="center"/>
              <w:textAlignment w:val="auto"/>
              <w:rPr>
                <w:rFonts w:hint="eastAsia" w:ascii="宋体" w:hAnsi="宋体" w:eastAsia="宋体" w:cs="宋体"/>
                <w:color w:val="auto"/>
                <w:sz w:val="24"/>
                <w:szCs w:val="24"/>
                <w:highlight w:val="none"/>
              </w:rPr>
            </w:pPr>
          </w:p>
        </w:tc>
        <w:tc>
          <w:tcPr>
            <w:tcW w:w="2780" w:type="dxa"/>
            <w:vAlign w:val="center"/>
          </w:tcPr>
          <w:p>
            <w:pPr>
              <w:kinsoku/>
              <w:autoSpaceDE/>
              <w:autoSpaceDN/>
              <w:jc w:val="center"/>
              <w:textAlignment w:val="auto"/>
              <w:rPr>
                <w:rFonts w:hint="eastAsia" w:ascii="宋体" w:hAnsi="宋体" w:eastAsia="宋体" w:cs="宋体"/>
                <w:color w:val="auto"/>
                <w:sz w:val="24"/>
                <w:szCs w:val="24"/>
                <w:highlight w:val="none"/>
              </w:rPr>
            </w:pPr>
          </w:p>
        </w:tc>
        <w:tc>
          <w:tcPr>
            <w:tcW w:w="1184" w:type="dxa"/>
            <w:vAlign w:val="center"/>
          </w:tcPr>
          <w:p>
            <w:pPr>
              <w:kinsoku/>
              <w:autoSpaceDE/>
              <w:autoSpaceDN/>
              <w:jc w:val="center"/>
              <w:textAlignment w:val="auto"/>
              <w:rPr>
                <w:rFonts w:hint="eastAsia" w:ascii="宋体" w:hAnsi="宋体" w:eastAsia="宋体" w:cs="宋体"/>
                <w:color w:val="auto"/>
                <w:sz w:val="24"/>
                <w:szCs w:val="24"/>
                <w:highlight w:val="none"/>
              </w:rPr>
            </w:pPr>
          </w:p>
        </w:tc>
        <w:tc>
          <w:tcPr>
            <w:tcW w:w="2218" w:type="dxa"/>
            <w:vAlign w:val="center"/>
          </w:tcPr>
          <w:p>
            <w:pPr>
              <w:kinsoku/>
              <w:autoSpaceDE/>
              <w:autoSpaceDN/>
              <w:jc w:val="center"/>
              <w:textAlignment w:val="auto"/>
              <w:rPr>
                <w:rFonts w:hint="eastAsia" w:ascii="宋体" w:hAnsi="宋体" w:eastAsia="宋体" w:cs="宋体"/>
                <w:color w:val="auto"/>
                <w:sz w:val="24"/>
                <w:szCs w:val="24"/>
                <w:highlight w:val="none"/>
              </w:rPr>
            </w:pPr>
          </w:p>
        </w:tc>
        <w:tc>
          <w:tcPr>
            <w:tcW w:w="1189" w:type="dxa"/>
            <w:vAlign w:val="center"/>
          </w:tcPr>
          <w:p>
            <w:pPr>
              <w:kinsoku/>
              <w:autoSpaceDE/>
              <w:autoSpaceDN/>
              <w:jc w:val="center"/>
              <w:textAlignment w:val="auto"/>
              <w:rPr>
                <w:rFonts w:hint="eastAsia"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jc w:val="center"/>
        </w:trPr>
        <w:tc>
          <w:tcPr>
            <w:tcW w:w="714" w:type="dxa"/>
            <w:vAlign w:val="center"/>
          </w:tcPr>
          <w:p>
            <w:pPr>
              <w:kinsoku/>
              <w:autoSpaceDE/>
              <w:autoSpaceDN/>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048" w:type="dxa"/>
            <w:vAlign w:val="center"/>
          </w:tcPr>
          <w:p>
            <w:pPr>
              <w:kinsoku/>
              <w:autoSpaceDE/>
              <w:autoSpaceDN/>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请投标人 自行添加</w:t>
            </w:r>
          </w:p>
        </w:tc>
        <w:tc>
          <w:tcPr>
            <w:tcW w:w="2780" w:type="dxa"/>
            <w:vAlign w:val="center"/>
          </w:tcPr>
          <w:p>
            <w:pPr>
              <w:kinsoku/>
              <w:autoSpaceDE/>
              <w:autoSpaceDN/>
              <w:jc w:val="center"/>
              <w:textAlignment w:val="auto"/>
              <w:rPr>
                <w:rFonts w:hint="eastAsia" w:ascii="宋体" w:hAnsi="宋体" w:eastAsia="宋体" w:cs="宋体"/>
                <w:color w:val="auto"/>
                <w:sz w:val="24"/>
                <w:szCs w:val="24"/>
                <w:highlight w:val="none"/>
              </w:rPr>
            </w:pPr>
          </w:p>
        </w:tc>
        <w:tc>
          <w:tcPr>
            <w:tcW w:w="1184" w:type="dxa"/>
            <w:vAlign w:val="center"/>
          </w:tcPr>
          <w:p>
            <w:pPr>
              <w:kinsoku/>
              <w:autoSpaceDE/>
              <w:autoSpaceDN/>
              <w:jc w:val="center"/>
              <w:textAlignment w:val="auto"/>
              <w:rPr>
                <w:rFonts w:hint="eastAsia" w:ascii="宋体" w:hAnsi="宋体" w:eastAsia="宋体" w:cs="宋体"/>
                <w:color w:val="auto"/>
                <w:sz w:val="24"/>
                <w:szCs w:val="24"/>
                <w:highlight w:val="none"/>
              </w:rPr>
            </w:pPr>
          </w:p>
        </w:tc>
        <w:tc>
          <w:tcPr>
            <w:tcW w:w="2218" w:type="dxa"/>
            <w:vAlign w:val="center"/>
          </w:tcPr>
          <w:p>
            <w:pPr>
              <w:kinsoku/>
              <w:autoSpaceDE/>
              <w:autoSpaceDN/>
              <w:jc w:val="center"/>
              <w:textAlignment w:val="auto"/>
              <w:rPr>
                <w:rFonts w:hint="eastAsia" w:ascii="宋体" w:hAnsi="宋体" w:eastAsia="宋体" w:cs="宋体"/>
                <w:color w:val="auto"/>
                <w:sz w:val="24"/>
                <w:szCs w:val="24"/>
                <w:highlight w:val="none"/>
              </w:rPr>
            </w:pPr>
          </w:p>
        </w:tc>
        <w:tc>
          <w:tcPr>
            <w:tcW w:w="1189" w:type="dxa"/>
            <w:vAlign w:val="center"/>
          </w:tcPr>
          <w:p>
            <w:pPr>
              <w:kinsoku/>
              <w:autoSpaceDE/>
              <w:autoSpaceDN/>
              <w:jc w:val="center"/>
              <w:textAlignment w:val="auto"/>
              <w:rPr>
                <w:rFonts w:hint="eastAsia" w:ascii="宋体" w:hAnsi="宋体" w:eastAsia="宋体" w:cs="宋体"/>
                <w:color w:val="auto"/>
                <w:sz w:val="24"/>
                <w:szCs w:val="24"/>
                <w:highlight w:val="none"/>
              </w:rPr>
            </w:pPr>
          </w:p>
        </w:tc>
      </w:tr>
    </w:tbl>
    <w:p>
      <w:pPr>
        <w:kinsoku/>
        <w:autoSpaceDE/>
        <w:autoSpaceDN/>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注：1.按本项目《</w:t>
      </w:r>
      <w:r>
        <w:rPr>
          <w:rFonts w:hint="eastAsia" w:ascii="宋体" w:hAnsi="宋体" w:eastAsia="宋体" w:cs="宋体"/>
          <w:color w:val="auto"/>
          <w:sz w:val="24"/>
          <w:szCs w:val="24"/>
          <w:highlight w:val="none"/>
          <w:lang w:val="en-US" w:eastAsia="zh-CN"/>
        </w:rPr>
        <w:t>委托人要求</w:t>
      </w:r>
      <w:r>
        <w:rPr>
          <w:rFonts w:hint="eastAsia" w:ascii="宋体" w:hAnsi="宋体" w:eastAsia="宋体" w:cs="宋体"/>
          <w:color w:val="auto"/>
          <w:sz w:val="24"/>
          <w:szCs w:val="24"/>
          <w:highlight w:val="none"/>
        </w:rPr>
        <w:t>》条款对应如实填写。如有偏离，</w:t>
      </w:r>
      <w:r>
        <w:rPr>
          <w:rFonts w:hint="eastAsia" w:asciiTheme="minorEastAsia" w:hAnsiTheme="minorEastAsia" w:eastAsiaTheme="minorEastAsia" w:cstheme="minorEastAsia"/>
          <w:color w:val="auto"/>
          <w:sz w:val="24"/>
          <w:szCs w:val="24"/>
          <w:highlight w:val="none"/>
          <w:lang w:val="en-US" w:eastAsia="zh-CN"/>
        </w:rPr>
        <w:t>须在</w:t>
      </w:r>
      <w:r>
        <w:rPr>
          <w:rFonts w:hint="eastAsia" w:asciiTheme="minorEastAsia" w:hAnsiTheme="minorEastAsia" w:eastAsiaTheme="minorEastAsia" w:cstheme="minorEastAsia"/>
          <w:color w:val="auto"/>
          <w:sz w:val="24"/>
          <w:szCs w:val="24"/>
          <w:highlight w:val="none"/>
        </w:rPr>
        <w:t>“偏离情况”栏内如实注明是“正</w:t>
      </w:r>
      <w:r>
        <w:rPr>
          <w:rFonts w:hint="eastAsia" w:asciiTheme="minorEastAsia" w:hAnsiTheme="minorEastAsia" w:eastAsiaTheme="minorEastAsia" w:cstheme="minorEastAsia"/>
          <w:color w:val="auto"/>
          <w:sz w:val="24"/>
          <w:szCs w:val="24"/>
          <w:highlight w:val="none"/>
          <w:lang w:val="en-US" w:eastAsia="zh-CN"/>
        </w:rPr>
        <w:t>偏离</w:t>
      </w:r>
      <w:r>
        <w:rPr>
          <w:rFonts w:hint="eastAsia" w:asciiTheme="minorEastAsia" w:hAnsiTheme="minorEastAsia" w:eastAsiaTheme="minorEastAsia" w:cstheme="minorEastAsia"/>
          <w:color w:val="auto"/>
          <w:sz w:val="24"/>
          <w:szCs w:val="24"/>
          <w:highlight w:val="none"/>
        </w:rPr>
        <w:t>”或“负</w:t>
      </w:r>
      <w:r>
        <w:rPr>
          <w:rFonts w:hint="eastAsia" w:asciiTheme="minorEastAsia" w:hAnsiTheme="minorEastAsia" w:eastAsiaTheme="minorEastAsia" w:cstheme="minorEastAsia"/>
          <w:color w:val="auto"/>
          <w:sz w:val="24"/>
          <w:szCs w:val="24"/>
          <w:highlight w:val="none"/>
          <w:lang w:val="en-US" w:eastAsia="zh-CN"/>
        </w:rPr>
        <w:t>偏离</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并</w:t>
      </w:r>
      <w:r>
        <w:rPr>
          <w:rFonts w:hint="eastAsia" w:asciiTheme="minorEastAsia" w:hAnsiTheme="minorEastAsia" w:eastAsiaTheme="minorEastAsia" w:cstheme="minorEastAsia"/>
          <w:color w:val="auto"/>
          <w:sz w:val="24"/>
          <w:szCs w:val="24"/>
          <w:highlight w:val="none"/>
        </w:rPr>
        <w:t>予以说明</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（“正</w:t>
      </w:r>
      <w:r>
        <w:rPr>
          <w:rFonts w:hint="eastAsia" w:asciiTheme="minorEastAsia" w:hAnsiTheme="minorEastAsia" w:eastAsiaTheme="minorEastAsia" w:cstheme="minorEastAsia"/>
          <w:color w:val="auto"/>
          <w:sz w:val="24"/>
          <w:szCs w:val="24"/>
          <w:highlight w:val="none"/>
          <w:lang w:val="en-US" w:eastAsia="zh-CN"/>
        </w:rPr>
        <w:t>偏离</w:t>
      </w:r>
      <w:r>
        <w:rPr>
          <w:rFonts w:hint="eastAsia" w:asciiTheme="minorEastAsia" w:hAnsiTheme="minorEastAsia" w:eastAsiaTheme="minorEastAsia" w:cstheme="minorEastAsia"/>
          <w:color w:val="auto"/>
          <w:sz w:val="24"/>
          <w:szCs w:val="24"/>
          <w:highlight w:val="none"/>
        </w:rPr>
        <w:t>”指报货物或服务的技术参数优于招标文件中要求，“负</w:t>
      </w:r>
      <w:r>
        <w:rPr>
          <w:rFonts w:hint="eastAsia" w:asciiTheme="minorEastAsia" w:hAnsiTheme="minorEastAsia" w:eastAsiaTheme="minorEastAsia" w:cstheme="minorEastAsia"/>
          <w:color w:val="auto"/>
          <w:sz w:val="24"/>
          <w:szCs w:val="24"/>
          <w:highlight w:val="none"/>
          <w:lang w:val="en-US" w:eastAsia="zh-CN"/>
        </w:rPr>
        <w:t>偏离</w:t>
      </w:r>
      <w:r>
        <w:rPr>
          <w:rFonts w:hint="eastAsia" w:asciiTheme="minorEastAsia" w:hAnsiTheme="minorEastAsia" w:eastAsiaTheme="minorEastAsia" w:cstheme="minorEastAsia"/>
          <w:color w:val="auto"/>
          <w:sz w:val="24"/>
          <w:szCs w:val="24"/>
          <w:highlight w:val="none"/>
        </w:rPr>
        <w:t>”指所报货物或服务的技术参数低于招标文件中要求）</w:t>
      </w:r>
    </w:p>
    <w:p>
      <w:pPr>
        <w:kinsoku/>
        <w:autoSpaceDE/>
        <w:autoSpaceDN/>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2.如投标文件对委托人要求条款无任何偏差，投标人仅需在本偏离表中填写“</w:t>
      </w:r>
      <w:r>
        <w:rPr>
          <w:rFonts w:hint="eastAsia" w:ascii="宋体" w:hAnsi="宋体" w:eastAsia="宋体" w:cs="宋体"/>
          <w:color w:val="auto"/>
          <w:sz w:val="24"/>
          <w:szCs w:val="24"/>
          <w:highlight w:val="none"/>
          <w:lang w:val="en-US" w:eastAsia="zh-CN"/>
        </w:rPr>
        <w:t>全部内容</w:t>
      </w:r>
      <w:r>
        <w:rPr>
          <w:rFonts w:hint="eastAsia" w:ascii="宋体" w:hAnsi="宋体" w:eastAsia="宋体" w:cs="宋体"/>
          <w:color w:val="auto"/>
          <w:sz w:val="24"/>
          <w:szCs w:val="24"/>
          <w:highlight w:val="none"/>
        </w:rPr>
        <w:t>无偏离”即可。</w:t>
      </w:r>
      <w:r>
        <w:rPr>
          <w:rFonts w:hint="eastAsia" w:asciiTheme="minorEastAsia" w:hAnsiTheme="minorEastAsia" w:eastAsiaTheme="minorEastAsia" w:cstheme="minorEastAsia"/>
          <w:color w:val="auto"/>
          <w:sz w:val="24"/>
          <w:szCs w:val="24"/>
          <w:highlight w:val="none"/>
        </w:rPr>
        <w:t>如投标人的以上表格如为空白，则表示无偏离，即完全满足招标文件的</w:t>
      </w:r>
      <w:r>
        <w:rPr>
          <w:rFonts w:hint="eastAsia" w:ascii="宋体" w:hAnsi="宋体" w:eastAsia="宋体" w:cs="宋体"/>
          <w:color w:val="auto"/>
          <w:sz w:val="24"/>
          <w:szCs w:val="24"/>
          <w:highlight w:val="none"/>
        </w:rPr>
        <w:t>委托人要求</w:t>
      </w:r>
      <w:r>
        <w:rPr>
          <w:rFonts w:hint="eastAsia" w:asciiTheme="minorEastAsia" w:hAnsiTheme="minorEastAsia" w:eastAsiaTheme="minorEastAsia" w:cstheme="minorEastAsia"/>
          <w:color w:val="auto"/>
          <w:sz w:val="24"/>
          <w:szCs w:val="24"/>
          <w:highlight w:val="none"/>
        </w:rPr>
        <w:t>条款。</w:t>
      </w:r>
    </w:p>
    <w:p>
      <w:pPr>
        <w:pStyle w:val="2"/>
        <w:rPr>
          <w:rFonts w:hint="default"/>
          <w:sz w:val="24"/>
          <w:szCs w:val="24"/>
          <w:lang w:val="en-US" w:eastAsia="zh-CN"/>
        </w:rPr>
      </w:pPr>
    </w:p>
    <w:p>
      <w:pPr>
        <w:pStyle w:val="2"/>
        <w:rPr>
          <w:rFonts w:hint="default"/>
          <w:lang w:val="en-US" w:eastAsia="zh-CN"/>
        </w:rPr>
      </w:pPr>
    </w:p>
    <w:p>
      <w:pPr>
        <w:autoSpaceDE w:val="0"/>
        <w:autoSpaceDN w:val="0"/>
        <w:adjustRightInd w:val="0"/>
        <w:spacing w:line="440" w:lineRule="exact"/>
        <w:ind w:right="979"/>
        <w:jc w:val="center"/>
        <w:rPr>
          <w:rFonts w:hint="default" w:eastAsia="宋体"/>
          <w:b/>
          <w:bCs/>
          <w:color w:val="000000"/>
          <w:szCs w:val="28"/>
          <w:highlight w:val="none"/>
          <w:lang w:val="en-US" w:eastAsia="zh-CN"/>
        </w:rPr>
      </w:pPr>
      <w:r>
        <w:rPr>
          <w:rFonts w:hint="eastAsia" w:ascii="宋体" w:hAnsi="宋体" w:cs="宋体"/>
          <w:color w:val="000000"/>
          <w:sz w:val="21"/>
          <w:szCs w:val="21"/>
          <w:highlight w:val="none"/>
        </w:rPr>
        <w:br w:type="page"/>
      </w:r>
      <w:bookmarkEnd w:id="133"/>
      <w:r>
        <w:rPr>
          <w:rFonts w:hint="eastAsia"/>
          <w:b/>
          <w:bCs/>
          <w:color w:val="000000"/>
          <w:szCs w:val="28"/>
          <w:highlight w:val="none"/>
          <w:lang w:val="en-US" w:eastAsia="zh-CN"/>
        </w:rPr>
        <w:t>六</w:t>
      </w:r>
      <w:r>
        <w:rPr>
          <w:rFonts w:hint="eastAsia"/>
          <w:b/>
          <w:bCs/>
          <w:color w:val="000000"/>
          <w:szCs w:val="28"/>
          <w:highlight w:val="none"/>
        </w:rPr>
        <w:t>、</w:t>
      </w:r>
      <w:r>
        <w:rPr>
          <w:rFonts w:hint="eastAsia"/>
          <w:b/>
          <w:bCs/>
          <w:color w:val="000000"/>
          <w:szCs w:val="28"/>
          <w:highlight w:val="none"/>
          <w:lang w:val="en-US" w:eastAsia="zh-CN"/>
        </w:rPr>
        <w:t>商务技术部分</w:t>
      </w:r>
    </w:p>
    <w:p>
      <w:pPr>
        <w:autoSpaceDE w:val="0"/>
        <w:autoSpaceDN w:val="0"/>
        <w:adjustRightInd w:val="0"/>
        <w:spacing w:line="360" w:lineRule="auto"/>
        <w:ind w:right="979"/>
        <w:rPr>
          <w:rFonts w:hint="default"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lang w:val="en-US" w:eastAsia="zh-CN"/>
        </w:rPr>
        <w:t>一</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lang w:val="en-US" w:eastAsia="zh-CN"/>
        </w:rPr>
        <w:t>商务部分</w:t>
      </w:r>
    </w:p>
    <w:p>
      <w:pPr>
        <w:autoSpaceDE w:val="0"/>
        <w:autoSpaceDN w:val="0"/>
        <w:adjustRightInd w:val="0"/>
        <w:spacing w:line="360" w:lineRule="auto"/>
        <w:ind w:right="979"/>
        <w:rPr>
          <w:rFonts w:hint="default"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1、管理体系认证</w:t>
      </w:r>
    </w:p>
    <w:tbl>
      <w:tblPr>
        <w:tblStyle w:val="28"/>
        <w:tblW w:w="8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980"/>
        <w:gridCol w:w="1980"/>
        <w:gridCol w:w="1980"/>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90"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1980"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证书名称</w:t>
            </w:r>
          </w:p>
        </w:tc>
        <w:tc>
          <w:tcPr>
            <w:tcW w:w="1980"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证书编号</w:t>
            </w:r>
          </w:p>
        </w:tc>
        <w:tc>
          <w:tcPr>
            <w:tcW w:w="1980"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评估/颁发机构</w:t>
            </w:r>
          </w:p>
        </w:tc>
        <w:tc>
          <w:tcPr>
            <w:tcW w:w="1651"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颁发时间/有效期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90" w:type="dxa"/>
            <w:noWrap w:val="0"/>
            <w:vAlign w:val="center"/>
          </w:tcPr>
          <w:p>
            <w:pPr>
              <w:widowControl w:val="0"/>
              <w:bidi w:val="0"/>
              <w:jc w:val="center"/>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1</w:t>
            </w: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651" w:type="dxa"/>
            <w:noWrap w:val="0"/>
            <w:vAlign w:val="center"/>
          </w:tcPr>
          <w:p>
            <w:pPr>
              <w:widowControl w:val="0"/>
              <w:bidi w:val="0"/>
              <w:jc w:val="center"/>
              <w:rPr>
                <w:rFonts w:hint="eastAsia" w:ascii="宋体" w:hAnsi="宋体" w:eastAsia="宋体" w:cs="宋体"/>
                <w:color w:val="auto"/>
                <w:sz w:val="24"/>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90" w:type="dxa"/>
            <w:noWrap w:val="0"/>
            <w:vAlign w:val="center"/>
          </w:tcPr>
          <w:p>
            <w:pPr>
              <w:widowControl w:val="0"/>
              <w:bidi w:val="0"/>
              <w:jc w:val="center"/>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2</w:t>
            </w: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651" w:type="dxa"/>
            <w:noWrap w:val="0"/>
            <w:vAlign w:val="center"/>
          </w:tcPr>
          <w:p>
            <w:pPr>
              <w:widowControl w:val="0"/>
              <w:bidi w:val="0"/>
              <w:jc w:val="center"/>
              <w:rPr>
                <w:rFonts w:hint="eastAsia" w:ascii="宋体" w:hAnsi="宋体" w:eastAsia="宋体" w:cs="宋体"/>
                <w:color w:val="auto"/>
                <w:sz w:val="24"/>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90" w:type="dxa"/>
            <w:noWrap w:val="0"/>
            <w:vAlign w:val="center"/>
          </w:tcPr>
          <w:p>
            <w:pPr>
              <w:widowControl w:val="0"/>
              <w:bidi w:val="0"/>
              <w:jc w:val="center"/>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w:t>
            </w: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651" w:type="dxa"/>
            <w:noWrap w:val="0"/>
            <w:vAlign w:val="center"/>
          </w:tcPr>
          <w:p>
            <w:pPr>
              <w:widowControl w:val="0"/>
              <w:bidi w:val="0"/>
              <w:jc w:val="center"/>
              <w:rPr>
                <w:rFonts w:hint="eastAsia" w:ascii="宋体" w:hAnsi="宋体" w:eastAsia="宋体" w:cs="宋体"/>
                <w:color w:val="auto"/>
                <w:sz w:val="24"/>
                <w:szCs w:val="32"/>
                <w:lang w:val="en-US" w:eastAsia="zh-CN"/>
              </w:rPr>
            </w:pPr>
          </w:p>
        </w:tc>
      </w:tr>
    </w:tbl>
    <w:p>
      <w:pPr>
        <w:autoSpaceDE w:val="0"/>
        <w:autoSpaceDN w:val="0"/>
        <w:adjustRightInd w:val="0"/>
        <w:spacing w:line="440" w:lineRule="exact"/>
        <w:ind w:right="979"/>
        <w:rPr>
          <w:rFonts w:hint="eastAsia" w:ascii="宋体" w:hAnsi="宋体" w:cs="宋体"/>
          <w:color w:val="000000"/>
          <w:kern w:val="0"/>
          <w:sz w:val="24"/>
          <w:szCs w:val="24"/>
          <w:highlight w:val="none"/>
          <w:lang w:val="en-US" w:eastAsia="zh-CN"/>
        </w:rPr>
      </w:pPr>
    </w:p>
    <w:p>
      <w:pPr>
        <w:autoSpaceDE w:val="0"/>
        <w:autoSpaceDN w:val="0"/>
        <w:adjustRightInd w:val="0"/>
        <w:spacing w:line="360" w:lineRule="auto"/>
        <w:ind w:right="979"/>
        <w:rPr>
          <w:rFonts w:hint="eastAsia" w:ascii="宋体" w:hAnsi="宋体" w:cs="宋体"/>
          <w:color w:val="000000"/>
          <w:kern w:val="0"/>
          <w:sz w:val="24"/>
          <w:szCs w:val="24"/>
          <w:highlight w:val="none"/>
          <w:lang w:val="en-US" w:eastAsia="zh-CN"/>
        </w:rPr>
      </w:pPr>
    </w:p>
    <w:p>
      <w:pPr>
        <w:autoSpaceDE w:val="0"/>
        <w:autoSpaceDN w:val="0"/>
        <w:adjustRightInd w:val="0"/>
        <w:spacing w:line="360" w:lineRule="auto"/>
        <w:ind w:right="979"/>
        <w:rPr>
          <w:rFonts w:hint="default"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2、综合实力</w:t>
      </w:r>
    </w:p>
    <w:tbl>
      <w:tblPr>
        <w:tblStyle w:val="28"/>
        <w:tblW w:w="8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980"/>
        <w:gridCol w:w="1980"/>
        <w:gridCol w:w="1980"/>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90"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1980"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证书名称</w:t>
            </w:r>
          </w:p>
        </w:tc>
        <w:tc>
          <w:tcPr>
            <w:tcW w:w="1980"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证书编号（如有）</w:t>
            </w:r>
          </w:p>
        </w:tc>
        <w:tc>
          <w:tcPr>
            <w:tcW w:w="1980"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颁发机构</w:t>
            </w:r>
          </w:p>
        </w:tc>
        <w:tc>
          <w:tcPr>
            <w:tcW w:w="1651" w:type="dxa"/>
            <w:noWrap w:val="0"/>
            <w:vAlign w:val="center"/>
          </w:tcPr>
          <w:p>
            <w:pPr>
              <w:pStyle w:val="2"/>
              <w:widowControl w:val="0"/>
              <w:spacing w:line="24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颁发时间/有效期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90" w:type="dxa"/>
            <w:noWrap w:val="0"/>
            <w:vAlign w:val="center"/>
          </w:tcPr>
          <w:p>
            <w:pPr>
              <w:widowControl w:val="0"/>
              <w:bidi w:val="0"/>
              <w:jc w:val="center"/>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1</w:t>
            </w: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651" w:type="dxa"/>
            <w:noWrap w:val="0"/>
            <w:vAlign w:val="center"/>
          </w:tcPr>
          <w:p>
            <w:pPr>
              <w:widowControl w:val="0"/>
              <w:bidi w:val="0"/>
              <w:jc w:val="center"/>
              <w:rPr>
                <w:rFonts w:hint="eastAsia" w:ascii="宋体" w:hAnsi="宋体" w:eastAsia="宋体" w:cs="宋体"/>
                <w:color w:val="auto"/>
                <w:sz w:val="24"/>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90" w:type="dxa"/>
            <w:noWrap w:val="0"/>
            <w:vAlign w:val="center"/>
          </w:tcPr>
          <w:p>
            <w:pPr>
              <w:widowControl w:val="0"/>
              <w:bidi w:val="0"/>
              <w:jc w:val="center"/>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2</w:t>
            </w: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651" w:type="dxa"/>
            <w:noWrap w:val="0"/>
            <w:vAlign w:val="center"/>
          </w:tcPr>
          <w:p>
            <w:pPr>
              <w:widowControl w:val="0"/>
              <w:bidi w:val="0"/>
              <w:jc w:val="center"/>
              <w:rPr>
                <w:rFonts w:hint="eastAsia" w:ascii="宋体" w:hAnsi="宋体" w:eastAsia="宋体" w:cs="宋体"/>
                <w:color w:val="auto"/>
                <w:sz w:val="24"/>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90" w:type="dxa"/>
            <w:noWrap w:val="0"/>
            <w:vAlign w:val="center"/>
          </w:tcPr>
          <w:p>
            <w:pPr>
              <w:widowControl w:val="0"/>
              <w:bidi w:val="0"/>
              <w:jc w:val="center"/>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w:t>
            </w: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980" w:type="dxa"/>
            <w:noWrap w:val="0"/>
            <w:vAlign w:val="center"/>
          </w:tcPr>
          <w:p>
            <w:pPr>
              <w:widowControl w:val="0"/>
              <w:bidi w:val="0"/>
              <w:jc w:val="center"/>
              <w:rPr>
                <w:rFonts w:hint="eastAsia" w:ascii="宋体" w:hAnsi="宋体" w:eastAsia="宋体" w:cs="宋体"/>
                <w:color w:val="auto"/>
                <w:sz w:val="24"/>
                <w:szCs w:val="32"/>
                <w:lang w:val="en-US" w:eastAsia="zh-CN"/>
              </w:rPr>
            </w:pPr>
          </w:p>
        </w:tc>
        <w:tc>
          <w:tcPr>
            <w:tcW w:w="1651" w:type="dxa"/>
            <w:noWrap w:val="0"/>
            <w:vAlign w:val="center"/>
          </w:tcPr>
          <w:p>
            <w:pPr>
              <w:widowControl w:val="0"/>
              <w:bidi w:val="0"/>
              <w:jc w:val="center"/>
              <w:rPr>
                <w:rFonts w:hint="eastAsia" w:ascii="宋体" w:hAnsi="宋体" w:eastAsia="宋体" w:cs="宋体"/>
                <w:color w:val="auto"/>
                <w:sz w:val="24"/>
                <w:szCs w:val="32"/>
                <w:lang w:val="en-US" w:eastAsia="zh-CN"/>
              </w:rPr>
            </w:pPr>
          </w:p>
        </w:tc>
      </w:tr>
    </w:tbl>
    <w:p>
      <w:pPr>
        <w:autoSpaceDE w:val="0"/>
        <w:autoSpaceDN w:val="0"/>
        <w:adjustRightInd w:val="0"/>
        <w:spacing w:line="440" w:lineRule="exact"/>
        <w:ind w:right="979"/>
        <w:rPr>
          <w:rFonts w:hint="eastAsia" w:ascii="宋体" w:hAnsi="宋体" w:cs="宋体"/>
          <w:color w:val="000000"/>
          <w:kern w:val="0"/>
          <w:sz w:val="24"/>
          <w:szCs w:val="24"/>
          <w:highlight w:val="none"/>
          <w:lang w:val="en-US" w:eastAsia="zh-CN"/>
        </w:rPr>
      </w:pPr>
    </w:p>
    <w:p>
      <w:pPr>
        <w:autoSpaceDE w:val="0"/>
        <w:autoSpaceDN w:val="0"/>
        <w:adjustRightInd w:val="0"/>
        <w:spacing w:line="440" w:lineRule="exact"/>
        <w:ind w:right="979"/>
        <w:rPr>
          <w:rFonts w:hint="eastAsia" w:ascii="宋体" w:hAnsi="宋体" w:cs="宋体"/>
          <w:color w:val="000000"/>
          <w:kern w:val="0"/>
          <w:sz w:val="24"/>
          <w:szCs w:val="24"/>
          <w:highlight w:val="none"/>
          <w:lang w:val="en-US" w:eastAsia="zh-CN"/>
        </w:rPr>
      </w:pPr>
    </w:p>
    <w:p>
      <w:pPr>
        <w:autoSpaceDE w:val="0"/>
        <w:autoSpaceDN w:val="0"/>
        <w:adjustRightInd w:val="0"/>
        <w:spacing w:line="440" w:lineRule="exact"/>
        <w:ind w:right="979"/>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lang w:val="en-US" w:eastAsia="zh-CN"/>
        </w:rPr>
        <w:t>3、</w:t>
      </w:r>
      <w:r>
        <w:rPr>
          <w:rFonts w:hint="eastAsia" w:ascii="宋体" w:hAnsi="宋体" w:cs="宋体"/>
          <w:color w:val="000000"/>
          <w:kern w:val="0"/>
          <w:sz w:val="24"/>
          <w:szCs w:val="24"/>
          <w:highlight w:val="none"/>
        </w:rPr>
        <w:t>业绩证明材料</w:t>
      </w: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115"/>
        <w:gridCol w:w="1179"/>
        <w:gridCol w:w="1564"/>
        <w:gridCol w:w="2186"/>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90"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r>
              <w:rPr>
                <w:rFonts w:hint="eastAsia" w:hAnsi="宋体" w:cs="宋体"/>
                <w:color w:val="000000"/>
                <w:kern w:val="2"/>
                <w:sz w:val="24"/>
                <w:szCs w:val="24"/>
                <w:highlight w:val="none"/>
              </w:rPr>
              <w:t>序号</w:t>
            </w:r>
          </w:p>
        </w:tc>
        <w:tc>
          <w:tcPr>
            <w:tcW w:w="2115"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hAnsi="宋体" w:eastAsia="宋体" w:cs="宋体"/>
                <w:color w:val="000000"/>
                <w:kern w:val="2"/>
                <w:sz w:val="24"/>
                <w:szCs w:val="24"/>
                <w:highlight w:val="none"/>
                <w:lang w:val="en-US" w:eastAsia="zh-CN"/>
              </w:rPr>
            </w:pPr>
            <w:r>
              <w:rPr>
                <w:rFonts w:hint="eastAsia" w:hAnsi="宋体" w:cs="宋体"/>
                <w:color w:val="000000"/>
                <w:kern w:val="2"/>
                <w:sz w:val="24"/>
                <w:szCs w:val="24"/>
                <w:highlight w:val="none"/>
                <w:lang w:val="en-US" w:eastAsia="zh-CN"/>
              </w:rPr>
              <w:t>合同名称</w:t>
            </w:r>
          </w:p>
        </w:tc>
        <w:tc>
          <w:tcPr>
            <w:tcW w:w="1179"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hAnsi="宋体" w:eastAsia="宋体" w:cs="宋体"/>
                <w:color w:val="000000"/>
                <w:kern w:val="2"/>
                <w:sz w:val="24"/>
                <w:szCs w:val="24"/>
                <w:highlight w:val="none"/>
                <w:lang w:val="en-US" w:eastAsia="zh-CN"/>
              </w:rPr>
            </w:pPr>
            <w:r>
              <w:rPr>
                <w:rFonts w:hint="eastAsia" w:hAnsi="宋体" w:cs="宋体"/>
                <w:color w:val="000000"/>
                <w:kern w:val="2"/>
                <w:sz w:val="24"/>
                <w:szCs w:val="24"/>
                <w:highlight w:val="none"/>
                <w:lang w:val="en-US" w:eastAsia="zh-CN"/>
              </w:rPr>
              <w:t>采购金额</w:t>
            </w:r>
          </w:p>
        </w:tc>
        <w:tc>
          <w:tcPr>
            <w:tcW w:w="1564"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hAnsi="宋体" w:cs="宋体"/>
                <w:color w:val="000000"/>
                <w:kern w:val="2"/>
                <w:sz w:val="24"/>
                <w:szCs w:val="24"/>
                <w:highlight w:val="none"/>
                <w:lang w:val="en-US" w:eastAsia="zh-CN"/>
              </w:rPr>
            </w:pPr>
            <w:r>
              <w:rPr>
                <w:rFonts w:hint="eastAsia" w:hAnsi="宋体" w:cs="宋体"/>
                <w:color w:val="000000"/>
                <w:kern w:val="2"/>
                <w:sz w:val="24"/>
                <w:szCs w:val="24"/>
                <w:highlight w:val="none"/>
                <w:lang w:val="en-US" w:eastAsia="zh-CN"/>
              </w:rPr>
              <w:t>采购设备</w:t>
            </w:r>
          </w:p>
        </w:tc>
        <w:tc>
          <w:tcPr>
            <w:tcW w:w="2186"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r>
              <w:rPr>
                <w:rFonts w:hint="eastAsia" w:hAnsi="宋体" w:cs="宋体"/>
                <w:color w:val="000000"/>
                <w:kern w:val="2"/>
                <w:sz w:val="24"/>
                <w:szCs w:val="24"/>
                <w:highlight w:val="none"/>
              </w:rPr>
              <w:t>发包人</w:t>
            </w:r>
          </w:p>
        </w:tc>
        <w:tc>
          <w:tcPr>
            <w:tcW w:w="1061"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hAnsi="宋体" w:eastAsia="宋体" w:cs="宋体"/>
                <w:color w:val="000000"/>
                <w:kern w:val="2"/>
                <w:sz w:val="24"/>
                <w:szCs w:val="24"/>
                <w:highlight w:val="none"/>
                <w:lang w:val="en-US" w:eastAsia="zh-CN"/>
              </w:rPr>
            </w:pPr>
            <w:r>
              <w:rPr>
                <w:rFonts w:hint="eastAsia" w:hAnsi="宋体" w:cs="宋体"/>
                <w:color w:val="000000"/>
                <w:kern w:val="2"/>
                <w:sz w:val="24"/>
                <w:szCs w:val="24"/>
                <w:highlight w:val="none"/>
                <w:lang w:val="en-US" w:eastAsia="zh-CN"/>
              </w:rPr>
              <w:t>合同签订时间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90"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2115"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1179"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1564"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2186"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1061"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90"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2115"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1179"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1564"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2186"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c>
          <w:tcPr>
            <w:tcW w:w="1061" w:type="dxa"/>
            <w:noWrap w:val="0"/>
            <w:vAlign w:val="center"/>
          </w:tcPr>
          <w:p>
            <w:pPr>
              <w:pStyle w:val="15"/>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hAnsi="宋体" w:cs="宋体"/>
                <w:color w:val="000000"/>
                <w:kern w:val="2"/>
                <w:sz w:val="24"/>
                <w:szCs w:val="24"/>
                <w:highlight w:val="none"/>
              </w:rPr>
            </w:pPr>
          </w:p>
        </w:tc>
      </w:tr>
    </w:tbl>
    <w:p>
      <w:pPr>
        <w:pStyle w:val="15"/>
        <w:rPr>
          <w:rFonts w:hint="eastAsia"/>
          <w:lang w:eastAsia="zh-CN"/>
        </w:rPr>
      </w:pPr>
    </w:p>
    <w:p>
      <w:pPr>
        <w:rPr>
          <w:rFonts w:hint="eastAsia" w:ascii="宋体" w:hAnsi="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br w:type="page"/>
      </w:r>
    </w:p>
    <w:p>
      <w:pPr>
        <w:autoSpaceDE w:val="0"/>
        <w:autoSpaceDN w:val="0"/>
        <w:adjustRightInd w:val="0"/>
        <w:spacing w:line="360" w:lineRule="auto"/>
        <w:ind w:right="979" w:firstLine="484" w:firstLineChars="202"/>
        <w:rPr>
          <w:rFonts w:hint="default" w:ascii="宋体" w:hAnsi="宋体" w:eastAsia="宋体" w:cs="宋体"/>
          <w:color w:val="000000"/>
          <w:kern w:val="0"/>
          <w:sz w:val="24"/>
          <w:szCs w:val="24"/>
          <w:highlight w:val="none"/>
          <w:lang w:val="en-US" w:eastAsia="zh-CN"/>
        </w:rPr>
      </w:pP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lang w:val="en-US" w:eastAsia="zh-CN"/>
        </w:rPr>
        <w:t>二</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lang w:val="en-US" w:eastAsia="zh-CN"/>
        </w:rPr>
        <w:t>技术部分</w:t>
      </w:r>
    </w:p>
    <w:p>
      <w:pPr>
        <w:autoSpaceDE w:val="0"/>
        <w:autoSpaceDN w:val="0"/>
        <w:adjustRightInd w:val="0"/>
        <w:spacing w:line="360" w:lineRule="auto"/>
        <w:ind w:right="979" w:firstLine="484" w:firstLineChars="202"/>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应包括（但不限于）下列内容：</w:t>
      </w:r>
    </w:p>
    <w:p>
      <w:pPr>
        <w:autoSpaceDE w:val="0"/>
        <w:autoSpaceDN w:val="0"/>
        <w:adjustRightInd w:val="0"/>
        <w:spacing w:line="360" w:lineRule="auto"/>
        <w:ind w:right="979" w:firstLine="484" w:firstLineChars="202"/>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一、</w:t>
      </w:r>
      <w:r>
        <w:rPr>
          <w:rFonts w:hint="eastAsia" w:ascii="宋体" w:hAnsi="宋体" w:cs="宋体"/>
          <w:color w:val="000000"/>
          <w:sz w:val="24"/>
          <w:szCs w:val="24"/>
          <w:highlight w:val="none"/>
        </w:rPr>
        <w:t>产品技术经济性能</w:t>
      </w:r>
    </w:p>
    <w:p>
      <w:pPr>
        <w:autoSpaceDE w:val="0"/>
        <w:autoSpaceDN w:val="0"/>
        <w:adjustRightInd w:val="0"/>
        <w:spacing w:line="360" w:lineRule="auto"/>
        <w:ind w:right="979" w:firstLine="484" w:firstLineChars="202"/>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二、</w:t>
      </w:r>
      <w:r>
        <w:rPr>
          <w:rFonts w:hint="eastAsia" w:ascii="宋体" w:hAnsi="宋体" w:cs="宋体"/>
          <w:color w:val="000000"/>
          <w:sz w:val="24"/>
          <w:szCs w:val="24"/>
          <w:highlight w:val="none"/>
        </w:rPr>
        <w:t>产品的设计及技术资料的完整性及合理性评价</w:t>
      </w:r>
    </w:p>
    <w:p>
      <w:pPr>
        <w:autoSpaceDE w:val="0"/>
        <w:autoSpaceDN w:val="0"/>
        <w:adjustRightInd w:val="0"/>
        <w:spacing w:line="360" w:lineRule="auto"/>
        <w:ind w:right="979" w:firstLine="484" w:firstLineChars="202"/>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三、</w:t>
      </w:r>
      <w:r>
        <w:rPr>
          <w:rFonts w:hint="eastAsia" w:ascii="宋体" w:hAnsi="宋体" w:cs="宋体"/>
          <w:color w:val="000000"/>
          <w:sz w:val="24"/>
          <w:szCs w:val="24"/>
          <w:highlight w:val="none"/>
        </w:rPr>
        <w:t>产品制造的质量保证措施及安装调试方案</w:t>
      </w:r>
    </w:p>
    <w:p>
      <w:pPr>
        <w:autoSpaceDE w:val="0"/>
        <w:autoSpaceDN w:val="0"/>
        <w:adjustRightInd w:val="0"/>
        <w:spacing w:line="360" w:lineRule="auto"/>
        <w:ind w:right="979" w:firstLine="484" w:firstLineChars="202"/>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四、</w:t>
      </w:r>
      <w:r>
        <w:rPr>
          <w:rFonts w:hint="eastAsia" w:ascii="宋体" w:hAnsi="宋体" w:eastAsia="宋体" w:cs="宋体"/>
          <w:color w:val="000000"/>
          <w:sz w:val="24"/>
          <w:szCs w:val="24"/>
          <w:highlight w:val="none"/>
        </w:rPr>
        <w:t>产品制造进度计划及控制措施</w:t>
      </w:r>
    </w:p>
    <w:p>
      <w:pPr>
        <w:autoSpaceDE w:val="0"/>
        <w:autoSpaceDN w:val="0"/>
        <w:adjustRightInd w:val="0"/>
        <w:spacing w:line="360" w:lineRule="auto"/>
        <w:ind w:right="979" w:firstLine="484" w:firstLineChars="202"/>
        <w:rPr>
          <w:rFonts w:hint="eastAsia" w:ascii="宋体" w:hAnsi="宋体" w:cs="宋体"/>
          <w:color w:val="000000"/>
          <w:kern w:val="0"/>
          <w:sz w:val="24"/>
          <w:szCs w:val="24"/>
          <w:highlight w:val="none"/>
        </w:rPr>
      </w:pPr>
      <w:r>
        <w:rPr>
          <w:rFonts w:hint="eastAsia" w:ascii="宋体" w:hAnsi="宋体" w:cs="宋体"/>
          <w:color w:val="000000"/>
          <w:kern w:val="0"/>
          <w:sz w:val="24"/>
          <w:szCs w:val="24"/>
          <w:highlight w:val="none"/>
        </w:rPr>
        <w:t>五、</w:t>
      </w:r>
      <w:r>
        <w:rPr>
          <w:rFonts w:hint="eastAsia" w:ascii="宋体" w:hAnsi="宋体" w:eastAsia="宋体" w:cs="宋体"/>
          <w:color w:val="000000"/>
          <w:sz w:val="24"/>
          <w:szCs w:val="24"/>
          <w:highlight w:val="none"/>
          <w:lang w:val="en-US" w:eastAsia="zh-CN"/>
        </w:rPr>
        <w:t>售后服务体系及承诺</w:t>
      </w:r>
    </w:p>
    <w:p>
      <w:pPr>
        <w:autoSpaceDE w:val="0"/>
        <w:autoSpaceDN w:val="0"/>
        <w:adjustRightInd w:val="0"/>
        <w:spacing w:line="360" w:lineRule="auto"/>
        <w:ind w:right="979"/>
        <w:rPr>
          <w:rFonts w:hint="eastAsia" w:ascii="宋体" w:hAnsi="宋体" w:cs="宋体"/>
          <w:color w:val="000000"/>
          <w:kern w:val="0"/>
          <w:sz w:val="21"/>
          <w:szCs w:val="21"/>
          <w:highlight w:val="none"/>
        </w:rPr>
      </w:pPr>
    </w:p>
    <w:p>
      <w:pPr>
        <w:autoSpaceDE w:val="0"/>
        <w:autoSpaceDN w:val="0"/>
        <w:adjustRightInd w:val="0"/>
        <w:spacing w:line="440" w:lineRule="exact"/>
        <w:ind w:right="979"/>
        <w:jc w:val="left"/>
        <w:rPr>
          <w:rFonts w:hint="eastAsia" w:ascii="宋体" w:hAnsi="宋体" w:cs="宋体"/>
          <w:b/>
          <w:bCs/>
          <w:color w:val="000000"/>
          <w:kern w:val="0"/>
          <w:szCs w:val="28"/>
          <w:highlight w:val="none"/>
        </w:rPr>
      </w:pPr>
    </w:p>
    <w:p>
      <w:pPr>
        <w:rPr>
          <w:rFonts w:hint="eastAsia" w:ascii="宋体" w:hAnsi="宋体" w:cs="宋体"/>
          <w:b/>
          <w:bCs/>
          <w:color w:val="000000"/>
          <w:kern w:val="0"/>
          <w:szCs w:val="28"/>
          <w:highlight w:val="none"/>
        </w:rPr>
      </w:pPr>
      <w:r>
        <w:rPr>
          <w:rFonts w:hint="eastAsia" w:ascii="宋体" w:hAnsi="宋体" w:cs="宋体"/>
          <w:b/>
          <w:bCs/>
          <w:color w:val="000000"/>
          <w:kern w:val="0"/>
          <w:szCs w:val="28"/>
          <w:highlight w:val="none"/>
        </w:rPr>
        <w:br w:type="page"/>
      </w:r>
    </w:p>
    <w:p>
      <w:pPr>
        <w:autoSpaceDE w:val="0"/>
        <w:autoSpaceDN w:val="0"/>
        <w:adjustRightInd w:val="0"/>
        <w:spacing w:line="440" w:lineRule="exact"/>
        <w:jc w:val="center"/>
        <w:rPr>
          <w:rFonts w:hint="eastAsia" w:ascii="宋体" w:hAnsi="宋体" w:cs="宋体"/>
          <w:b/>
          <w:bCs/>
          <w:color w:val="000000"/>
          <w:kern w:val="0"/>
          <w:szCs w:val="28"/>
          <w:highlight w:val="none"/>
        </w:rPr>
      </w:pPr>
      <w:r>
        <w:rPr>
          <w:rFonts w:hint="eastAsia" w:ascii="宋体" w:hAnsi="宋体" w:cs="宋体"/>
          <w:b/>
          <w:bCs/>
          <w:color w:val="000000"/>
          <w:kern w:val="0"/>
          <w:szCs w:val="28"/>
          <w:highlight w:val="none"/>
          <w:lang w:val="en-US" w:eastAsia="zh-CN"/>
        </w:rPr>
        <w:t>七</w:t>
      </w:r>
      <w:r>
        <w:rPr>
          <w:rFonts w:hint="eastAsia" w:ascii="宋体" w:hAnsi="宋体" w:cs="宋体"/>
          <w:b/>
          <w:bCs/>
          <w:color w:val="000000"/>
          <w:kern w:val="0"/>
          <w:szCs w:val="28"/>
          <w:highlight w:val="none"/>
        </w:rPr>
        <w:t>、招标文件要求提供的其他资料</w:t>
      </w:r>
    </w:p>
    <w:p>
      <w:pPr>
        <w:autoSpaceDE w:val="0"/>
        <w:autoSpaceDN w:val="0"/>
        <w:adjustRightInd w:val="0"/>
        <w:spacing w:line="440" w:lineRule="exact"/>
        <w:ind w:right="979"/>
        <w:rPr>
          <w:rFonts w:hint="eastAsia" w:ascii="宋体" w:hAnsi="宋体" w:cs="宋体"/>
          <w:color w:val="000000"/>
          <w:kern w:val="0"/>
          <w:sz w:val="21"/>
          <w:szCs w:val="21"/>
          <w:highlight w:val="none"/>
        </w:rPr>
      </w:pPr>
    </w:p>
    <w:p>
      <w:pPr>
        <w:spacing w:line="360" w:lineRule="auto"/>
        <w:rPr>
          <w:b/>
          <w:color w:val="000000"/>
          <w:sz w:val="24"/>
          <w:highlight w:val="none"/>
        </w:rPr>
      </w:pPr>
      <w:r>
        <w:rPr>
          <w:rFonts w:hint="eastAsia" w:ascii="宋体" w:hAnsi="宋体" w:cs="宋体"/>
          <w:color w:val="000000"/>
          <w:kern w:val="0"/>
          <w:sz w:val="24"/>
          <w:szCs w:val="21"/>
          <w:highlight w:val="none"/>
        </w:rPr>
        <w:t>注：根据招标文件及评审评分的相关内容投标人认为需要提供的材料。（如有）</w:t>
      </w:r>
    </w:p>
    <w:p>
      <w:pPr>
        <w:autoSpaceDE w:val="0"/>
        <w:autoSpaceDN w:val="0"/>
        <w:adjustRightInd w:val="0"/>
        <w:spacing w:line="440" w:lineRule="exact"/>
        <w:ind w:right="979"/>
        <w:rPr>
          <w:rFonts w:hint="eastAsia" w:ascii="宋体" w:hAnsi="宋体" w:cs="宋体"/>
          <w:color w:val="000000"/>
          <w:kern w:val="0"/>
          <w:sz w:val="24"/>
          <w:highlight w:val="none"/>
        </w:rPr>
      </w:pPr>
    </w:p>
    <w:p>
      <w:pPr>
        <w:pStyle w:val="15"/>
        <w:spacing w:line="360" w:lineRule="exact"/>
        <w:rPr>
          <w:rFonts w:hAnsi="宋体"/>
          <w:color w:val="000000"/>
          <w:sz w:val="21"/>
          <w:highlight w:val="none"/>
        </w:rPr>
      </w:pPr>
    </w:p>
    <w:p>
      <w:pPr>
        <w:autoSpaceDE w:val="0"/>
        <w:autoSpaceDN w:val="0"/>
        <w:adjustRightInd w:val="0"/>
        <w:spacing w:line="360" w:lineRule="auto"/>
        <w:ind w:right="17"/>
        <w:jc w:val="both"/>
        <w:rPr>
          <w:rFonts w:ascii="宋体" w:cs="宋体"/>
          <w:b/>
          <w:bCs/>
          <w:color w:val="000000"/>
          <w:kern w:val="0"/>
          <w:sz w:val="24"/>
          <w:highlight w:val="none"/>
        </w:rPr>
      </w:pPr>
      <w:bookmarkStart w:id="143" w:name="_GoBack"/>
      <w:bookmarkEnd w:id="143"/>
    </w:p>
    <w:p>
      <w:pPr>
        <w:autoSpaceDE w:val="0"/>
        <w:autoSpaceDN w:val="0"/>
        <w:adjustRightInd w:val="0"/>
        <w:spacing w:line="360" w:lineRule="auto"/>
        <w:ind w:right="17"/>
        <w:rPr>
          <w:rFonts w:ascii="宋体" w:cs="宋体"/>
          <w:b/>
          <w:bCs/>
          <w:color w:val="000000"/>
          <w:kern w:val="0"/>
          <w:sz w:val="24"/>
          <w:highlight w:val="none"/>
        </w:rPr>
      </w:pPr>
    </w:p>
    <w:sectPr>
      <w:footerReference r:id="rId7" w:type="default"/>
      <w:pgSz w:w="11905" w:h="16838"/>
      <w:pgMar w:top="1417" w:right="1417" w:bottom="1417" w:left="1417" w:header="850" w:footer="992" w:gutter="0"/>
      <w:cols w:space="720" w:num="1"/>
      <w:docGrid w:type="lines" w:linePitch="3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Droid Sans Fallback">
    <w:altName w:val="Arial"/>
    <w:panose1 w:val="00000000000000000000"/>
    <w:charset w:val="00"/>
    <w:family w:val="swiss"/>
    <w:pitch w:val="default"/>
    <w:sig w:usb0="00000000" w:usb1="00000000" w:usb2="00000000" w:usb3="00000000" w:csb0="00000001" w:csb1="00000000"/>
  </w:font>
  <w:font w:name="MingLiU">
    <w:altName w:val="PMingLiU-ExtB"/>
    <w:panose1 w:val="02020509000000000000"/>
    <w:charset w:val="88"/>
    <w:family w:val="modern"/>
    <w:pitch w:val="default"/>
    <w:sig w:usb0="00000000" w:usb1="00000000" w:usb2="00000016" w:usb3="00000000" w:csb0="0010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left" w:pos="7676"/>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left" w:pos="7676"/>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25</w:t>
                          </w:r>
                          <w:r>
                            <w:rPr>
                              <w:rFonts w:hint="eastAsia" w:ascii="宋体" w:hAnsi="宋体" w:cs="宋体"/>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qv1RMoBAACc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qv1RMoBAACcAwAADgAAAAAAAAABACAAAAAeAQAAZHJzL2Uyb0Rv&#10;Yy54bWxQSwUGAAAAAAYABgBZAQAAWgUAAAAA&#10;">
              <v:fill on="f" focussize="0,0"/>
              <v:stroke on="f"/>
              <v:imagedata o:title=""/>
              <o:lock v:ext="edit" aspectratio="f"/>
              <v:textbox inset="0mm,0mm,0mm,0mm" style="mso-fit-shape-to-text:t;">
                <w:txbxContent>
                  <w:p>
                    <w:pPr>
                      <w:pStyle w:val="18"/>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25</w:t>
                    </w:r>
                    <w:r>
                      <w:rPr>
                        <w:rFonts w:hint="eastAsia" w:ascii="宋体" w:hAnsi="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left" w:pos="7676"/>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pPr>
                          <w:r>
                            <w:fldChar w:fldCharType="begin"/>
                          </w:r>
                          <w:r>
                            <w:instrText xml:space="preserve"> PAGE  \* MERGEFORMAT </w:instrText>
                          </w:r>
                          <w:r>
                            <w:fldChar w:fldCharType="separate"/>
                          </w:r>
                          <w:r>
                            <w:t>74</w:t>
                          </w:r>
                          <w: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HoJ38kBAACcAwAADgAAAGRycy9lMm9Eb2MueG1srVNNrtMwEN4jcQfL&#10;e+q0SK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K0octzjwy/dvlx+/Lj+/kmX1&#10;sijUB6gx8SFgahre+AH3JiuX/YDOTHxQ0eYvUiIYR33PV33lkIjIj9ar9brCkMDYfEEcdnseIqS3&#10;0luSjYZGHGDRlZ/eQxpT55Rczfl7bUwZonF/ORAze9itx2ylYT9Mje99e0Y+Pc6+oQ5XnRLzzqG0&#10;eU1mI87GfjaOIepDV/Yo14Pw+piwidJbrjDCToVxaIXdtGB5K/68l6zbT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AegnfyQEAAJwDAAAOAAAAAAAAAAEAIAAAAB4BAABkcnMvZTJvRG9j&#10;LnhtbFBLBQYAAAAABgAGAFkBAABZBQ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74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jc w:val="both"/>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D28520"/>
    <w:multiLevelType w:val="singleLevel"/>
    <w:tmpl w:val="8ED28520"/>
    <w:lvl w:ilvl="0" w:tentative="0">
      <w:start w:val="1"/>
      <w:numFmt w:val="decimal"/>
      <w:suff w:val="nothing"/>
      <w:lvlText w:val="%1、"/>
      <w:lvlJc w:val="left"/>
      <w:pPr>
        <w:ind w:left="-60"/>
      </w:pPr>
    </w:lvl>
  </w:abstractNum>
  <w:abstractNum w:abstractNumId="1">
    <w:nsid w:val="B85B20F8"/>
    <w:multiLevelType w:val="singleLevel"/>
    <w:tmpl w:val="B85B20F8"/>
    <w:lvl w:ilvl="0" w:tentative="0">
      <w:start w:val="1"/>
      <w:numFmt w:val="decimal"/>
      <w:suff w:val="nothing"/>
      <w:lvlText w:val="（%1）"/>
      <w:lvlJc w:val="left"/>
    </w:lvl>
  </w:abstractNum>
  <w:abstractNum w:abstractNumId="2">
    <w:nsid w:val="FA6BC636"/>
    <w:multiLevelType w:val="singleLevel"/>
    <w:tmpl w:val="FA6BC636"/>
    <w:lvl w:ilvl="0" w:tentative="0">
      <w:start w:val="2"/>
      <w:numFmt w:val="decimal"/>
      <w:suff w:val="nothing"/>
      <w:lvlText w:val="%1、"/>
      <w:lvlJc w:val="left"/>
    </w:lvl>
  </w:abstractNum>
  <w:abstractNum w:abstractNumId="3">
    <w:nsid w:val="02BF110A"/>
    <w:multiLevelType w:val="multilevel"/>
    <w:tmpl w:val="02BF110A"/>
    <w:lvl w:ilvl="0" w:tentative="0">
      <w:start w:val="1"/>
      <w:numFmt w:val="decimal"/>
      <w:pStyle w:val="4"/>
      <w:lvlText w:val="%1"/>
      <w:lvlJc w:val="left"/>
      <w:pPr>
        <w:tabs>
          <w:tab w:val="left" w:pos="0"/>
        </w:tabs>
      </w:pPr>
      <w:rPr>
        <w:rFonts w:hint="eastAsia" w:cs="Times New Roman"/>
      </w:rPr>
    </w:lvl>
    <w:lvl w:ilvl="1" w:tentative="0">
      <w:start w:val="1"/>
      <w:numFmt w:val="decimal"/>
      <w:pStyle w:val="5"/>
      <w:lvlText w:val="%1.%2"/>
      <w:lvlJc w:val="left"/>
      <w:pPr>
        <w:tabs>
          <w:tab w:val="left" w:pos="0"/>
        </w:tabs>
      </w:pPr>
      <w:rPr>
        <w:rFonts w:hint="eastAsia" w:cs="Times New Roman"/>
      </w:rPr>
    </w:lvl>
    <w:lvl w:ilvl="2" w:tentative="0">
      <w:start w:val="1"/>
      <w:numFmt w:val="decimal"/>
      <w:lvlText w:val="%1.%2.%3"/>
      <w:lvlJc w:val="left"/>
      <w:pPr>
        <w:tabs>
          <w:tab w:val="left" w:pos="0"/>
        </w:tabs>
      </w:pPr>
      <w:rPr>
        <w:rFonts w:hint="eastAsia" w:cs="Times New Roman"/>
      </w:rPr>
    </w:lvl>
    <w:lvl w:ilvl="3" w:tentative="0">
      <w:start w:val="1"/>
      <w:numFmt w:val="decimal"/>
      <w:lvlText w:val="%1.%2.%3.%4"/>
      <w:lvlJc w:val="left"/>
      <w:pPr>
        <w:tabs>
          <w:tab w:val="left" w:pos="0"/>
        </w:tabs>
      </w:pPr>
      <w:rPr>
        <w:rFonts w:hint="eastAsia" w:cs="Times New Roman"/>
      </w:rPr>
    </w:lvl>
    <w:lvl w:ilvl="4" w:tentative="0">
      <w:start w:val="1"/>
      <w:numFmt w:val="decimal"/>
      <w:lvlText w:val="%1.%2.%3.%4.%5"/>
      <w:lvlJc w:val="left"/>
      <w:pPr>
        <w:tabs>
          <w:tab w:val="left" w:pos="542"/>
        </w:tabs>
        <w:ind w:left="542"/>
      </w:pPr>
      <w:rPr>
        <w:rFonts w:hint="eastAsia" w:cs="Times New Roman"/>
      </w:rPr>
    </w:lvl>
    <w:lvl w:ilvl="5" w:tentative="0">
      <w:start w:val="1"/>
      <w:numFmt w:val="decimal"/>
      <w:lvlText w:val="%1.%2.%3.%4.%5.%6"/>
      <w:lvlJc w:val="left"/>
      <w:pPr>
        <w:tabs>
          <w:tab w:val="left" w:pos="191"/>
        </w:tabs>
        <w:ind w:left="191" w:hanging="1152"/>
      </w:pPr>
      <w:rPr>
        <w:rFonts w:hint="eastAsia" w:cs="Times New Roman"/>
      </w:rPr>
    </w:lvl>
    <w:lvl w:ilvl="6" w:tentative="0">
      <w:start w:val="1"/>
      <w:numFmt w:val="decimal"/>
      <w:lvlText w:val="%1.%2.%3.%4.%5.%6.%7"/>
      <w:lvlJc w:val="left"/>
      <w:pPr>
        <w:tabs>
          <w:tab w:val="left" w:pos="335"/>
        </w:tabs>
        <w:ind w:left="335" w:hanging="1296"/>
      </w:pPr>
      <w:rPr>
        <w:rFonts w:hint="eastAsia" w:cs="Times New Roman"/>
      </w:rPr>
    </w:lvl>
    <w:lvl w:ilvl="7" w:tentative="0">
      <w:start w:val="1"/>
      <w:numFmt w:val="decimal"/>
      <w:lvlText w:val="%1.%2.%3.%4.%5.%6.%7.%8"/>
      <w:lvlJc w:val="left"/>
      <w:pPr>
        <w:tabs>
          <w:tab w:val="left" w:pos="479"/>
        </w:tabs>
        <w:ind w:left="479" w:hanging="1440"/>
      </w:pPr>
      <w:rPr>
        <w:rFonts w:hint="eastAsia" w:cs="Times New Roman"/>
      </w:rPr>
    </w:lvl>
    <w:lvl w:ilvl="8" w:tentative="0">
      <w:start w:val="1"/>
      <w:numFmt w:val="decimal"/>
      <w:lvlText w:val="%1.%2.%3.%4.%5.%6.%7.%8.%9"/>
      <w:lvlJc w:val="left"/>
      <w:pPr>
        <w:tabs>
          <w:tab w:val="left" w:pos="623"/>
        </w:tabs>
        <w:ind w:left="623" w:hanging="1584"/>
      </w:pPr>
      <w:rPr>
        <w:rFonts w:hint="eastAsia" w:cs="Times New Roman"/>
      </w:rPr>
    </w:lvl>
  </w:abstractNum>
  <w:abstractNum w:abstractNumId="4">
    <w:nsid w:val="5BEF24AC"/>
    <w:multiLevelType w:val="singleLevel"/>
    <w:tmpl w:val="5BEF24AC"/>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420"/>
  <w:hyphenationZone w:val="360"/>
  <w:drawingGridHorizontalSpacing w:val="280"/>
  <w:drawingGridVerticalSpacing w:val="195"/>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0ZmRiNTk0MzQwN2FiNGY5MGZmNzJjNmZjYWQ0YjMifQ=="/>
  </w:docVars>
  <w:rsids>
    <w:rsidRoot w:val="00172A27"/>
    <w:rsid w:val="000013FB"/>
    <w:rsid w:val="000044E2"/>
    <w:rsid w:val="00005909"/>
    <w:rsid w:val="0001758E"/>
    <w:rsid w:val="0002318E"/>
    <w:rsid w:val="00026738"/>
    <w:rsid w:val="00030567"/>
    <w:rsid w:val="0003284B"/>
    <w:rsid w:val="000350CA"/>
    <w:rsid w:val="00036428"/>
    <w:rsid w:val="000423FB"/>
    <w:rsid w:val="00042F8D"/>
    <w:rsid w:val="00050F77"/>
    <w:rsid w:val="0005397F"/>
    <w:rsid w:val="0006000F"/>
    <w:rsid w:val="000646AD"/>
    <w:rsid w:val="00076E46"/>
    <w:rsid w:val="000814BB"/>
    <w:rsid w:val="000823AE"/>
    <w:rsid w:val="00084C81"/>
    <w:rsid w:val="00090A84"/>
    <w:rsid w:val="00096F2A"/>
    <w:rsid w:val="000B036C"/>
    <w:rsid w:val="000B4F5C"/>
    <w:rsid w:val="000B57A5"/>
    <w:rsid w:val="000C12D6"/>
    <w:rsid w:val="000C3DA3"/>
    <w:rsid w:val="000C78F7"/>
    <w:rsid w:val="000D02CA"/>
    <w:rsid w:val="000D1616"/>
    <w:rsid w:val="000D1917"/>
    <w:rsid w:val="000D5C4F"/>
    <w:rsid w:val="000D61D0"/>
    <w:rsid w:val="000D7666"/>
    <w:rsid w:val="000E352A"/>
    <w:rsid w:val="000E3A9B"/>
    <w:rsid w:val="0010046F"/>
    <w:rsid w:val="0011139C"/>
    <w:rsid w:val="001130CA"/>
    <w:rsid w:val="001176C3"/>
    <w:rsid w:val="00121F59"/>
    <w:rsid w:val="001230B9"/>
    <w:rsid w:val="001233A7"/>
    <w:rsid w:val="001301EC"/>
    <w:rsid w:val="00134902"/>
    <w:rsid w:val="0014016C"/>
    <w:rsid w:val="00144F48"/>
    <w:rsid w:val="00150953"/>
    <w:rsid w:val="0015244C"/>
    <w:rsid w:val="00154DE0"/>
    <w:rsid w:val="00155DA3"/>
    <w:rsid w:val="00157E0A"/>
    <w:rsid w:val="00161CD6"/>
    <w:rsid w:val="00164060"/>
    <w:rsid w:val="00166931"/>
    <w:rsid w:val="00166B1F"/>
    <w:rsid w:val="00170B36"/>
    <w:rsid w:val="00171162"/>
    <w:rsid w:val="00172A27"/>
    <w:rsid w:val="001926CF"/>
    <w:rsid w:val="0019482B"/>
    <w:rsid w:val="00197245"/>
    <w:rsid w:val="001A501E"/>
    <w:rsid w:val="001A5D7D"/>
    <w:rsid w:val="001C1C60"/>
    <w:rsid w:val="001D3FD6"/>
    <w:rsid w:val="001D6DA6"/>
    <w:rsid w:val="001E381C"/>
    <w:rsid w:val="001E4794"/>
    <w:rsid w:val="001F01EE"/>
    <w:rsid w:val="0021086A"/>
    <w:rsid w:val="00224B24"/>
    <w:rsid w:val="00226F46"/>
    <w:rsid w:val="0022761E"/>
    <w:rsid w:val="00235DDA"/>
    <w:rsid w:val="002371E2"/>
    <w:rsid w:val="0024405A"/>
    <w:rsid w:val="00247217"/>
    <w:rsid w:val="002528C1"/>
    <w:rsid w:val="00261742"/>
    <w:rsid w:val="00264B40"/>
    <w:rsid w:val="002704BF"/>
    <w:rsid w:val="002778A2"/>
    <w:rsid w:val="0028183D"/>
    <w:rsid w:val="0028662E"/>
    <w:rsid w:val="00295B10"/>
    <w:rsid w:val="002A3770"/>
    <w:rsid w:val="002A5811"/>
    <w:rsid w:val="002B7609"/>
    <w:rsid w:val="002C0E6D"/>
    <w:rsid w:val="002C2894"/>
    <w:rsid w:val="002D15E9"/>
    <w:rsid w:val="002D3809"/>
    <w:rsid w:val="002E5A00"/>
    <w:rsid w:val="002F31E9"/>
    <w:rsid w:val="00307300"/>
    <w:rsid w:val="0031531E"/>
    <w:rsid w:val="0032600E"/>
    <w:rsid w:val="0032723C"/>
    <w:rsid w:val="00337C7C"/>
    <w:rsid w:val="00341B64"/>
    <w:rsid w:val="003435CF"/>
    <w:rsid w:val="00353F37"/>
    <w:rsid w:val="003563F2"/>
    <w:rsid w:val="003604EA"/>
    <w:rsid w:val="00362842"/>
    <w:rsid w:val="00363B8E"/>
    <w:rsid w:val="003706F2"/>
    <w:rsid w:val="00372AC6"/>
    <w:rsid w:val="00374C3C"/>
    <w:rsid w:val="00384401"/>
    <w:rsid w:val="00385AA4"/>
    <w:rsid w:val="00390970"/>
    <w:rsid w:val="0039551B"/>
    <w:rsid w:val="00397E1F"/>
    <w:rsid w:val="003A1389"/>
    <w:rsid w:val="003A4BBA"/>
    <w:rsid w:val="003A5A80"/>
    <w:rsid w:val="003A797D"/>
    <w:rsid w:val="003B099E"/>
    <w:rsid w:val="003C3121"/>
    <w:rsid w:val="003C348B"/>
    <w:rsid w:val="003C3F48"/>
    <w:rsid w:val="003D4FA4"/>
    <w:rsid w:val="003D6506"/>
    <w:rsid w:val="003E1594"/>
    <w:rsid w:val="003E1D17"/>
    <w:rsid w:val="003E724D"/>
    <w:rsid w:val="003F765A"/>
    <w:rsid w:val="003F7AD5"/>
    <w:rsid w:val="00401FFB"/>
    <w:rsid w:val="00403F46"/>
    <w:rsid w:val="00406FB2"/>
    <w:rsid w:val="00420AF9"/>
    <w:rsid w:val="00424658"/>
    <w:rsid w:val="00432957"/>
    <w:rsid w:val="00436125"/>
    <w:rsid w:val="00442646"/>
    <w:rsid w:val="00443738"/>
    <w:rsid w:val="00446E33"/>
    <w:rsid w:val="004509CD"/>
    <w:rsid w:val="0045222D"/>
    <w:rsid w:val="00460429"/>
    <w:rsid w:val="00461F4C"/>
    <w:rsid w:val="00465E2B"/>
    <w:rsid w:val="00467115"/>
    <w:rsid w:val="004676D1"/>
    <w:rsid w:val="004914F7"/>
    <w:rsid w:val="00491B67"/>
    <w:rsid w:val="00491F16"/>
    <w:rsid w:val="004963AD"/>
    <w:rsid w:val="004A2B2B"/>
    <w:rsid w:val="004B1912"/>
    <w:rsid w:val="004B475A"/>
    <w:rsid w:val="004E14E5"/>
    <w:rsid w:val="004E599F"/>
    <w:rsid w:val="004F0731"/>
    <w:rsid w:val="004F09F4"/>
    <w:rsid w:val="004F4FC5"/>
    <w:rsid w:val="004F5144"/>
    <w:rsid w:val="004F55D6"/>
    <w:rsid w:val="005022A1"/>
    <w:rsid w:val="00512E5B"/>
    <w:rsid w:val="00513905"/>
    <w:rsid w:val="00515F4B"/>
    <w:rsid w:val="00517F60"/>
    <w:rsid w:val="00523EA8"/>
    <w:rsid w:val="00524415"/>
    <w:rsid w:val="00527BF6"/>
    <w:rsid w:val="00537845"/>
    <w:rsid w:val="00541104"/>
    <w:rsid w:val="00542642"/>
    <w:rsid w:val="00551E48"/>
    <w:rsid w:val="0055687C"/>
    <w:rsid w:val="00561F13"/>
    <w:rsid w:val="005622DE"/>
    <w:rsid w:val="0057243B"/>
    <w:rsid w:val="00572D1D"/>
    <w:rsid w:val="00572F08"/>
    <w:rsid w:val="005778E5"/>
    <w:rsid w:val="0058386B"/>
    <w:rsid w:val="005861BB"/>
    <w:rsid w:val="005865DC"/>
    <w:rsid w:val="00586D1E"/>
    <w:rsid w:val="00593130"/>
    <w:rsid w:val="005A0AFD"/>
    <w:rsid w:val="005A290E"/>
    <w:rsid w:val="005A5E02"/>
    <w:rsid w:val="005B01DF"/>
    <w:rsid w:val="005B4818"/>
    <w:rsid w:val="005B4F82"/>
    <w:rsid w:val="005B57B5"/>
    <w:rsid w:val="005B5EB2"/>
    <w:rsid w:val="005C0690"/>
    <w:rsid w:val="005C144F"/>
    <w:rsid w:val="005D147F"/>
    <w:rsid w:val="005D51E7"/>
    <w:rsid w:val="005F2369"/>
    <w:rsid w:val="005F2852"/>
    <w:rsid w:val="00602514"/>
    <w:rsid w:val="00603840"/>
    <w:rsid w:val="006065DD"/>
    <w:rsid w:val="006111A6"/>
    <w:rsid w:val="006141FA"/>
    <w:rsid w:val="00625B7A"/>
    <w:rsid w:val="00630191"/>
    <w:rsid w:val="00631191"/>
    <w:rsid w:val="00633B55"/>
    <w:rsid w:val="00634A18"/>
    <w:rsid w:val="0064665F"/>
    <w:rsid w:val="006466E4"/>
    <w:rsid w:val="006673CE"/>
    <w:rsid w:val="006719E7"/>
    <w:rsid w:val="0067253D"/>
    <w:rsid w:val="0068299B"/>
    <w:rsid w:val="00684664"/>
    <w:rsid w:val="00686DAE"/>
    <w:rsid w:val="00693A38"/>
    <w:rsid w:val="00694CB2"/>
    <w:rsid w:val="00695181"/>
    <w:rsid w:val="006A302D"/>
    <w:rsid w:val="006A5E3E"/>
    <w:rsid w:val="006B21B6"/>
    <w:rsid w:val="006B297D"/>
    <w:rsid w:val="006B46A8"/>
    <w:rsid w:val="006D04B1"/>
    <w:rsid w:val="006D2955"/>
    <w:rsid w:val="006D45C9"/>
    <w:rsid w:val="006E1160"/>
    <w:rsid w:val="006E1C1D"/>
    <w:rsid w:val="006F28FD"/>
    <w:rsid w:val="006F3B45"/>
    <w:rsid w:val="006F7F8B"/>
    <w:rsid w:val="00700A1F"/>
    <w:rsid w:val="00701D05"/>
    <w:rsid w:val="007027EE"/>
    <w:rsid w:val="007131D8"/>
    <w:rsid w:val="007136B9"/>
    <w:rsid w:val="00717836"/>
    <w:rsid w:val="007204DA"/>
    <w:rsid w:val="0072433A"/>
    <w:rsid w:val="007331C3"/>
    <w:rsid w:val="00733D34"/>
    <w:rsid w:val="00733FA7"/>
    <w:rsid w:val="00740263"/>
    <w:rsid w:val="0074280E"/>
    <w:rsid w:val="007443DE"/>
    <w:rsid w:val="007479DB"/>
    <w:rsid w:val="0075313E"/>
    <w:rsid w:val="0075455B"/>
    <w:rsid w:val="007577FF"/>
    <w:rsid w:val="007809C0"/>
    <w:rsid w:val="00797F68"/>
    <w:rsid w:val="007A32AC"/>
    <w:rsid w:val="007A4D23"/>
    <w:rsid w:val="007B45C1"/>
    <w:rsid w:val="007B66DE"/>
    <w:rsid w:val="007B71DD"/>
    <w:rsid w:val="007C0AEE"/>
    <w:rsid w:val="007C0FC4"/>
    <w:rsid w:val="007C3F12"/>
    <w:rsid w:val="007C73F7"/>
    <w:rsid w:val="007E13B2"/>
    <w:rsid w:val="007E565C"/>
    <w:rsid w:val="00801919"/>
    <w:rsid w:val="00804B3A"/>
    <w:rsid w:val="00804F4B"/>
    <w:rsid w:val="00805454"/>
    <w:rsid w:val="00805FBE"/>
    <w:rsid w:val="0081455B"/>
    <w:rsid w:val="00830699"/>
    <w:rsid w:val="00833264"/>
    <w:rsid w:val="00834248"/>
    <w:rsid w:val="00842F58"/>
    <w:rsid w:val="0085421D"/>
    <w:rsid w:val="008620EE"/>
    <w:rsid w:val="00862526"/>
    <w:rsid w:val="008747E5"/>
    <w:rsid w:val="008841D4"/>
    <w:rsid w:val="00884C0B"/>
    <w:rsid w:val="0088598A"/>
    <w:rsid w:val="0088786F"/>
    <w:rsid w:val="00891920"/>
    <w:rsid w:val="00894C54"/>
    <w:rsid w:val="008A00E8"/>
    <w:rsid w:val="008A1E5A"/>
    <w:rsid w:val="008A4025"/>
    <w:rsid w:val="008A559F"/>
    <w:rsid w:val="008B1321"/>
    <w:rsid w:val="008B1A2D"/>
    <w:rsid w:val="008B3F04"/>
    <w:rsid w:val="008C03DF"/>
    <w:rsid w:val="008D103A"/>
    <w:rsid w:val="008D38F5"/>
    <w:rsid w:val="008D3B95"/>
    <w:rsid w:val="008D573A"/>
    <w:rsid w:val="008D7FC5"/>
    <w:rsid w:val="008E3F14"/>
    <w:rsid w:val="008E7DB4"/>
    <w:rsid w:val="008F22CC"/>
    <w:rsid w:val="008F688A"/>
    <w:rsid w:val="00900152"/>
    <w:rsid w:val="00900281"/>
    <w:rsid w:val="0090383A"/>
    <w:rsid w:val="0090743C"/>
    <w:rsid w:val="00910DE2"/>
    <w:rsid w:val="00914849"/>
    <w:rsid w:val="00916023"/>
    <w:rsid w:val="0091695E"/>
    <w:rsid w:val="00917508"/>
    <w:rsid w:val="0092001E"/>
    <w:rsid w:val="0092722E"/>
    <w:rsid w:val="00931A42"/>
    <w:rsid w:val="00935315"/>
    <w:rsid w:val="00937D9F"/>
    <w:rsid w:val="0094122E"/>
    <w:rsid w:val="00944161"/>
    <w:rsid w:val="009471EC"/>
    <w:rsid w:val="00947CAD"/>
    <w:rsid w:val="0095107D"/>
    <w:rsid w:val="00970420"/>
    <w:rsid w:val="0097539F"/>
    <w:rsid w:val="00981F15"/>
    <w:rsid w:val="00984CBD"/>
    <w:rsid w:val="009853EB"/>
    <w:rsid w:val="00994146"/>
    <w:rsid w:val="009966C0"/>
    <w:rsid w:val="009A275D"/>
    <w:rsid w:val="009A4393"/>
    <w:rsid w:val="009A5176"/>
    <w:rsid w:val="009B0B5B"/>
    <w:rsid w:val="009B560C"/>
    <w:rsid w:val="009C03FC"/>
    <w:rsid w:val="009C2E1E"/>
    <w:rsid w:val="009C53BD"/>
    <w:rsid w:val="009D155F"/>
    <w:rsid w:val="009D2474"/>
    <w:rsid w:val="009E4E72"/>
    <w:rsid w:val="009E5D9A"/>
    <w:rsid w:val="009F0F38"/>
    <w:rsid w:val="009F1160"/>
    <w:rsid w:val="00A00DC2"/>
    <w:rsid w:val="00A020EA"/>
    <w:rsid w:val="00A03B1D"/>
    <w:rsid w:val="00A070ED"/>
    <w:rsid w:val="00A16D87"/>
    <w:rsid w:val="00A2672C"/>
    <w:rsid w:val="00A31FE6"/>
    <w:rsid w:val="00A3288A"/>
    <w:rsid w:val="00A421DD"/>
    <w:rsid w:val="00A452A3"/>
    <w:rsid w:val="00A46747"/>
    <w:rsid w:val="00A46795"/>
    <w:rsid w:val="00A475EE"/>
    <w:rsid w:val="00A4792B"/>
    <w:rsid w:val="00A5238D"/>
    <w:rsid w:val="00A56527"/>
    <w:rsid w:val="00A61FB3"/>
    <w:rsid w:val="00A67643"/>
    <w:rsid w:val="00A710CE"/>
    <w:rsid w:val="00A72735"/>
    <w:rsid w:val="00A74983"/>
    <w:rsid w:val="00A75070"/>
    <w:rsid w:val="00A80189"/>
    <w:rsid w:val="00A9366F"/>
    <w:rsid w:val="00AA7DEB"/>
    <w:rsid w:val="00AB443E"/>
    <w:rsid w:val="00AC55B9"/>
    <w:rsid w:val="00AD4B2B"/>
    <w:rsid w:val="00AD5ED2"/>
    <w:rsid w:val="00AD652F"/>
    <w:rsid w:val="00AD6A9D"/>
    <w:rsid w:val="00AF2E70"/>
    <w:rsid w:val="00AF69AE"/>
    <w:rsid w:val="00AF79FD"/>
    <w:rsid w:val="00B10102"/>
    <w:rsid w:val="00B10C5D"/>
    <w:rsid w:val="00B167C5"/>
    <w:rsid w:val="00B20467"/>
    <w:rsid w:val="00B3326B"/>
    <w:rsid w:val="00B40429"/>
    <w:rsid w:val="00B556E0"/>
    <w:rsid w:val="00B6086A"/>
    <w:rsid w:val="00B6210A"/>
    <w:rsid w:val="00B67B75"/>
    <w:rsid w:val="00B703E8"/>
    <w:rsid w:val="00B70B89"/>
    <w:rsid w:val="00B75176"/>
    <w:rsid w:val="00B751F7"/>
    <w:rsid w:val="00B86FE4"/>
    <w:rsid w:val="00B94C5D"/>
    <w:rsid w:val="00B9590C"/>
    <w:rsid w:val="00B9765B"/>
    <w:rsid w:val="00BA22BE"/>
    <w:rsid w:val="00BA4169"/>
    <w:rsid w:val="00BA497A"/>
    <w:rsid w:val="00BA7829"/>
    <w:rsid w:val="00BA7F6D"/>
    <w:rsid w:val="00BB24E4"/>
    <w:rsid w:val="00BB71D1"/>
    <w:rsid w:val="00BB7F3E"/>
    <w:rsid w:val="00BC6B91"/>
    <w:rsid w:val="00BC76C9"/>
    <w:rsid w:val="00BE4443"/>
    <w:rsid w:val="00BF13FC"/>
    <w:rsid w:val="00BF57A8"/>
    <w:rsid w:val="00BF694F"/>
    <w:rsid w:val="00C04A8C"/>
    <w:rsid w:val="00C143F5"/>
    <w:rsid w:val="00C22D21"/>
    <w:rsid w:val="00C23441"/>
    <w:rsid w:val="00C25AA7"/>
    <w:rsid w:val="00C266EB"/>
    <w:rsid w:val="00C26974"/>
    <w:rsid w:val="00C321B3"/>
    <w:rsid w:val="00C37B19"/>
    <w:rsid w:val="00C42D69"/>
    <w:rsid w:val="00C44D68"/>
    <w:rsid w:val="00C47075"/>
    <w:rsid w:val="00C6120D"/>
    <w:rsid w:val="00C6324A"/>
    <w:rsid w:val="00C64594"/>
    <w:rsid w:val="00C66C6E"/>
    <w:rsid w:val="00C70CF4"/>
    <w:rsid w:val="00C7683E"/>
    <w:rsid w:val="00C80B9F"/>
    <w:rsid w:val="00C80DB7"/>
    <w:rsid w:val="00C813FA"/>
    <w:rsid w:val="00C82643"/>
    <w:rsid w:val="00C8468F"/>
    <w:rsid w:val="00C84A02"/>
    <w:rsid w:val="00C87952"/>
    <w:rsid w:val="00C910D2"/>
    <w:rsid w:val="00C9243F"/>
    <w:rsid w:val="00C925D8"/>
    <w:rsid w:val="00C92DD6"/>
    <w:rsid w:val="00C97CA1"/>
    <w:rsid w:val="00CA037F"/>
    <w:rsid w:val="00CA6222"/>
    <w:rsid w:val="00CB679F"/>
    <w:rsid w:val="00CB6E8E"/>
    <w:rsid w:val="00CC2827"/>
    <w:rsid w:val="00CD746E"/>
    <w:rsid w:val="00CE0ADA"/>
    <w:rsid w:val="00CE4F04"/>
    <w:rsid w:val="00CF228E"/>
    <w:rsid w:val="00CF2716"/>
    <w:rsid w:val="00CF3C37"/>
    <w:rsid w:val="00D00618"/>
    <w:rsid w:val="00D103F0"/>
    <w:rsid w:val="00D133BB"/>
    <w:rsid w:val="00D1711D"/>
    <w:rsid w:val="00D176A7"/>
    <w:rsid w:val="00D20736"/>
    <w:rsid w:val="00D209D7"/>
    <w:rsid w:val="00D22A5C"/>
    <w:rsid w:val="00D22F5F"/>
    <w:rsid w:val="00D26A97"/>
    <w:rsid w:val="00D351BF"/>
    <w:rsid w:val="00D4794D"/>
    <w:rsid w:val="00D53A9F"/>
    <w:rsid w:val="00D5735C"/>
    <w:rsid w:val="00D72B62"/>
    <w:rsid w:val="00D72C67"/>
    <w:rsid w:val="00D75B81"/>
    <w:rsid w:val="00D76956"/>
    <w:rsid w:val="00D8606E"/>
    <w:rsid w:val="00D866DA"/>
    <w:rsid w:val="00D9216F"/>
    <w:rsid w:val="00D94C4C"/>
    <w:rsid w:val="00DA1DE9"/>
    <w:rsid w:val="00DA20C6"/>
    <w:rsid w:val="00DA4C52"/>
    <w:rsid w:val="00DA7E17"/>
    <w:rsid w:val="00DB0804"/>
    <w:rsid w:val="00DB2828"/>
    <w:rsid w:val="00DB7FC3"/>
    <w:rsid w:val="00DC00C5"/>
    <w:rsid w:val="00DC04B5"/>
    <w:rsid w:val="00DC289C"/>
    <w:rsid w:val="00DC56E2"/>
    <w:rsid w:val="00DD0567"/>
    <w:rsid w:val="00DD3FD8"/>
    <w:rsid w:val="00DD60FB"/>
    <w:rsid w:val="00DE02C0"/>
    <w:rsid w:val="00DE24E0"/>
    <w:rsid w:val="00DE34A5"/>
    <w:rsid w:val="00DE3B31"/>
    <w:rsid w:val="00DE5A30"/>
    <w:rsid w:val="00DE7712"/>
    <w:rsid w:val="00DF1066"/>
    <w:rsid w:val="00DF670B"/>
    <w:rsid w:val="00DF7E55"/>
    <w:rsid w:val="00E024E2"/>
    <w:rsid w:val="00E120B2"/>
    <w:rsid w:val="00E20C75"/>
    <w:rsid w:val="00E245D4"/>
    <w:rsid w:val="00E246F8"/>
    <w:rsid w:val="00E303EE"/>
    <w:rsid w:val="00E322FE"/>
    <w:rsid w:val="00E35182"/>
    <w:rsid w:val="00E35671"/>
    <w:rsid w:val="00E4249A"/>
    <w:rsid w:val="00E4769D"/>
    <w:rsid w:val="00E5590D"/>
    <w:rsid w:val="00E8051B"/>
    <w:rsid w:val="00E873B0"/>
    <w:rsid w:val="00E979F7"/>
    <w:rsid w:val="00EA09F7"/>
    <w:rsid w:val="00EA5807"/>
    <w:rsid w:val="00EB6CEC"/>
    <w:rsid w:val="00EC0212"/>
    <w:rsid w:val="00EC68F9"/>
    <w:rsid w:val="00ED46D3"/>
    <w:rsid w:val="00ED796A"/>
    <w:rsid w:val="00EE4FA2"/>
    <w:rsid w:val="00EE7F3C"/>
    <w:rsid w:val="00EF3D88"/>
    <w:rsid w:val="00F06D7E"/>
    <w:rsid w:val="00F07F93"/>
    <w:rsid w:val="00F12FCC"/>
    <w:rsid w:val="00F1450E"/>
    <w:rsid w:val="00F21AA8"/>
    <w:rsid w:val="00F30EA0"/>
    <w:rsid w:val="00F33DEA"/>
    <w:rsid w:val="00F3638E"/>
    <w:rsid w:val="00F42C79"/>
    <w:rsid w:val="00F53E09"/>
    <w:rsid w:val="00F54798"/>
    <w:rsid w:val="00F57F8E"/>
    <w:rsid w:val="00F677CA"/>
    <w:rsid w:val="00F72BB0"/>
    <w:rsid w:val="00F76AA8"/>
    <w:rsid w:val="00F82728"/>
    <w:rsid w:val="00F82E0F"/>
    <w:rsid w:val="00F87B24"/>
    <w:rsid w:val="00F91FA5"/>
    <w:rsid w:val="00F967E8"/>
    <w:rsid w:val="00FA213F"/>
    <w:rsid w:val="00FA4366"/>
    <w:rsid w:val="00FB2785"/>
    <w:rsid w:val="00FB3967"/>
    <w:rsid w:val="00FB78E6"/>
    <w:rsid w:val="00FC0165"/>
    <w:rsid w:val="00FC3DA0"/>
    <w:rsid w:val="00FC6B03"/>
    <w:rsid w:val="00FC74D2"/>
    <w:rsid w:val="00FD1582"/>
    <w:rsid w:val="00FD16DB"/>
    <w:rsid w:val="00FD17B3"/>
    <w:rsid w:val="00FD4C53"/>
    <w:rsid w:val="00FD5BDC"/>
    <w:rsid w:val="00FD6AFB"/>
    <w:rsid w:val="00FE16AF"/>
    <w:rsid w:val="00FE4519"/>
    <w:rsid w:val="00FE5D5E"/>
    <w:rsid w:val="00FE6274"/>
    <w:rsid w:val="00FF44B4"/>
    <w:rsid w:val="0100014F"/>
    <w:rsid w:val="01055FEF"/>
    <w:rsid w:val="01104562"/>
    <w:rsid w:val="0110559F"/>
    <w:rsid w:val="013658EF"/>
    <w:rsid w:val="014604D8"/>
    <w:rsid w:val="014C3E5D"/>
    <w:rsid w:val="01532575"/>
    <w:rsid w:val="0155011C"/>
    <w:rsid w:val="01575141"/>
    <w:rsid w:val="015776D0"/>
    <w:rsid w:val="01630F53"/>
    <w:rsid w:val="01641E4C"/>
    <w:rsid w:val="016A6461"/>
    <w:rsid w:val="017C4AF9"/>
    <w:rsid w:val="017F5986"/>
    <w:rsid w:val="0181587D"/>
    <w:rsid w:val="01822009"/>
    <w:rsid w:val="0184409E"/>
    <w:rsid w:val="0187324E"/>
    <w:rsid w:val="018B31BC"/>
    <w:rsid w:val="019422CD"/>
    <w:rsid w:val="019E4E97"/>
    <w:rsid w:val="01A31E23"/>
    <w:rsid w:val="01C03789"/>
    <w:rsid w:val="01CF1907"/>
    <w:rsid w:val="01D0516B"/>
    <w:rsid w:val="01E04B23"/>
    <w:rsid w:val="01FA1868"/>
    <w:rsid w:val="01FB7A09"/>
    <w:rsid w:val="01FD1625"/>
    <w:rsid w:val="020D154E"/>
    <w:rsid w:val="02123F76"/>
    <w:rsid w:val="022177DE"/>
    <w:rsid w:val="022B421F"/>
    <w:rsid w:val="02315A3D"/>
    <w:rsid w:val="02321FE6"/>
    <w:rsid w:val="02342726"/>
    <w:rsid w:val="023D5BB6"/>
    <w:rsid w:val="02487A65"/>
    <w:rsid w:val="0250156F"/>
    <w:rsid w:val="026E20DE"/>
    <w:rsid w:val="026F018C"/>
    <w:rsid w:val="027F1FC0"/>
    <w:rsid w:val="028D0036"/>
    <w:rsid w:val="028D1EE7"/>
    <w:rsid w:val="0296004B"/>
    <w:rsid w:val="029E5FB9"/>
    <w:rsid w:val="02A52864"/>
    <w:rsid w:val="02A83054"/>
    <w:rsid w:val="02B76867"/>
    <w:rsid w:val="02CD747E"/>
    <w:rsid w:val="02D432E5"/>
    <w:rsid w:val="02D57299"/>
    <w:rsid w:val="02E54AB5"/>
    <w:rsid w:val="02EF101E"/>
    <w:rsid w:val="02FE6776"/>
    <w:rsid w:val="02FF5EBD"/>
    <w:rsid w:val="030104E7"/>
    <w:rsid w:val="03062D2F"/>
    <w:rsid w:val="031E020B"/>
    <w:rsid w:val="031F187E"/>
    <w:rsid w:val="0320534E"/>
    <w:rsid w:val="032121AE"/>
    <w:rsid w:val="03222E69"/>
    <w:rsid w:val="03310A05"/>
    <w:rsid w:val="03350E4E"/>
    <w:rsid w:val="03362153"/>
    <w:rsid w:val="033C527B"/>
    <w:rsid w:val="03426465"/>
    <w:rsid w:val="03482AEE"/>
    <w:rsid w:val="034C7DAD"/>
    <w:rsid w:val="034E77FA"/>
    <w:rsid w:val="03701136"/>
    <w:rsid w:val="03704909"/>
    <w:rsid w:val="03725CEC"/>
    <w:rsid w:val="039B003E"/>
    <w:rsid w:val="039D780A"/>
    <w:rsid w:val="03A0268A"/>
    <w:rsid w:val="03A4531C"/>
    <w:rsid w:val="03AB32EA"/>
    <w:rsid w:val="03BA1675"/>
    <w:rsid w:val="03BB23AC"/>
    <w:rsid w:val="03BD2EEF"/>
    <w:rsid w:val="03BF2008"/>
    <w:rsid w:val="03C055AA"/>
    <w:rsid w:val="03CC1D43"/>
    <w:rsid w:val="03CC6B88"/>
    <w:rsid w:val="03D774D1"/>
    <w:rsid w:val="03ED2E0B"/>
    <w:rsid w:val="03F32506"/>
    <w:rsid w:val="040E59F0"/>
    <w:rsid w:val="041C7A1C"/>
    <w:rsid w:val="04216421"/>
    <w:rsid w:val="042A6608"/>
    <w:rsid w:val="0441067A"/>
    <w:rsid w:val="0446450F"/>
    <w:rsid w:val="045A2263"/>
    <w:rsid w:val="046324B8"/>
    <w:rsid w:val="04660439"/>
    <w:rsid w:val="047704A3"/>
    <w:rsid w:val="04862D7A"/>
    <w:rsid w:val="048745F8"/>
    <w:rsid w:val="048830F0"/>
    <w:rsid w:val="0491498E"/>
    <w:rsid w:val="04923E5B"/>
    <w:rsid w:val="04925C53"/>
    <w:rsid w:val="049A7FA7"/>
    <w:rsid w:val="049F1AA3"/>
    <w:rsid w:val="04AA1446"/>
    <w:rsid w:val="04AA27A1"/>
    <w:rsid w:val="04AA578D"/>
    <w:rsid w:val="04B124DA"/>
    <w:rsid w:val="04B37BE9"/>
    <w:rsid w:val="04BE3DA6"/>
    <w:rsid w:val="04CB4231"/>
    <w:rsid w:val="04D24EFA"/>
    <w:rsid w:val="04D253F8"/>
    <w:rsid w:val="04D30EDB"/>
    <w:rsid w:val="04D37460"/>
    <w:rsid w:val="04D543AB"/>
    <w:rsid w:val="04D91C43"/>
    <w:rsid w:val="04E81C32"/>
    <w:rsid w:val="04EC7D98"/>
    <w:rsid w:val="04F35B97"/>
    <w:rsid w:val="04F764B1"/>
    <w:rsid w:val="05004284"/>
    <w:rsid w:val="05040D97"/>
    <w:rsid w:val="051B1A25"/>
    <w:rsid w:val="05216C0B"/>
    <w:rsid w:val="05252774"/>
    <w:rsid w:val="05281DD7"/>
    <w:rsid w:val="053002CA"/>
    <w:rsid w:val="053803C4"/>
    <w:rsid w:val="053F3458"/>
    <w:rsid w:val="05435CB2"/>
    <w:rsid w:val="0546560A"/>
    <w:rsid w:val="05652B26"/>
    <w:rsid w:val="0566469E"/>
    <w:rsid w:val="056E5D50"/>
    <w:rsid w:val="057341F8"/>
    <w:rsid w:val="05854820"/>
    <w:rsid w:val="05952F37"/>
    <w:rsid w:val="05A337E8"/>
    <w:rsid w:val="05A9066D"/>
    <w:rsid w:val="05AB33BE"/>
    <w:rsid w:val="05B01332"/>
    <w:rsid w:val="05B70EED"/>
    <w:rsid w:val="05B9052D"/>
    <w:rsid w:val="05B9470C"/>
    <w:rsid w:val="05BD1D43"/>
    <w:rsid w:val="05D2364E"/>
    <w:rsid w:val="05DD7429"/>
    <w:rsid w:val="05EC4DA6"/>
    <w:rsid w:val="05F62E53"/>
    <w:rsid w:val="060112B8"/>
    <w:rsid w:val="062A2E45"/>
    <w:rsid w:val="063B17F3"/>
    <w:rsid w:val="06523476"/>
    <w:rsid w:val="06600976"/>
    <w:rsid w:val="06616A04"/>
    <w:rsid w:val="06635582"/>
    <w:rsid w:val="06680FF0"/>
    <w:rsid w:val="06705716"/>
    <w:rsid w:val="06875133"/>
    <w:rsid w:val="068C3EC5"/>
    <w:rsid w:val="06907096"/>
    <w:rsid w:val="069C6B06"/>
    <w:rsid w:val="06A33691"/>
    <w:rsid w:val="06AF15C4"/>
    <w:rsid w:val="06B669A1"/>
    <w:rsid w:val="06B81D95"/>
    <w:rsid w:val="06BD6D09"/>
    <w:rsid w:val="06C03192"/>
    <w:rsid w:val="06C362D0"/>
    <w:rsid w:val="06C45880"/>
    <w:rsid w:val="06C516B4"/>
    <w:rsid w:val="06C578EB"/>
    <w:rsid w:val="06C96406"/>
    <w:rsid w:val="06CB4E9F"/>
    <w:rsid w:val="06DB57CD"/>
    <w:rsid w:val="06E95604"/>
    <w:rsid w:val="06EA70E5"/>
    <w:rsid w:val="06FB5B10"/>
    <w:rsid w:val="07014CBA"/>
    <w:rsid w:val="070176EC"/>
    <w:rsid w:val="07123686"/>
    <w:rsid w:val="07140E2A"/>
    <w:rsid w:val="07154121"/>
    <w:rsid w:val="071830B3"/>
    <w:rsid w:val="07220FF6"/>
    <w:rsid w:val="07224221"/>
    <w:rsid w:val="07232BCB"/>
    <w:rsid w:val="07294402"/>
    <w:rsid w:val="072A5665"/>
    <w:rsid w:val="072B2C17"/>
    <w:rsid w:val="07347160"/>
    <w:rsid w:val="073C621E"/>
    <w:rsid w:val="0741757C"/>
    <w:rsid w:val="076071B5"/>
    <w:rsid w:val="076325DD"/>
    <w:rsid w:val="0767043B"/>
    <w:rsid w:val="076E280D"/>
    <w:rsid w:val="076F68A6"/>
    <w:rsid w:val="077B2540"/>
    <w:rsid w:val="07817C80"/>
    <w:rsid w:val="0795047E"/>
    <w:rsid w:val="079A4B84"/>
    <w:rsid w:val="07A72EEE"/>
    <w:rsid w:val="07A8080F"/>
    <w:rsid w:val="07AB1769"/>
    <w:rsid w:val="07B45B5A"/>
    <w:rsid w:val="07C4394E"/>
    <w:rsid w:val="07DC537F"/>
    <w:rsid w:val="07F648CA"/>
    <w:rsid w:val="07FB0AD5"/>
    <w:rsid w:val="081E3021"/>
    <w:rsid w:val="082451D8"/>
    <w:rsid w:val="08253F62"/>
    <w:rsid w:val="082D7AA0"/>
    <w:rsid w:val="08326375"/>
    <w:rsid w:val="083263D2"/>
    <w:rsid w:val="0837255A"/>
    <w:rsid w:val="083A2168"/>
    <w:rsid w:val="08462A0E"/>
    <w:rsid w:val="08476D4F"/>
    <w:rsid w:val="084A0F76"/>
    <w:rsid w:val="084C43AA"/>
    <w:rsid w:val="084D25D1"/>
    <w:rsid w:val="086241C9"/>
    <w:rsid w:val="0862434F"/>
    <w:rsid w:val="08641754"/>
    <w:rsid w:val="0865241B"/>
    <w:rsid w:val="086725E6"/>
    <w:rsid w:val="08743EC8"/>
    <w:rsid w:val="087825CB"/>
    <w:rsid w:val="087A74EA"/>
    <w:rsid w:val="087D1D8A"/>
    <w:rsid w:val="089F5C9C"/>
    <w:rsid w:val="08AF1F8B"/>
    <w:rsid w:val="08AF3DAE"/>
    <w:rsid w:val="08B024E3"/>
    <w:rsid w:val="08B264EC"/>
    <w:rsid w:val="08B97CA8"/>
    <w:rsid w:val="08C04D79"/>
    <w:rsid w:val="08C64A8D"/>
    <w:rsid w:val="08CD2767"/>
    <w:rsid w:val="08D30874"/>
    <w:rsid w:val="08D967FD"/>
    <w:rsid w:val="08E0589A"/>
    <w:rsid w:val="08E753B1"/>
    <w:rsid w:val="08EE73D3"/>
    <w:rsid w:val="08F665B6"/>
    <w:rsid w:val="090840CE"/>
    <w:rsid w:val="09094197"/>
    <w:rsid w:val="09094EB9"/>
    <w:rsid w:val="090D7EAD"/>
    <w:rsid w:val="091F33C4"/>
    <w:rsid w:val="092029AC"/>
    <w:rsid w:val="092A5C6E"/>
    <w:rsid w:val="092B53C5"/>
    <w:rsid w:val="093139D9"/>
    <w:rsid w:val="0952516A"/>
    <w:rsid w:val="095567BF"/>
    <w:rsid w:val="095813E4"/>
    <w:rsid w:val="095974BC"/>
    <w:rsid w:val="095C620F"/>
    <w:rsid w:val="097354AC"/>
    <w:rsid w:val="097855D8"/>
    <w:rsid w:val="09814F7C"/>
    <w:rsid w:val="098535C8"/>
    <w:rsid w:val="098E5053"/>
    <w:rsid w:val="099B23A4"/>
    <w:rsid w:val="09A16BC4"/>
    <w:rsid w:val="09A623B8"/>
    <w:rsid w:val="09A63993"/>
    <w:rsid w:val="09A94E5D"/>
    <w:rsid w:val="09AF067B"/>
    <w:rsid w:val="09BD6B8A"/>
    <w:rsid w:val="09C53452"/>
    <w:rsid w:val="09CC5B1F"/>
    <w:rsid w:val="09CE03F5"/>
    <w:rsid w:val="09D127DC"/>
    <w:rsid w:val="09D232AC"/>
    <w:rsid w:val="09E53A79"/>
    <w:rsid w:val="09EA370D"/>
    <w:rsid w:val="09ED3669"/>
    <w:rsid w:val="09FB1114"/>
    <w:rsid w:val="09FC40F0"/>
    <w:rsid w:val="09FD06F0"/>
    <w:rsid w:val="0A0549F4"/>
    <w:rsid w:val="0A0A77AE"/>
    <w:rsid w:val="0A242DCF"/>
    <w:rsid w:val="0A2A2D56"/>
    <w:rsid w:val="0A2B6915"/>
    <w:rsid w:val="0A2D2194"/>
    <w:rsid w:val="0A3A464A"/>
    <w:rsid w:val="0A3B1740"/>
    <w:rsid w:val="0A3C0C84"/>
    <w:rsid w:val="0A3F3AAC"/>
    <w:rsid w:val="0A425C32"/>
    <w:rsid w:val="0A427F31"/>
    <w:rsid w:val="0A482EFE"/>
    <w:rsid w:val="0A4C4E20"/>
    <w:rsid w:val="0A513381"/>
    <w:rsid w:val="0A542A68"/>
    <w:rsid w:val="0A610CC8"/>
    <w:rsid w:val="0A611878"/>
    <w:rsid w:val="0A6F1FDC"/>
    <w:rsid w:val="0A765FB8"/>
    <w:rsid w:val="0A874FB8"/>
    <w:rsid w:val="0A8A4B46"/>
    <w:rsid w:val="0A8D1BF9"/>
    <w:rsid w:val="0A9422F6"/>
    <w:rsid w:val="0A9934A0"/>
    <w:rsid w:val="0AA95268"/>
    <w:rsid w:val="0AAA2DB5"/>
    <w:rsid w:val="0AB52271"/>
    <w:rsid w:val="0AC00BAE"/>
    <w:rsid w:val="0ACC2985"/>
    <w:rsid w:val="0ADA7C8D"/>
    <w:rsid w:val="0AE22197"/>
    <w:rsid w:val="0B041841"/>
    <w:rsid w:val="0B0D77B0"/>
    <w:rsid w:val="0B1957C1"/>
    <w:rsid w:val="0B1C123C"/>
    <w:rsid w:val="0B2A3817"/>
    <w:rsid w:val="0B2A3B3F"/>
    <w:rsid w:val="0B3C4A7C"/>
    <w:rsid w:val="0B3E6BE9"/>
    <w:rsid w:val="0B4642D1"/>
    <w:rsid w:val="0B4C4B76"/>
    <w:rsid w:val="0B534E18"/>
    <w:rsid w:val="0B5426F7"/>
    <w:rsid w:val="0B5862E7"/>
    <w:rsid w:val="0B5A50EA"/>
    <w:rsid w:val="0B5F02CC"/>
    <w:rsid w:val="0B657E3F"/>
    <w:rsid w:val="0B773869"/>
    <w:rsid w:val="0B854D69"/>
    <w:rsid w:val="0B906F8A"/>
    <w:rsid w:val="0B973BF9"/>
    <w:rsid w:val="0BA918D1"/>
    <w:rsid w:val="0BD0741F"/>
    <w:rsid w:val="0BDC3293"/>
    <w:rsid w:val="0BE23B09"/>
    <w:rsid w:val="0BE5558F"/>
    <w:rsid w:val="0C080B06"/>
    <w:rsid w:val="0C0A16FF"/>
    <w:rsid w:val="0C120080"/>
    <w:rsid w:val="0C130667"/>
    <w:rsid w:val="0C1D339E"/>
    <w:rsid w:val="0C28469C"/>
    <w:rsid w:val="0C2D3287"/>
    <w:rsid w:val="0C2F428D"/>
    <w:rsid w:val="0C385C19"/>
    <w:rsid w:val="0C4F5829"/>
    <w:rsid w:val="0C517711"/>
    <w:rsid w:val="0C581134"/>
    <w:rsid w:val="0C604AC7"/>
    <w:rsid w:val="0C65605D"/>
    <w:rsid w:val="0C681672"/>
    <w:rsid w:val="0C701D32"/>
    <w:rsid w:val="0C775567"/>
    <w:rsid w:val="0C8725EE"/>
    <w:rsid w:val="0C8969A1"/>
    <w:rsid w:val="0C95615A"/>
    <w:rsid w:val="0C9F6495"/>
    <w:rsid w:val="0CA17251"/>
    <w:rsid w:val="0CAE2C0E"/>
    <w:rsid w:val="0CB40DE6"/>
    <w:rsid w:val="0CC0267A"/>
    <w:rsid w:val="0CC45CAB"/>
    <w:rsid w:val="0CC611CB"/>
    <w:rsid w:val="0CC87A86"/>
    <w:rsid w:val="0CCC7A38"/>
    <w:rsid w:val="0CD141A7"/>
    <w:rsid w:val="0CD21B0F"/>
    <w:rsid w:val="0CD354BD"/>
    <w:rsid w:val="0CF12B59"/>
    <w:rsid w:val="0CFE690B"/>
    <w:rsid w:val="0D0A74C0"/>
    <w:rsid w:val="0D0D78B9"/>
    <w:rsid w:val="0D105F15"/>
    <w:rsid w:val="0D116297"/>
    <w:rsid w:val="0D1F749D"/>
    <w:rsid w:val="0D22141A"/>
    <w:rsid w:val="0D2C6967"/>
    <w:rsid w:val="0D2E03C7"/>
    <w:rsid w:val="0D3A493C"/>
    <w:rsid w:val="0D3B158D"/>
    <w:rsid w:val="0D3C6DD4"/>
    <w:rsid w:val="0D6E3A97"/>
    <w:rsid w:val="0D705706"/>
    <w:rsid w:val="0D8468CF"/>
    <w:rsid w:val="0D9353DA"/>
    <w:rsid w:val="0DA91A9B"/>
    <w:rsid w:val="0DAD58DC"/>
    <w:rsid w:val="0DB62D93"/>
    <w:rsid w:val="0DB90694"/>
    <w:rsid w:val="0DB92C4D"/>
    <w:rsid w:val="0DC033AD"/>
    <w:rsid w:val="0DC67D96"/>
    <w:rsid w:val="0DCC024B"/>
    <w:rsid w:val="0DD11112"/>
    <w:rsid w:val="0DD30BCF"/>
    <w:rsid w:val="0DD551F8"/>
    <w:rsid w:val="0DD55D31"/>
    <w:rsid w:val="0DDD695F"/>
    <w:rsid w:val="0DE246D9"/>
    <w:rsid w:val="0DF876E5"/>
    <w:rsid w:val="0DF97E14"/>
    <w:rsid w:val="0E16227B"/>
    <w:rsid w:val="0E166E12"/>
    <w:rsid w:val="0E255F60"/>
    <w:rsid w:val="0E2F5137"/>
    <w:rsid w:val="0E467C5A"/>
    <w:rsid w:val="0E484205"/>
    <w:rsid w:val="0E4D7882"/>
    <w:rsid w:val="0E58740F"/>
    <w:rsid w:val="0E5C0B24"/>
    <w:rsid w:val="0E644E66"/>
    <w:rsid w:val="0E661C84"/>
    <w:rsid w:val="0E677E00"/>
    <w:rsid w:val="0E6831D2"/>
    <w:rsid w:val="0E6B51F0"/>
    <w:rsid w:val="0E6B5E31"/>
    <w:rsid w:val="0E7B4232"/>
    <w:rsid w:val="0E874A0E"/>
    <w:rsid w:val="0E912047"/>
    <w:rsid w:val="0E97717C"/>
    <w:rsid w:val="0E985226"/>
    <w:rsid w:val="0E9950A4"/>
    <w:rsid w:val="0EA15917"/>
    <w:rsid w:val="0EA32E8D"/>
    <w:rsid w:val="0EA61074"/>
    <w:rsid w:val="0EB63E6D"/>
    <w:rsid w:val="0EB6787F"/>
    <w:rsid w:val="0EB84EAE"/>
    <w:rsid w:val="0EB85F05"/>
    <w:rsid w:val="0EB96198"/>
    <w:rsid w:val="0EC82A4F"/>
    <w:rsid w:val="0EC97369"/>
    <w:rsid w:val="0ED61D65"/>
    <w:rsid w:val="0EE47E60"/>
    <w:rsid w:val="0EF91356"/>
    <w:rsid w:val="0F020180"/>
    <w:rsid w:val="0F07723A"/>
    <w:rsid w:val="0F1654FA"/>
    <w:rsid w:val="0F1B30F2"/>
    <w:rsid w:val="0F1D05AE"/>
    <w:rsid w:val="0F2636D2"/>
    <w:rsid w:val="0F2F36F8"/>
    <w:rsid w:val="0F305F9C"/>
    <w:rsid w:val="0F413CCF"/>
    <w:rsid w:val="0F41680B"/>
    <w:rsid w:val="0F46583E"/>
    <w:rsid w:val="0F493361"/>
    <w:rsid w:val="0F5310DD"/>
    <w:rsid w:val="0F540CBE"/>
    <w:rsid w:val="0F5662C3"/>
    <w:rsid w:val="0F585100"/>
    <w:rsid w:val="0F5B13ED"/>
    <w:rsid w:val="0F65101F"/>
    <w:rsid w:val="0F701F63"/>
    <w:rsid w:val="0F7115B3"/>
    <w:rsid w:val="0F796AB8"/>
    <w:rsid w:val="0F7A0E54"/>
    <w:rsid w:val="0F9004D0"/>
    <w:rsid w:val="0F900C39"/>
    <w:rsid w:val="0F951224"/>
    <w:rsid w:val="0F975799"/>
    <w:rsid w:val="0F9B0BA1"/>
    <w:rsid w:val="0F9B41A3"/>
    <w:rsid w:val="0FA4087F"/>
    <w:rsid w:val="0FA42BA4"/>
    <w:rsid w:val="0FA525B6"/>
    <w:rsid w:val="0FAB1F34"/>
    <w:rsid w:val="0FAE4579"/>
    <w:rsid w:val="0FC707E6"/>
    <w:rsid w:val="0FC97032"/>
    <w:rsid w:val="0FCD59E8"/>
    <w:rsid w:val="0FD41BAF"/>
    <w:rsid w:val="0FE20F9D"/>
    <w:rsid w:val="10042CED"/>
    <w:rsid w:val="100B2B66"/>
    <w:rsid w:val="10116269"/>
    <w:rsid w:val="101E34A6"/>
    <w:rsid w:val="10264A9E"/>
    <w:rsid w:val="1030329B"/>
    <w:rsid w:val="10386BD7"/>
    <w:rsid w:val="10403C84"/>
    <w:rsid w:val="10405C55"/>
    <w:rsid w:val="10517301"/>
    <w:rsid w:val="1055163A"/>
    <w:rsid w:val="105D7F3D"/>
    <w:rsid w:val="106E1972"/>
    <w:rsid w:val="106F49E8"/>
    <w:rsid w:val="1070716D"/>
    <w:rsid w:val="1087752D"/>
    <w:rsid w:val="108A114E"/>
    <w:rsid w:val="10A16A89"/>
    <w:rsid w:val="10A47EF0"/>
    <w:rsid w:val="10B94341"/>
    <w:rsid w:val="10C132E1"/>
    <w:rsid w:val="10C30FCD"/>
    <w:rsid w:val="10C83475"/>
    <w:rsid w:val="10D856D4"/>
    <w:rsid w:val="10E11520"/>
    <w:rsid w:val="10E367BF"/>
    <w:rsid w:val="10F00395"/>
    <w:rsid w:val="11040BB3"/>
    <w:rsid w:val="111130B2"/>
    <w:rsid w:val="112E2E37"/>
    <w:rsid w:val="11397345"/>
    <w:rsid w:val="113B5CDF"/>
    <w:rsid w:val="11426F71"/>
    <w:rsid w:val="114B764D"/>
    <w:rsid w:val="114D1A1C"/>
    <w:rsid w:val="116A718E"/>
    <w:rsid w:val="116A782D"/>
    <w:rsid w:val="11964DEA"/>
    <w:rsid w:val="11970800"/>
    <w:rsid w:val="11A83D98"/>
    <w:rsid w:val="11AE5E31"/>
    <w:rsid w:val="11B842D4"/>
    <w:rsid w:val="11BF2F67"/>
    <w:rsid w:val="11C60676"/>
    <w:rsid w:val="11C80809"/>
    <w:rsid w:val="11CA406A"/>
    <w:rsid w:val="11D9111B"/>
    <w:rsid w:val="11DE4BDD"/>
    <w:rsid w:val="11E01D58"/>
    <w:rsid w:val="11E218EB"/>
    <w:rsid w:val="120606BD"/>
    <w:rsid w:val="120B18A7"/>
    <w:rsid w:val="120D282C"/>
    <w:rsid w:val="120F4CFB"/>
    <w:rsid w:val="12132A68"/>
    <w:rsid w:val="121656BA"/>
    <w:rsid w:val="12286A2A"/>
    <w:rsid w:val="122946DB"/>
    <w:rsid w:val="123D56EE"/>
    <w:rsid w:val="12460235"/>
    <w:rsid w:val="124D14E0"/>
    <w:rsid w:val="1252329F"/>
    <w:rsid w:val="12556F73"/>
    <w:rsid w:val="12562669"/>
    <w:rsid w:val="125B02D6"/>
    <w:rsid w:val="125C2A86"/>
    <w:rsid w:val="12631F4C"/>
    <w:rsid w:val="126439A2"/>
    <w:rsid w:val="12682155"/>
    <w:rsid w:val="126D20E0"/>
    <w:rsid w:val="127004C8"/>
    <w:rsid w:val="1279795D"/>
    <w:rsid w:val="127A53DE"/>
    <w:rsid w:val="127B7263"/>
    <w:rsid w:val="128D2B9E"/>
    <w:rsid w:val="128E407F"/>
    <w:rsid w:val="12946A19"/>
    <w:rsid w:val="12953717"/>
    <w:rsid w:val="129B3C1C"/>
    <w:rsid w:val="12AE6AAE"/>
    <w:rsid w:val="12B25538"/>
    <w:rsid w:val="12C62050"/>
    <w:rsid w:val="12C82DCA"/>
    <w:rsid w:val="12D75156"/>
    <w:rsid w:val="131447EF"/>
    <w:rsid w:val="13152CC2"/>
    <w:rsid w:val="13262F9D"/>
    <w:rsid w:val="132C6E61"/>
    <w:rsid w:val="13361E36"/>
    <w:rsid w:val="133C549C"/>
    <w:rsid w:val="13576898"/>
    <w:rsid w:val="136A2E67"/>
    <w:rsid w:val="136F13A5"/>
    <w:rsid w:val="137767EA"/>
    <w:rsid w:val="13786987"/>
    <w:rsid w:val="137F634F"/>
    <w:rsid w:val="13817091"/>
    <w:rsid w:val="138B693C"/>
    <w:rsid w:val="13952CB6"/>
    <w:rsid w:val="139B651F"/>
    <w:rsid w:val="139E500E"/>
    <w:rsid w:val="13AF2607"/>
    <w:rsid w:val="13B30938"/>
    <w:rsid w:val="13B4639B"/>
    <w:rsid w:val="13B46C69"/>
    <w:rsid w:val="13BE0373"/>
    <w:rsid w:val="13BE292E"/>
    <w:rsid w:val="13C0120A"/>
    <w:rsid w:val="13C156F5"/>
    <w:rsid w:val="13C249BD"/>
    <w:rsid w:val="13C609E5"/>
    <w:rsid w:val="13C85080"/>
    <w:rsid w:val="13CE0110"/>
    <w:rsid w:val="13D10C6D"/>
    <w:rsid w:val="13D47891"/>
    <w:rsid w:val="13E4118C"/>
    <w:rsid w:val="13E52BE5"/>
    <w:rsid w:val="13E569C5"/>
    <w:rsid w:val="13E71335"/>
    <w:rsid w:val="13EC0A00"/>
    <w:rsid w:val="13FC2DD0"/>
    <w:rsid w:val="1401174B"/>
    <w:rsid w:val="14015FD0"/>
    <w:rsid w:val="141856E1"/>
    <w:rsid w:val="142342E2"/>
    <w:rsid w:val="14237945"/>
    <w:rsid w:val="14423594"/>
    <w:rsid w:val="145E6762"/>
    <w:rsid w:val="146177FD"/>
    <w:rsid w:val="1478740A"/>
    <w:rsid w:val="149745E3"/>
    <w:rsid w:val="14992B85"/>
    <w:rsid w:val="149A3AC1"/>
    <w:rsid w:val="14A80BD9"/>
    <w:rsid w:val="14B22305"/>
    <w:rsid w:val="14C17B5D"/>
    <w:rsid w:val="14CE25B8"/>
    <w:rsid w:val="14D13334"/>
    <w:rsid w:val="14D22E45"/>
    <w:rsid w:val="14D651AD"/>
    <w:rsid w:val="14DF0CA3"/>
    <w:rsid w:val="14EC45CA"/>
    <w:rsid w:val="14F010B2"/>
    <w:rsid w:val="14FA35F2"/>
    <w:rsid w:val="15043D2F"/>
    <w:rsid w:val="150F669C"/>
    <w:rsid w:val="151A791F"/>
    <w:rsid w:val="152A4FA3"/>
    <w:rsid w:val="15487C71"/>
    <w:rsid w:val="154F5054"/>
    <w:rsid w:val="15544565"/>
    <w:rsid w:val="15672302"/>
    <w:rsid w:val="15674B2D"/>
    <w:rsid w:val="15675841"/>
    <w:rsid w:val="156838E7"/>
    <w:rsid w:val="15700D73"/>
    <w:rsid w:val="157D7653"/>
    <w:rsid w:val="15844223"/>
    <w:rsid w:val="159B2B46"/>
    <w:rsid w:val="15BA4432"/>
    <w:rsid w:val="15BB6E02"/>
    <w:rsid w:val="15C31C99"/>
    <w:rsid w:val="15D232F3"/>
    <w:rsid w:val="15ED1EA4"/>
    <w:rsid w:val="15EE3B71"/>
    <w:rsid w:val="15F35228"/>
    <w:rsid w:val="15F3690F"/>
    <w:rsid w:val="15F57461"/>
    <w:rsid w:val="15F84F2B"/>
    <w:rsid w:val="1604722D"/>
    <w:rsid w:val="160D4E65"/>
    <w:rsid w:val="16150148"/>
    <w:rsid w:val="162638C1"/>
    <w:rsid w:val="16281367"/>
    <w:rsid w:val="162C233A"/>
    <w:rsid w:val="1633484E"/>
    <w:rsid w:val="16381B52"/>
    <w:rsid w:val="16394331"/>
    <w:rsid w:val="163B473E"/>
    <w:rsid w:val="165737C1"/>
    <w:rsid w:val="165C6FA7"/>
    <w:rsid w:val="16641072"/>
    <w:rsid w:val="1667002F"/>
    <w:rsid w:val="167C6A12"/>
    <w:rsid w:val="167F4C9A"/>
    <w:rsid w:val="16880487"/>
    <w:rsid w:val="169A366F"/>
    <w:rsid w:val="16A36F3B"/>
    <w:rsid w:val="16B00B40"/>
    <w:rsid w:val="16B03F08"/>
    <w:rsid w:val="16C97529"/>
    <w:rsid w:val="16CD3631"/>
    <w:rsid w:val="16CE1CB2"/>
    <w:rsid w:val="16D45524"/>
    <w:rsid w:val="16D959DF"/>
    <w:rsid w:val="16E31033"/>
    <w:rsid w:val="16E6013A"/>
    <w:rsid w:val="16E93FCE"/>
    <w:rsid w:val="16EB42BE"/>
    <w:rsid w:val="16FC67A9"/>
    <w:rsid w:val="16FD0A97"/>
    <w:rsid w:val="170D6BF6"/>
    <w:rsid w:val="170E0355"/>
    <w:rsid w:val="17176327"/>
    <w:rsid w:val="171B7127"/>
    <w:rsid w:val="17261248"/>
    <w:rsid w:val="172863A1"/>
    <w:rsid w:val="1758210A"/>
    <w:rsid w:val="175A6562"/>
    <w:rsid w:val="17695991"/>
    <w:rsid w:val="176A61B7"/>
    <w:rsid w:val="17732C17"/>
    <w:rsid w:val="17776162"/>
    <w:rsid w:val="178170E5"/>
    <w:rsid w:val="17826121"/>
    <w:rsid w:val="17A440D7"/>
    <w:rsid w:val="17B25657"/>
    <w:rsid w:val="17B655C4"/>
    <w:rsid w:val="17C27914"/>
    <w:rsid w:val="17CA2CB1"/>
    <w:rsid w:val="17CB6D2A"/>
    <w:rsid w:val="17DA23DF"/>
    <w:rsid w:val="17DE4976"/>
    <w:rsid w:val="17E63D56"/>
    <w:rsid w:val="17EB09D6"/>
    <w:rsid w:val="18081739"/>
    <w:rsid w:val="18147896"/>
    <w:rsid w:val="18170012"/>
    <w:rsid w:val="18193B0F"/>
    <w:rsid w:val="181F2690"/>
    <w:rsid w:val="1821268E"/>
    <w:rsid w:val="182216CF"/>
    <w:rsid w:val="18566DB9"/>
    <w:rsid w:val="1857073E"/>
    <w:rsid w:val="185D11EC"/>
    <w:rsid w:val="185D7203"/>
    <w:rsid w:val="185F5937"/>
    <w:rsid w:val="18644701"/>
    <w:rsid w:val="187C4150"/>
    <w:rsid w:val="187C539B"/>
    <w:rsid w:val="188641B9"/>
    <w:rsid w:val="188A0ED1"/>
    <w:rsid w:val="188E77D9"/>
    <w:rsid w:val="189270FD"/>
    <w:rsid w:val="189B062B"/>
    <w:rsid w:val="189D00F6"/>
    <w:rsid w:val="18A90E4E"/>
    <w:rsid w:val="18AE6349"/>
    <w:rsid w:val="18B95C99"/>
    <w:rsid w:val="18C252C3"/>
    <w:rsid w:val="18CA546F"/>
    <w:rsid w:val="18CE08AC"/>
    <w:rsid w:val="18DA39C4"/>
    <w:rsid w:val="18DB48F5"/>
    <w:rsid w:val="18DE2500"/>
    <w:rsid w:val="18E04283"/>
    <w:rsid w:val="18F15F18"/>
    <w:rsid w:val="18F33395"/>
    <w:rsid w:val="18F40581"/>
    <w:rsid w:val="18F71FED"/>
    <w:rsid w:val="190E2CFC"/>
    <w:rsid w:val="190F4956"/>
    <w:rsid w:val="190F757D"/>
    <w:rsid w:val="19160AFE"/>
    <w:rsid w:val="192B7432"/>
    <w:rsid w:val="19397018"/>
    <w:rsid w:val="19487201"/>
    <w:rsid w:val="194F3A32"/>
    <w:rsid w:val="19520B7B"/>
    <w:rsid w:val="19603A01"/>
    <w:rsid w:val="19620762"/>
    <w:rsid w:val="19667794"/>
    <w:rsid w:val="197468D1"/>
    <w:rsid w:val="19764A80"/>
    <w:rsid w:val="1983295C"/>
    <w:rsid w:val="198454B0"/>
    <w:rsid w:val="198B21DC"/>
    <w:rsid w:val="198E3FBE"/>
    <w:rsid w:val="199225B0"/>
    <w:rsid w:val="199521B5"/>
    <w:rsid w:val="199E38B3"/>
    <w:rsid w:val="19AC77E9"/>
    <w:rsid w:val="19BD0C0F"/>
    <w:rsid w:val="19BD53FC"/>
    <w:rsid w:val="19C104FA"/>
    <w:rsid w:val="19CB642C"/>
    <w:rsid w:val="19CB6799"/>
    <w:rsid w:val="19D24848"/>
    <w:rsid w:val="19D470AD"/>
    <w:rsid w:val="19D57177"/>
    <w:rsid w:val="19DB2AC8"/>
    <w:rsid w:val="19E451DC"/>
    <w:rsid w:val="19E700ED"/>
    <w:rsid w:val="1A022868"/>
    <w:rsid w:val="1A0A682D"/>
    <w:rsid w:val="1A0C5CE2"/>
    <w:rsid w:val="1A0F12A6"/>
    <w:rsid w:val="1A135155"/>
    <w:rsid w:val="1A27385F"/>
    <w:rsid w:val="1A2D4B28"/>
    <w:rsid w:val="1A3008DC"/>
    <w:rsid w:val="1A302507"/>
    <w:rsid w:val="1A320C26"/>
    <w:rsid w:val="1A393EF5"/>
    <w:rsid w:val="1A47734E"/>
    <w:rsid w:val="1A5555DE"/>
    <w:rsid w:val="1A5901AD"/>
    <w:rsid w:val="1A5D684E"/>
    <w:rsid w:val="1A6E7257"/>
    <w:rsid w:val="1A741BB2"/>
    <w:rsid w:val="1A761466"/>
    <w:rsid w:val="1A7972F9"/>
    <w:rsid w:val="1A805AF5"/>
    <w:rsid w:val="1A863A57"/>
    <w:rsid w:val="1A897035"/>
    <w:rsid w:val="1A8A2A8C"/>
    <w:rsid w:val="1A967E08"/>
    <w:rsid w:val="1A990950"/>
    <w:rsid w:val="1A9A7272"/>
    <w:rsid w:val="1AA77564"/>
    <w:rsid w:val="1AAA2456"/>
    <w:rsid w:val="1ABA1032"/>
    <w:rsid w:val="1AC60FC3"/>
    <w:rsid w:val="1ACF330A"/>
    <w:rsid w:val="1AD006BC"/>
    <w:rsid w:val="1AD157A4"/>
    <w:rsid w:val="1AD34C0A"/>
    <w:rsid w:val="1AE25200"/>
    <w:rsid w:val="1AE6015D"/>
    <w:rsid w:val="1B192AE3"/>
    <w:rsid w:val="1B1C5BA0"/>
    <w:rsid w:val="1B2129E4"/>
    <w:rsid w:val="1B242905"/>
    <w:rsid w:val="1B260EE9"/>
    <w:rsid w:val="1B274499"/>
    <w:rsid w:val="1B2A0398"/>
    <w:rsid w:val="1B2C6B9D"/>
    <w:rsid w:val="1B3B3F96"/>
    <w:rsid w:val="1B40212A"/>
    <w:rsid w:val="1B477B11"/>
    <w:rsid w:val="1B4D296C"/>
    <w:rsid w:val="1B604DF7"/>
    <w:rsid w:val="1B683ACD"/>
    <w:rsid w:val="1B781872"/>
    <w:rsid w:val="1B84204D"/>
    <w:rsid w:val="1B8C19C1"/>
    <w:rsid w:val="1B8E1613"/>
    <w:rsid w:val="1B993A23"/>
    <w:rsid w:val="1BA57EE5"/>
    <w:rsid w:val="1BAE1FB9"/>
    <w:rsid w:val="1BC1369B"/>
    <w:rsid w:val="1BC3697D"/>
    <w:rsid w:val="1BD17199"/>
    <w:rsid w:val="1BDE64A4"/>
    <w:rsid w:val="1BE50154"/>
    <w:rsid w:val="1BEF11E3"/>
    <w:rsid w:val="1BF00A01"/>
    <w:rsid w:val="1BF46D3A"/>
    <w:rsid w:val="1BFE04D8"/>
    <w:rsid w:val="1C05329D"/>
    <w:rsid w:val="1C0629CB"/>
    <w:rsid w:val="1C0F5F51"/>
    <w:rsid w:val="1C1003A0"/>
    <w:rsid w:val="1C204FC6"/>
    <w:rsid w:val="1C2513F2"/>
    <w:rsid w:val="1C2B7E5A"/>
    <w:rsid w:val="1C3032E9"/>
    <w:rsid w:val="1C3575EB"/>
    <w:rsid w:val="1C365A8F"/>
    <w:rsid w:val="1C4079DD"/>
    <w:rsid w:val="1C411CD2"/>
    <w:rsid w:val="1C4377D2"/>
    <w:rsid w:val="1C4A4919"/>
    <w:rsid w:val="1C516F7E"/>
    <w:rsid w:val="1C52551D"/>
    <w:rsid w:val="1C682F9F"/>
    <w:rsid w:val="1C7F61B1"/>
    <w:rsid w:val="1C8B34D8"/>
    <w:rsid w:val="1C9B6419"/>
    <w:rsid w:val="1CA6092C"/>
    <w:rsid w:val="1CAE5909"/>
    <w:rsid w:val="1CCB6447"/>
    <w:rsid w:val="1CD83E9A"/>
    <w:rsid w:val="1CDA24CF"/>
    <w:rsid w:val="1CDC2B8A"/>
    <w:rsid w:val="1CEF0D86"/>
    <w:rsid w:val="1CF436CE"/>
    <w:rsid w:val="1D03400B"/>
    <w:rsid w:val="1D05227D"/>
    <w:rsid w:val="1D07422E"/>
    <w:rsid w:val="1D0E64AB"/>
    <w:rsid w:val="1D2A2AC8"/>
    <w:rsid w:val="1D373612"/>
    <w:rsid w:val="1D3D31C7"/>
    <w:rsid w:val="1D43124B"/>
    <w:rsid w:val="1D47153B"/>
    <w:rsid w:val="1D473548"/>
    <w:rsid w:val="1D4F54A9"/>
    <w:rsid w:val="1D5137B6"/>
    <w:rsid w:val="1D5255A7"/>
    <w:rsid w:val="1D540AAA"/>
    <w:rsid w:val="1D64575E"/>
    <w:rsid w:val="1D6E19DE"/>
    <w:rsid w:val="1D6F05A2"/>
    <w:rsid w:val="1D776A1A"/>
    <w:rsid w:val="1D7D5FAE"/>
    <w:rsid w:val="1D8E034F"/>
    <w:rsid w:val="1D8F031B"/>
    <w:rsid w:val="1D9F3397"/>
    <w:rsid w:val="1DA03128"/>
    <w:rsid w:val="1DAA4B5A"/>
    <w:rsid w:val="1DAB0E4D"/>
    <w:rsid w:val="1DAB36DC"/>
    <w:rsid w:val="1DAC7611"/>
    <w:rsid w:val="1DAD61E5"/>
    <w:rsid w:val="1DB229FF"/>
    <w:rsid w:val="1DBA6BEA"/>
    <w:rsid w:val="1DC64D11"/>
    <w:rsid w:val="1DD22BA0"/>
    <w:rsid w:val="1DD5022C"/>
    <w:rsid w:val="1DDA669C"/>
    <w:rsid w:val="1DE21613"/>
    <w:rsid w:val="1DE7041C"/>
    <w:rsid w:val="1DE732E7"/>
    <w:rsid w:val="1DEA4A46"/>
    <w:rsid w:val="1E0212C8"/>
    <w:rsid w:val="1E0810D2"/>
    <w:rsid w:val="1E130973"/>
    <w:rsid w:val="1E150321"/>
    <w:rsid w:val="1E173FE8"/>
    <w:rsid w:val="1E1F6C1B"/>
    <w:rsid w:val="1E260A2B"/>
    <w:rsid w:val="1E321422"/>
    <w:rsid w:val="1E3609B5"/>
    <w:rsid w:val="1E366A30"/>
    <w:rsid w:val="1E391060"/>
    <w:rsid w:val="1E3C0B15"/>
    <w:rsid w:val="1E4370AB"/>
    <w:rsid w:val="1E4732AC"/>
    <w:rsid w:val="1E4800BE"/>
    <w:rsid w:val="1E4D55C2"/>
    <w:rsid w:val="1E534EE6"/>
    <w:rsid w:val="1E6409AA"/>
    <w:rsid w:val="1E693EC0"/>
    <w:rsid w:val="1E755C86"/>
    <w:rsid w:val="1E7C0CAA"/>
    <w:rsid w:val="1E87526C"/>
    <w:rsid w:val="1E8B2EEA"/>
    <w:rsid w:val="1EAD3417"/>
    <w:rsid w:val="1EAE09F3"/>
    <w:rsid w:val="1EB63831"/>
    <w:rsid w:val="1EBC6CC3"/>
    <w:rsid w:val="1EC56C6A"/>
    <w:rsid w:val="1ED94DEF"/>
    <w:rsid w:val="1EDD2CCA"/>
    <w:rsid w:val="1EDE3B19"/>
    <w:rsid w:val="1EE919B9"/>
    <w:rsid w:val="1EE94204"/>
    <w:rsid w:val="1EEA505B"/>
    <w:rsid w:val="1EEC0BCC"/>
    <w:rsid w:val="1EEC2BE2"/>
    <w:rsid w:val="1EF053F9"/>
    <w:rsid w:val="1EF91F50"/>
    <w:rsid w:val="1EFB71FE"/>
    <w:rsid w:val="1EFC59F2"/>
    <w:rsid w:val="1EFE31D0"/>
    <w:rsid w:val="1F23651D"/>
    <w:rsid w:val="1F277D18"/>
    <w:rsid w:val="1F3447B7"/>
    <w:rsid w:val="1F4D3996"/>
    <w:rsid w:val="1F5D325E"/>
    <w:rsid w:val="1F62712D"/>
    <w:rsid w:val="1F6A5361"/>
    <w:rsid w:val="1F74142E"/>
    <w:rsid w:val="1F775A66"/>
    <w:rsid w:val="1F8F22AB"/>
    <w:rsid w:val="1F9F63DD"/>
    <w:rsid w:val="1FA0333F"/>
    <w:rsid w:val="1FAD3243"/>
    <w:rsid w:val="1FB54514"/>
    <w:rsid w:val="1FBF07E2"/>
    <w:rsid w:val="1FC508AF"/>
    <w:rsid w:val="1FD1107E"/>
    <w:rsid w:val="1FDC011D"/>
    <w:rsid w:val="1FDF2515"/>
    <w:rsid w:val="1FE06004"/>
    <w:rsid w:val="1FED3518"/>
    <w:rsid w:val="1FF153A2"/>
    <w:rsid w:val="1FFB44C1"/>
    <w:rsid w:val="20050830"/>
    <w:rsid w:val="200B3898"/>
    <w:rsid w:val="20180258"/>
    <w:rsid w:val="201B404F"/>
    <w:rsid w:val="201C4A31"/>
    <w:rsid w:val="202573E3"/>
    <w:rsid w:val="2027184D"/>
    <w:rsid w:val="202C53BD"/>
    <w:rsid w:val="202C722E"/>
    <w:rsid w:val="202D542F"/>
    <w:rsid w:val="203D08B3"/>
    <w:rsid w:val="203F6AF2"/>
    <w:rsid w:val="20425BD3"/>
    <w:rsid w:val="20477B83"/>
    <w:rsid w:val="204A7066"/>
    <w:rsid w:val="204D1FA6"/>
    <w:rsid w:val="20584EDF"/>
    <w:rsid w:val="205C6819"/>
    <w:rsid w:val="205F45EB"/>
    <w:rsid w:val="20605438"/>
    <w:rsid w:val="20631BF9"/>
    <w:rsid w:val="206549A0"/>
    <w:rsid w:val="20677721"/>
    <w:rsid w:val="20731F37"/>
    <w:rsid w:val="207C3CF7"/>
    <w:rsid w:val="20860A03"/>
    <w:rsid w:val="20897496"/>
    <w:rsid w:val="209500E7"/>
    <w:rsid w:val="209C3392"/>
    <w:rsid w:val="20B40F77"/>
    <w:rsid w:val="20B86830"/>
    <w:rsid w:val="20C47A81"/>
    <w:rsid w:val="20C97808"/>
    <w:rsid w:val="20D67103"/>
    <w:rsid w:val="20E414B0"/>
    <w:rsid w:val="20EE50D4"/>
    <w:rsid w:val="20EF7300"/>
    <w:rsid w:val="20F530CD"/>
    <w:rsid w:val="210E3799"/>
    <w:rsid w:val="21110B65"/>
    <w:rsid w:val="211C6D10"/>
    <w:rsid w:val="211D0979"/>
    <w:rsid w:val="21285700"/>
    <w:rsid w:val="212D0946"/>
    <w:rsid w:val="21345BFB"/>
    <w:rsid w:val="21361997"/>
    <w:rsid w:val="213D29D3"/>
    <w:rsid w:val="213F4079"/>
    <w:rsid w:val="214424FC"/>
    <w:rsid w:val="21452025"/>
    <w:rsid w:val="21456C49"/>
    <w:rsid w:val="21472324"/>
    <w:rsid w:val="214F03B6"/>
    <w:rsid w:val="215207A4"/>
    <w:rsid w:val="2153575C"/>
    <w:rsid w:val="21603AAC"/>
    <w:rsid w:val="21654632"/>
    <w:rsid w:val="216E4CDF"/>
    <w:rsid w:val="216F20CD"/>
    <w:rsid w:val="21705617"/>
    <w:rsid w:val="21710C12"/>
    <w:rsid w:val="2173186F"/>
    <w:rsid w:val="21757A54"/>
    <w:rsid w:val="21904791"/>
    <w:rsid w:val="219D7D89"/>
    <w:rsid w:val="21A70A44"/>
    <w:rsid w:val="21AC7BB9"/>
    <w:rsid w:val="21BD699F"/>
    <w:rsid w:val="21BF192B"/>
    <w:rsid w:val="21D8736E"/>
    <w:rsid w:val="21E50F32"/>
    <w:rsid w:val="21F9037B"/>
    <w:rsid w:val="21FF3BB5"/>
    <w:rsid w:val="220012E9"/>
    <w:rsid w:val="22123565"/>
    <w:rsid w:val="22133977"/>
    <w:rsid w:val="22252239"/>
    <w:rsid w:val="222D3A59"/>
    <w:rsid w:val="223228CD"/>
    <w:rsid w:val="22390C3E"/>
    <w:rsid w:val="223A7FB3"/>
    <w:rsid w:val="223C7F98"/>
    <w:rsid w:val="22421A37"/>
    <w:rsid w:val="22557DCD"/>
    <w:rsid w:val="225D726E"/>
    <w:rsid w:val="227976E8"/>
    <w:rsid w:val="227B10E3"/>
    <w:rsid w:val="22906269"/>
    <w:rsid w:val="229D13D0"/>
    <w:rsid w:val="22A42350"/>
    <w:rsid w:val="22AF647C"/>
    <w:rsid w:val="22B0788E"/>
    <w:rsid w:val="22B34FF5"/>
    <w:rsid w:val="22B41D61"/>
    <w:rsid w:val="22B570B4"/>
    <w:rsid w:val="22B87F50"/>
    <w:rsid w:val="22BE4F7D"/>
    <w:rsid w:val="22C03114"/>
    <w:rsid w:val="22C51846"/>
    <w:rsid w:val="22D17A21"/>
    <w:rsid w:val="22D33B97"/>
    <w:rsid w:val="22D66F38"/>
    <w:rsid w:val="22D843C2"/>
    <w:rsid w:val="22E50DE5"/>
    <w:rsid w:val="22EC7018"/>
    <w:rsid w:val="22EF38FF"/>
    <w:rsid w:val="22F64D7C"/>
    <w:rsid w:val="22FA560A"/>
    <w:rsid w:val="23012E45"/>
    <w:rsid w:val="230C7319"/>
    <w:rsid w:val="2327091F"/>
    <w:rsid w:val="232F654C"/>
    <w:rsid w:val="2331349C"/>
    <w:rsid w:val="233F1FDE"/>
    <w:rsid w:val="233F444E"/>
    <w:rsid w:val="234517E5"/>
    <w:rsid w:val="234F17B9"/>
    <w:rsid w:val="235413FA"/>
    <w:rsid w:val="2359737A"/>
    <w:rsid w:val="23693D26"/>
    <w:rsid w:val="23715AD7"/>
    <w:rsid w:val="237722E3"/>
    <w:rsid w:val="237B7E1D"/>
    <w:rsid w:val="238E0142"/>
    <w:rsid w:val="23946C75"/>
    <w:rsid w:val="239478B6"/>
    <w:rsid w:val="239602EC"/>
    <w:rsid w:val="23AD5B1F"/>
    <w:rsid w:val="23D01BF9"/>
    <w:rsid w:val="23D35AA3"/>
    <w:rsid w:val="23E71DB8"/>
    <w:rsid w:val="23E862D8"/>
    <w:rsid w:val="23ED42E9"/>
    <w:rsid w:val="23EE4181"/>
    <w:rsid w:val="23F16317"/>
    <w:rsid w:val="23F64CAE"/>
    <w:rsid w:val="23FD7DFF"/>
    <w:rsid w:val="23FF33DF"/>
    <w:rsid w:val="24041FFD"/>
    <w:rsid w:val="240750AB"/>
    <w:rsid w:val="241668C0"/>
    <w:rsid w:val="241C17CD"/>
    <w:rsid w:val="241C1CFE"/>
    <w:rsid w:val="241C2EA1"/>
    <w:rsid w:val="24216E29"/>
    <w:rsid w:val="24286B52"/>
    <w:rsid w:val="243B7C8F"/>
    <w:rsid w:val="244253A4"/>
    <w:rsid w:val="24482902"/>
    <w:rsid w:val="244A4BB2"/>
    <w:rsid w:val="244D419B"/>
    <w:rsid w:val="245F60BC"/>
    <w:rsid w:val="246328EF"/>
    <w:rsid w:val="24695136"/>
    <w:rsid w:val="247170A1"/>
    <w:rsid w:val="24756059"/>
    <w:rsid w:val="24763D61"/>
    <w:rsid w:val="24782539"/>
    <w:rsid w:val="24790A4B"/>
    <w:rsid w:val="2483594F"/>
    <w:rsid w:val="24955829"/>
    <w:rsid w:val="24974391"/>
    <w:rsid w:val="249E2CA0"/>
    <w:rsid w:val="24A731EC"/>
    <w:rsid w:val="24AF081A"/>
    <w:rsid w:val="24B42C46"/>
    <w:rsid w:val="24B9656E"/>
    <w:rsid w:val="24C3545E"/>
    <w:rsid w:val="24D648F8"/>
    <w:rsid w:val="24E04268"/>
    <w:rsid w:val="24E405D6"/>
    <w:rsid w:val="24E87EAA"/>
    <w:rsid w:val="24F2630F"/>
    <w:rsid w:val="24F26A3F"/>
    <w:rsid w:val="24F87EC2"/>
    <w:rsid w:val="24FC52DD"/>
    <w:rsid w:val="24FC7990"/>
    <w:rsid w:val="25115208"/>
    <w:rsid w:val="252E4B0E"/>
    <w:rsid w:val="253A5BE0"/>
    <w:rsid w:val="254114F4"/>
    <w:rsid w:val="254374D8"/>
    <w:rsid w:val="25444247"/>
    <w:rsid w:val="25513444"/>
    <w:rsid w:val="255B1B2D"/>
    <w:rsid w:val="255D00A1"/>
    <w:rsid w:val="256149A2"/>
    <w:rsid w:val="25664A87"/>
    <w:rsid w:val="256831FA"/>
    <w:rsid w:val="2569738D"/>
    <w:rsid w:val="25772983"/>
    <w:rsid w:val="257F009F"/>
    <w:rsid w:val="25806953"/>
    <w:rsid w:val="2582184C"/>
    <w:rsid w:val="25930823"/>
    <w:rsid w:val="25956436"/>
    <w:rsid w:val="259906CF"/>
    <w:rsid w:val="2599737A"/>
    <w:rsid w:val="25A45A5A"/>
    <w:rsid w:val="25B112C4"/>
    <w:rsid w:val="25BB4D90"/>
    <w:rsid w:val="25C43578"/>
    <w:rsid w:val="25D010F0"/>
    <w:rsid w:val="25DA37D2"/>
    <w:rsid w:val="25E90563"/>
    <w:rsid w:val="25F55874"/>
    <w:rsid w:val="25FC74A4"/>
    <w:rsid w:val="26016CF6"/>
    <w:rsid w:val="26051702"/>
    <w:rsid w:val="26185957"/>
    <w:rsid w:val="261D136B"/>
    <w:rsid w:val="261F5940"/>
    <w:rsid w:val="262B6AB3"/>
    <w:rsid w:val="262C01C3"/>
    <w:rsid w:val="262F5C87"/>
    <w:rsid w:val="26310E6B"/>
    <w:rsid w:val="263333EE"/>
    <w:rsid w:val="264373FE"/>
    <w:rsid w:val="264453F1"/>
    <w:rsid w:val="26446854"/>
    <w:rsid w:val="26545530"/>
    <w:rsid w:val="265D48FA"/>
    <w:rsid w:val="26630349"/>
    <w:rsid w:val="26700A2E"/>
    <w:rsid w:val="267F2BAC"/>
    <w:rsid w:val="26852263"/>
    <w:rsid w:val="268C25A1"/>
    <w:rsid w:val="26933C5B"/>
    <w:rsid w:val="26995B7B"/>
    <w:rsid w:val="269A34CF"/>
    <w:rsid w:val="26A00E89"/>
    <w:rsid w:val="26C31B77"/>
    <w:rsid w:val="26CA6CF9"/>
    <w:rsid w:val="26DC41C2"/>
    <w:rsid w:val="26DC4467"/>
    <w:rsid w:val="26DD5D78"/>
    <w:rsid w:val="26E63E11"/>
    <w:rsid w:val="26E65B7B"/>
    <w:rsid w:val="26F1434C"/>
    <w:rsid w:val="26F245AA"/>
    <w:rsid w:val="26F60D90"/>
    <w:rsid w:val="26FC274D"/>
    <w:rsid w:val="26FD4A2F"/>
    <w:rsid w:val="270B3577"/>
    <w:rsid w:val="271522C2"/>
    <w:rsid w:val="2721008F"/>
    <w:rsid w:val="27291CAA"/>
    <w:rsid w:val="27306FD1"/>
    <w:rsid w:val="27337357"/>
    <w:rsid w:val="273E227F"/>
    <w:rsid w:val="2740031B"/>
    <w:rsid w:val="27471587"/>
    <w:rsid w:val="274939FD"/>
    <w:rsid w:val="27493BE2"/>
    <w:rsid w:val="27497861"/>
    <w:rsid w:val="27524813"/>
    <w:rsid w:val="27566F78"/>
    <w:rsid w:val="27623B7E"/>
    <w:rsid w:val="27710335"/>
    <w:rsid w:val="277A1B18"/>
    <w:rsid w:val="27807AA7"/>
    <w:rsid w:val="278C49AC"/>
    <w:rsid w:val="27927024"/>
    <w:rsid w:val="279D4903"/>
    <w:rsid w:val="27A226A5"/>
    <w:rsid w:val="27A5681B"/>
    <w:rsid w:val="27AA6511"/>
    <w:rsid w:val="27AB0F0A"/>
    <w:rsid w:val="27B53233"/>
    <w:rsid w:val="27BA2E2B"/>
    <w:rsid w:val="27BD7147"/>
    <w:rsid w:val="27CB4EFB"/>
    <w:rsid w:val="27CC6F3A"/>
    <w:rsid w:val="27DB6011"/>
    <w:rsid w:val="27DD7F3E"/>
    <w:rsid w:val="27DE1594"/>
    <w:rsid w:val="27E7510F"/>
    <w:rsid w:val="27E86D0C"/>
    <w:rsid w:val="28001DDF"/>
    <w:rsid w:val="281C27CE"/>
    <w:rsid w:val="282006E4"/>
    <w:rsid w:val="282E547B"/>
    <w:rsid w:val="28352588"/>
    <w:rsid w:val="283A39E3"/>
    <w:rsid w:val="2843565E"/>
    <w:rsid w:val="28493074"/>
    <w:rsid w:val="284A1714"/>
    <w:rsid w:val="284C10A6"/>
    <w:rsid w:val="284D078A"/>
    <w:rsid w:val="28654FF8"/>
    <w:rsid w:val="286F1807"/>
    <w:rsid w:val="288C71E7"/>
    <w:rsid w:val="288E1536"/>
    <w:rsid w:val="28AC5FA3"/>
    <w:rsid w:val="28AD5602"/>
    <w:rsid w:val="28B5472C"/>
    <w:rsid w:val="28C0026E"/>
    <w:rsid w:val="28CA3ACC"/>
    <w:rsid w:val="28D64623"/>
    <w:rsid w:val="28D97B12"/>
    <w:rsid w:val="28DA7E53"/>
    <w:rsid w:val="28E044BA"/>
    <w:rsid w:val="28E04BBF"/>
    <w:rsid w:val="28E711F1"/>
    <w:rsid w:val="28E9736B"/>
    <w:rsid w:val="28EA38D5"/>
    <w:rsid w:val="28EC257D"/>
    <w:rsid w:val="28F22C3A"/>
    <w:rsid w:val="28F6264E"/>
    <w:rsid w:val="28FA7D40"/>
    <w:rsid w:val="28FE6A9F"/>
    <w:rsid w:val="290C0767"/>
    <w:rsid w:val="290F6C95"/>
    <w:rsid w:val="2912549D"/>
    <w:rsid w:val="29153FD0"/>
    <w:rsid w:val="291E7DED"/>
    <w:rsid w:val="292B2473"/>
    <w:rsid w:val="292E129F"/>
    <w:rsid w:val="29346F27"/>
    <w:rsid w:val="29436A94"/>
    <w:rsid w:val="29494CC8"/>
    <w:rsid w:val="29516F3E"/>
    <w:rsid w:val="295609C2"/>
    <w:rsid w:val="29585E62"/>
    <w:rsid w:val="29604D73"/>
    <w:rsid w:val="297937AE"/>
    <w:rsid w:val="297F574B"/>
    <w:rsid w:val="298417CE"/>
    <w:rsid w:val="29961C2D"/>
    <w:rsid w:val="29A806F8"/>
    <w:rsid w:val="29B03FA1"/>
    <w:rsid w:val="29B41FD7"/>
    <w:rsid w:val="29B51CD8"/>
    <w:rsid w:val="29B62E29"/>
    <w:rsid w:val="29CE5EED"/>
    <w:rsid w:val="29D945DA"/>
    <w:rsid w:val="29D97CA1"/>
    <w:rsid w:val="29E06AAF"/>
    <w:rsid w:val="29E578D4"/>
    <w:rsid w:val="29F422D8"/>
    <w:rsid w:val="29FF32FF"/>
    <w:rsid w:val="2A034D2C"/>
    <w:rsid w:val="2A0B6767"/>
    <w:rsid w:val="2A0D1D3F"/>
    <w:rsid w:val="2A2010E0"/>
    <w:rsid w:val="2A242E1D"/>
    <w:rsid w:val="2A3D74EE"/>
    <w:rsid w:val="2A443FE4"/>
    <w:rsid w:val="2A4F22BA"/>
    <w:rsid w:val="2A5032E9"/>
    <w:rsid w:val="2A586DB5"/>
    <w:rsid w:val="2A6A1732"/>
    <w:rsid w:val="2A7E3229"/>
    <w:rsid w:val="2A7F7BA0"/>
    <w:rsid w:val="2A834701"/>
    <w:rsid w:val="2A83628A"/>
    <w:rsid w:val="2A854579"/>
    <w:rsid w:val="2A893FD5"/>
    <w:rsid w:val="2A8B74D8"/>
    <w:rsid w:val="2A955A31"/>
    <w:rsid w:val="2A9A366C"/>
    <w:rsid w:val="2A9C17BB"/>
    <w:rsid w:val="2AA546BA"/>
    <w:rsid w:val="2AB26D0D"/>
    <w:rsid w:val="2ABB7AD0"/>
    <w:rsid w:val="2AC4612D"/>
    <w:rsid w:val="2AD159BC"/>
    <w:rsid w:val="2ADB19D8"/>
    <w:rsid w:val="2AE17EE7"/>
    <w:rsid w:val="2AE26DC5"/>
    <w:rsid w:val="2AED276D"/>
    <w:rsid w:val="2AFA2493"/>
    <w:rsid w:val="2B1B4C0C"/>
    <w:rsid w:val="2B2D29AD"/>
    <w:rsid w:val="2B371B27"/>
    <w:rsid w:val="2B4212D5"/>
    <w:rsid w:val="2B4226A3"/>
    <w:rsid w:val="2B4A1A26"/>
    <w:rsid w:val="2B4C5398"/>
    <w:rsid w:val="2B4D566C"/>
    <w:rsid w:val="2B771A9A"/>
    <w:rsid w:val="2B7F4072"/>
    <w:rsid w:val="2B8356CA"/>
    <w:rsid w:val="2B942B9B"/>
    <w:rsid w:val="2B9D0726"/>
    <w:rsid w:val="2BAA065B"/>
    <w:rsid w:val="2BAB6F89"/>
    <w:rsid w:val="2BAF4D48"/>
    <w:rsid w:val="2BB161E9"/>
    <w:rsid w:val="2BB17C98"/>
    <w:rsid w:val="2BB53423"/>
    <w:rsid w:val="2BB614DF"/>
    <w:rsid w:val="2BB7070C"/>
    <w:rsid w:val="2BBF17D5"/>
    <w:rsid w:val="2BC92150"/>
    <w:rsid w:val="2BDD4F2D"/>
    <w:rsid w:val="2BE94D5A"/>
    <w:rsid w:val="2C01471C"/>
    <w:rsid w:val="2C1168D0"/>
    <w:rsid w:val="2C24507B"/>
    <w:rsid w:val="2C247073"/>
    <w:rsid w:val="2C2C7F82"/>
    <w:rsid w:val="2C347C68"/>
    <w:rsid w:val="2C4B19AB"/>
    <w:rsid w:val="2C5A2FCA"/>
    <w:rsid w:val="2C7343FE"/>
    <w:rsid w:val="2C7D1C3D"/>
    <w:rsid w:val="2C821B92"/>
    <w:rsid w:val="2C950140"/>
    <w:rsid w:val="2CA81DB3"/>
    <w:rsid w:val="2CAF1314"/>
    <w:rsid w:val="2CB210B7"/>
    <w:rsid w:val="2CB21C6E"/>
    <w:rsid w:val="2CC23351"/>
    <w:rsid w:val="2CC25DE6"/>
    <w:rsid w:val="2CC35E7E"/>
    <w:rsid w:val="2CC50D50"/>
    <w:rsid w:val="2CC721BF"/>
    <w:rsid w:val="2CCE369F"/>
    <w:rsid w:val="2CED4B14"/>
    <w:rsid w:val="2CEF4989"/>
    <w:rsid w:val="2CEF7C10"/>
    <w:rsid w:val="2CF41514"/>
    <w:rsid w:val="2CFF3422"/>
    <w:rsid w:val="2D0632DF"/>
    <w:rsid w:val="2D07566E"/>
    <w:rsid w:val="2D106B86"/>
    <w:rsid w:val="2D1D7363"/>
    <w:rsid w:val="2D1F2D15"/>
    <w:rsid w:val="2D27681C"/>
    <w:rsid w:val="2D41534B"/>
    <w:rsid w:val="2D4C6BB3"/>
    <w:rsid w:val="2D5871AD"/>
    <w:rsid w:val="2D6107CA"/>
    <w:rsid w:val="2D642EA2"/>
    <w:rsid w:val="2D727AC6"/>
    <w:rsid w:val="2D9115C5"/>
    <w:rsid w:val="2D957AA2"/>
    <w:rsid w:val="2D992BB8"/>
    <w:rsid w:val="2D9A20AE"/>
    <w:rsid w:val="2DA074A3"/>
    <w:rsid w:val="2DA51BB8"/>
    <w:rsid w:val="2DA54DF7"/>
    <w:rsid w:val="2DAD00C8"/>
    <w:rsid w:val="2DC04798"/>
    <w:rsid w:val="2DC13D2B"/>
    <w:rsid w:val="2DD03DA7"/>
    <w:rsid w:val="2DD34FD1"/>
    <w:rsid w:val="2DD41A8A"/>
    <w:rsid w:val="2DD715FB"/>
    <w:rsid w:val="2DFC5E3F"/>
    <w:rsid w:val="2E010C6B"/>
    <w:rsid w:val="2E027C43"/>
    <w:rsid w:val="2E2053C3"/>
    <w:rsid w:val="2E326783"/>
    <w:rsid w:val="2E3859E0"/>
    <w:rsid w:val="2E3B296E"/>
    <w:rsid w:val="2E422920"/>
    <w:rsid w:val="2E4272A0"/>
    <w:rsid w:val="2E4E26D0"/>
    <w:rsid w:val="2E5C04A0"/>
    <w:rsid w:val="2E796D3D"/>
    <w:rsid w:val="2E7D07E8"/>
    <w:rsid w:val="2E8673D1"/>
    <w:rsid w:val="2E961136"/>
    <w:rsid w:val="2EBA2C08"/>
    <w:rsid w:val="2EC45EF7"/>
    <w:rsid w:val="2ECE227E"/>
    <w:rsid w:val="2ED55619"/>
    <w:rsid w:val="2EDF5F6E"/>
    <w:rsid w:val="2EE470C3"/>
    <w:rsid w:val="2EE83973"/>
    <w:rsid w:val="2EF9533F"/>
    <w:rsid w:val="2F0063F2"/>
    <w:rsid w:val="2F101031"/>
    <w:rsid w:val="2F102551"/>
    <w:rsid w:val="2F141ECB"/>
    <w:rsid w:val="2F192719"/>
    <w:rsid w:val="2F2500E2"/>
    <w:rsid w:val="2F3C1961"/>
    <w:rsid w:val="2F426244"/>
    <w:rsid w:val="2F47706D"/>
    <w:rsid w:val="2F477631"/>
    <w:rsid w:val="2F5F67B1"/>
    <w:rsid w:val="2F637D31"/>
    <w:rsid w:val="2F6F6C08"/>
    <w:rsid w:val="2F7669CF"/>
    <w:rsid w:val="2F78152A"/>
    <w:rsid w:val="2F7C08F9"/>
    <w:rsid w:val="2F7D0519"/>
    <w:rsid w:val="2F83261A"/>
    <w:rsid w:val="2F9C697D"/>
    <w:rsid w:val="2F9C76B9"/>
    <w:rsid w:val="2FA735D2"/>
    <w:rsid w:val="2FAC069A"/>
    <w:rsid w:val="2FAD5D5C"/>
    <w:rsid w:val="2FB00C0E"/>
    <w:rsid w:val="2FD25D31"/>
    <w:rsid w:val="2FD9293D"/>
    <w:rsid w:val="2FDE69A9"/>
    <w:rsid w:val="2FEB4365"/>
    <w:rsid w:val="2FF841A1"/>
    <w:rsid w:val="2FF94041"/>
    <w:rsid w:val="2FFC1AA9"/>
    <w:rsid w:val="3001084F"/>
    <w:rsid w:val="300336AF"/>
    <w:rsid w:val="300631CD"/>
    <w:rsid w:val="300F6B30"/>
    <w:rsid w:val="301C38E9"/>
    <w:rsid w:val="30200483"/>
    <w:rsid w:val="302167D1"/>
    <w:rsid w:val="302B7C75"/>
    <w:rsid w:val="303B18A9"/>
    <w:rsid w:val="304B0136"/>
    <w:rsid w:val="304E3C62"/>
    <w:rsid w:val="304E7940"/>
    <w:rsid w:val="305548E0"/>
    <w:rsid w:val="30573760"/>
    <w:rsid w:val="305A5D15"/>
    <w:rsid w:val="305C7260"/>
    <w:rsid w:val="30621516"/>
    <w:rsid w:val="30646AFB"/>
    <w:rsid w:val="30716294"/>
    <w:rsid w:val="30937F68"/>
    <w:rsid w:val="309D5241"/>
    <w:rsid w:val="30A0031A"/>
    <w:rsid w:val="30AA79E3"/>
    <w:rsid w:val="30B32FFE"/>
    <w:rsid w:val="30B4471E"/>
    <w:rsid w:val="30C05AB7"/>
    <w:rsid w:val="30C1264E"/>
    <w:rsid w:val="30D002B9"/>
    <w:rsid w:val="30D96D8D"/>
    <w:rsid w:val="30DA2591"/>
    <w:rsid w:val="30DC0DFB"/>
    <w:rsid w:val="30DF5CBE"/>
    <w:rsid w:val="30E10363"/>
    <w:rsid w:val="30E50474"/>
    <w:rsid w:val="30E71452"/>
    <w:rsid w:val="30F85F32"/>
    <w:rsid w:val="30FE32FE"/>
    <w:rsid w:val="310D4DE1"/>
    <w:rsid w:val="31243996"/>
    <w:rsid w:val="31346E15"/>
    <w:rsid w:val="313666CD"/>
    <w:rsid w:val="313A03FD"/>
    <w:rsid w:val="313B40AA"/>
    <w:rsid w:val="31442C89"/>
    <w:rsid w:val="31454481"/>
    <w:rsid w:val="31491327"/>
    <w:rsid w:val="314C1309"/>
    <w:rsid w:val="314F6DDF"/>
    <w:rsid w:val="31607BEC"/>
    <w:rsid w:val="3165591D"/>
    <w:rsid w:val="316A6CEB"/>
    <w:rsid w:val="316C1B74"/>
    <w:rsid w:val="316D5522"/>
    <w:rsid w:val="317321F3"/>
    <w:rsid w:val="317C6F57"/>
    <w:rsid w:val="317F60F2"/>
    <w:rsid w:val="318C61C9"/>
    <w:rsid w:val="31967F6B"/>
    <w:rsid w:val="319A3540"/>
    <w:rsid w:val="319B1C65"/>
    <w:rsid w:val="319C381D"/>
    <w:rsid w:val="31A26DBD"/>
    <w:rsid w:val="31BE073A"/>
    <w:rsid w:val="31BE0AF5"/>
    <w:rsid w:val="31D148E6"/>
    <w:rsid w:val="31D42C71"/>
    <w:rsid w:val="31DB7836"/>
    <w:rsid w:val="31E57464"/>
    <w:rsid w:val="31F8563B"/>
    <w:rsid w:val="31F93EC3"/>
    <w:rsid w:val="320F63B0"/>
    <w:rsid w:val="32175AAA"/>
    <w:rsid w:val="321F041B"/>
    <w:rsid w:val="32223EC9"/>
    <w:rsid w:val="32227A5E"/>
    <w:rsid w:val="32300527"/>
    <w:rsid w:val="32341D2A"/>
    <w:rsid w:val="324A6CCF"/>
    <w:rsid w:val="32546D64"/>
    <w:rsid w:val="32793605"/>
    <w:rsid w:val="327D37D4"/>
    <w:rsid w:val="32817429"/>
    <w:rsid w:val="3287167F"/>
    <w:rsid w:val="328E049B"/>
    <w:rsid w:val="329174A2"/>
    <w:rsid w:val="32985EDC"/>
    <w:rsid w:val="32990513"/>
    <w:rsid w:val="32A243FA"/>
    <w:rsid w:val="32A32E34"/>
    <w:rsid w:val="32A83171"/>
    <w:rsid w:val="32AA7896"/>
    <w:rsid w:val="32AE7C54"/>
    <w:rsid w:val="32B64990"/>
    <w:rsid w:val="32BF4B25"/>
    <w:rsid w:val="32C1089D"/>
    <w:rsid w:val="32C374BA"/>
    <w:rsid w:val="32C858D3"/>
    <w:rsid w:val="32CB48E2"/>
    <w:rsid w:val="32D228C1"/>
    <w:rsid w:val="32D35973"/>
    <w:rsid w:val="32D71C14"/>
    <w:rsid w:val="32E05715"/>
    <w:rsid w:val="32EC0775"/>
    <w:rsid w:val="32F25DD7"/>
    <w:rsid w:val="32F44F6F"/>
    <w:rsid w:val="33082B7E"/>
    <w:rsid w:val="330C6E88"/>
    <w:rsid w:val="331B1DC4"/>
    <w:rsid w:val="331E5C93"/>
    <w:rsid w:val="3325236F"/>
    <w:rsid w:val="332A457E"/>
    <w:rsid w:val="333571B4"/>
    <w:rsid w:val="33385A46"/>
    <w:rsid w:val="33463BE7"/>
    <w:rsid w:val="334A26CA"/>
    <w:rsid w:val="334A4F0C"/>
    <w:rsid w:val="334E6767"/>
    <w:rsid w:val="335270F4"/>
    <w:rsid w:val="33611CB3"/>
    <w:rsid w:val="336343B8"/>
    <w:rsid w:val="33697A65"/>
    <w:rsid w:val="336E06E8"/>
    <w:rsid w:val="3389485E"/>
    <w:rsid w:val="338E2F45"/>
    <w:rsid w:val="33977131"/>
    <w:rsid w:val="33A23AE5"/>
    <w:rsid w:val="33AB5DD1"/>
    <w:rsid w:val="33AC541E"/>
    <w:rsid w:val="33B268A3"/>
    <w:rsid w:val="33C5761B"/>
    <w:rsid w:val="33DA4C3F"/>
    <w:rsid w:val="33EC5E4A"/>
    <w:rsid w:val="33F23F3F"/>
    <w:rsid w:val="33F45174"/>
    <w:rsid w:val="33F73EAC"/>
    <w:rsid w:val="33F84162"/>
    <w:rsid w:val="33FA0C35"/>
    <w:rsid w:val="33FA226B"/>
    <w:rsid w:val="33FE0F6E"/>
    <w:rsid w:val="340A7A25"/>
    <w:rsid w:val="340D6425"/>
    <w:rsid w:val="34107C17"/>
    <w:rsid w:val="34115E36"/>
    <w:rsid w:val="3416239D"/>
    <w:rsid w:val="34234796"/>
    <w:rsid w:val="3425351D"/>
    <w:rsid w:val="34457040"/>
    <w:rsid w:val="344F186D"/>
    <w:rsid w:val="3468298A"/>
    <w:rsid w:val="34723D82"/>
    <w:rsid w:val="348F16A6"/>
    <w:rsid w:val="349712A5"/>
    <w:rsid w:val="34A75723"/>
    <w:rsid w:val="34AC38F2"/>
    <w:rsid w:val="34C75CD8"/>
    <w:rsid w:val="34CF0894"/>
    <w:rsid w:val="34D70725"/>
    <w:rsid w:val="34DE5DD8"/>
    <w:rsid w:val="34E20451"/>
    <w:rsid w:val="34E245B1"/>
    <w:rsid w:val="35002E80"/>
    <w:rsid w:val="35036D30"/>
    <w:rsid w:val="35086C8A"/>
    <w:rsid w:val="35132B93"/>
    <w:rsid w:val="351541E7"/>
    <w:rsid w:val="3516232D"/>
    <w:rsid w:val="351654C7"/>
    <w:rsid w:val="351A06BA"/>
    <w:rsid w:val="351B7445"/>
    <w:rsid w:val="351C4716"/>
    <w:rsid w:val="351F4A67"/>
    <w:rsid w:val="35221A9E"/>
    <w:rsid w:val="352A409E"/>
    <w:rsid w:val="3534634E"/>
    <w:rsid w:val="35434105"/>
    <w:rsid w:val="35500253"/>
    <w:rsid w:val="355E6A9D"/>
    <w:rsid w:val="35620414"/>
    <w:rsid w:val="35711604"/>
    <w:rsid w:val="35717EB7"/>
    <w:rsid w:val="35736D6B"/>
    <w:rsid w:val="35792962"/>
    <w:rsid w:val="357C3180"/>
    <w:rsid w:val="357D52C9"/>
    <w:rsid w:val="358138A5"/>
    <w:rsid w:val="35866594"/>
    <w:rsid w:val="35987515"/>
    <w:rsid w:val="35A21F02"/>
    <w:rsid w:val="35A82CD0"/>
    <w:rsid w:val="35AE3B55"/>
    <w:rsid w:val="35B52F80"/>
    <w:rsid w:val="35CD5865"/>
    <w:rsid w:val="35D5459C"/>
    <w:rsid w:val="35D9308C"/>
    <w:rsid w:val="35E62429"/>
    <w:rsid w:val="35E637F3"/>
    <w:rsid w:val="35F22373"/>
    <w:rsid w:val="35F35C84"/>
    <w:rsid w:val="35FC0783"/>
    <w:rsid w:val="35FE33A8"/>
    <w:rsid w:val="360E56D6"/>
    <w:rsid w:val="3610034B"/>
    <w:rsid w:val="361421EC"/>
    <w:rsid w:val="36200D59"/>
    <w:rsid w:val="36234FE9"/>
    <w:rsid w:val="362550F9"/>
    <w:rsid w:val="36264504"/>
    <w:rsid w:val="363B3B80"/>
    <w:rsid w:val="363F15B2"/>
    <w:rsid w:val="36486522"/>
    <w:rsid w:val="365712D7"/>
    <w:rsid w:val="36574425"/>
    <w:rsid w:val="366B31C8"/>
    <w:rsid w:val="366B6DC1"/>
    <w:rsid w:val="367701D1"/>
    <w:rsid w:val="3687796D"/>
    <w:rsid w:val="36890085"/>
    <w:rsid w:val="368A695B"/>
    <w:rsid w:val="36963045"/>
    <w:rsid w:val="369872A1"/>
    <w:rsid w:val="36A44369"/>
    <w:rsid w:val="36AC1412"/>
    <w:rsid w:val="36AC4B78"/>
    <w:rsid w:val="36B05ECE"/>
    <w:rsid w:val="36B23E40"/>
    <w:rsid w:val="36B926D9"/>
    <w:rsid w:val="36B934D6"/>
    <w:rsid w:val="36BF5AB5"/>
    <w:rsid w:val="36C0042D"/>
    <w:rsid w:val="36C90964"/>
    <w:rsid w:val="36CE35E4"/>
    <w:rsid w:val="36D04E22"/>
    <w:rsid w:val="36DF3E1C"/>
    <w:rsid w:val="36E02490"/>
    <w:rsid w:val="36E27BF8"/>
    <w:rsid w:val="36EC6C82"/>
    <w:rsid w:val="36EF4411"/>
    <w:rsid w:val="36F628FD"/>
    <w:rsid w:val="36F92AAC"/>
    <w:rsid w:val="37090CD6"/>
    <w:rsid w:val="371362D3"/>
    <w:rsid w:val="37205111"/>
    <w:rsid w:val="37205599"/>
    <w:rsid w:val="373104F0"/>
    <w:rsid w:val="373C022C"/>
    <w:rsid w:val="373F7FE3"/>
    <w:rsid w:val="374B7AAC"/>
    <w:rsid w:val="375E61C6"/>
    <w:rsid w:val="376429D6"/>
    <w:rsid w:val="37644ED8"/>
    <w:rsid w:val="37652FA3"/>
    <w:rsid w:val="3773730C"/>
    <w:rsid w:val="377919C6"/>
    <w:rsid w:val="377B7EDC"/>
    <w:rsid w:val="377E00A1"/>
    <w:rsid w:val="37821367"/>
    <w:rsid w:val="37825EA6"/>
    <w:rsid w:val="37880770"/>
    <w:rsid w:val="37947A42"/>
    <w:rsid w:val="37AD4A49"/>
    <w:rsid w:val="37BD107A"/>
    <w:rsid w:val="37CD55D9"/>
    <w:rsid w:val="37E25858"/>
    <w:rsid w:val="37E263F6"/>
    <w:rsid w:val="37E76F0F"/>
    <w:rsid w:val="37EE15D4"/>
    <w:rsid w:val="37F479DA"/>
    <w:rsid w:val="38001A65"/>
    <w:rsid w:val="3808667B"/>
    <w:rsid w:val="38162B6F"/>
    <w:rsid w:val="381A7486"/>
    <w:rsid w:val="382F433C"/>
    <w:rsid w:val="38360444"/>
    <w:rsid w:val="38414BC2"/>
    <w:rsid w:val="38502CAF"/>
    <w:rsid w:val="38510F63"/>
    <w:rsid w:val="385B72F4"/>
    <w:rsid w:val="38601BBA"/>
    <w:rsid w:val="38735AAF"/>
    <w:rsid w:val="3874709C"/>
    <w:rsid w:val="3878064D"/>
    <w:rsid w:val="387A55B7"/>
    <w:rsid w:val="38883BC0"/>
    <w:rsid w:val="388F2300"/>
    <w:rsid w:val="389A591A"/>
    <w:rsid w:val="38A06A59"/>
    <w:rsid w:val="38A60E30"/>
    <w:rsid w:val="38AB10D2"/>
    <w:rsid w:val="38AF1C53"/>
    <w:rsid w:val="38BB7A36"/>
    <w:rsid w:val="38E23537"/>
    <w:rsid w:val="38EF77E6"/>
    <w:rsid w:val="38F34FAE"/>
    <w:rsid w:val="38F63D3D"/>
    <w:rsid w:val="38F763E6"/>
    <w:rsid w:val="39055190"/>
    <w:rsid w:val="39065425"/>
    <w:rsid w:val="390A2D01"/>
    <w:rsid w:val="390F0A0E"/>
    <w:rsid w:val="39114A51"/>
    <w:rsid w:val="39145DBD"/>
    <w:rsid w:val="391F79E2"/>
    <w:rsid w:val="392004B3"/>
    <w:rsid w:val="392C7619"/>
    <w:rsid w:val="393E7555"/>
    <w:rsid w:val="393F47ED"/>
    <w:rsid w:val="393F65F2"/>
    <w:rsid w:val="39404179"/>
    <w:rsid w:val="3941665C"/>
    <w:rsid w:val="394B3B3A"/>
    <w:rsid w:val="394D6D12"/>
    <w:rsid w:val="39634E2A"/>
    <w:rsid w:val="3967553B"/>
    <w:rsid w:val="39695086"/>
    <w:rsid w:val="397A1029"/>
    <w:rsid w:val="39817E6A"/>
    <w:rsid w:val="399A553A"/>
    <w:rsid w:val="399B45BC"/>
    <w:rsid w:val="39A94C5C"/>
    <w:rsid w:val="39C2352C"/>
    <w:rsid w:val="39C7489E"/>
    <w:rsid w:val="39D073A2"/>
    <w:rsid w:val="39D61B0C"/>
    <w:rsid w:val="39DC1C59"/>
    <w:rsid w:val="39DF1452"/>
    <w:rsid w:val="39E67B68"/>
    <w:rsid w:val="39F379B8"/>
    <w:rsid w:val="39FC76F8"/>
    <w:rsid w:val="3A002C42"/>
    <w:rsid w:val="3A0517B8"/>
    <w:rsid w:val="3A0719C4"/>
    <w:rsid w:val="3A0B6B8D"/>
    <w:rsid w:val="3A0D5E3B"/>
    <w:rsid w:val="3A1A7360"/>
    <w:rsid w:val="3A1E7193"/>
    <w:rsid w:val="3A2075EE"/>
    <w:rsid w:val="3A3820F8"/>
    <w:rsid w:val="3A43404C"/>
    <w:rsid w:val="3A480DD3"/>
    <w:rsid w:val="3A485173"/>
    <w:rsid w:val="3A4A347B"/>
    <w:rsid w:val="3A624DB4"/>
    <w:rsid w:val="3A6A7EFC"/>
    <w:rsid w:val="3A6F475B"/>
    <w:rsid w:val="3A7015C4"/>
    <w:rsid w:val="3A7135F2"/>
    <w:rsid w:val="3A7A067E"/>
    <w:rsid w:val="3A857F19"/>
    <w:rsid w:val="3A8B05C4"/>
    <w:rsid w:val="3A9E14C4"/>
    <w:rsid w:val="3AB1461F"/>
    <w:rsid w:val="3AC10DF2"/>
    <w:rsid w:val="3AC20B0E"/>
    <w:rsid w:val="3AC307A8"/>
    <w:rsid w:val="3ACC2EB1"/>
    <w:rsid w:val="3AF743AA"/>
    <w:rsid w:val="3AF94DD7"/>
    <w:rsid w:val="3AFD5931"/>
    <w:rsid w:val="3AFE40DD"/>
    <w:rsid w:val="3B094BFE"/>
    <w:rsid w:val="3B1944BC"/>
    <w:rsid w:val="3B1A70D1"/>
    <w:rsid w:val="3B1B1D47"/>
    <w:rsid w:val="3B1E51EE"/>
    <w:rsid w:val="3B2A417D"/>
    <w:rsid w:val="3B487BFE"/>
    <w:rsid w:val="3B5A6294"/>
    <w:rsid w:val="3B5E4E9C"/>
    <w:rsid w:val="3B6C6466"/>
    <w:rsid w:val="3B7371EE"/>
    <w:rsid w:val="3B7A1394"/>
    <w:rsid w:val="3B8546A4"/>
    <w:rsid w:val="3B856303"/>
    <w:rsid w:val="3B8E75F1"/>
    <w:rsid w:val="3B996DCF"/>
    <w:rsid w:val="3B9D77DD"/>
    <w:rsid w:val="3BA06A05"/>
    <w:rsid w:val="3BA16A88"/>
    <w:rsid w:val="3BC2475E"/>
    <w:rsid w:val="3BC606A0"/>
    <w:rsid w:val="3BCF54E5"/>
    <w:rsid w:val="3BD14453"/>
    <w:rsid w:val="3BE32D3C"/>
    <w:rsid w:val="3BE541EB"/>
    <w:rsid w:val="3BEC6400"/>
    <w:rsid w:val="3BFA2D26"/>
    <w:rsid w:val="3C1322A8"/>
    <w:rsid w:val="3C161989"/>
    <w:rsid w:val="3C1F14F1"/>
    <w:rsid w:val="3C2440DE"/>
    <w:rsid w:val="3C2F480C"/>
    <w:rsid w:val="3C301ED0"/>
    <w:rsid w:val="3C43654F"/>
    <w:rsid w:val="3C455D3E"/>
    <w:rsid w:val="3C46179E"/>
    <w:rsid w:val="3C553729"/>
    <w:rsid w:val="3C594574"/>
    <w:rsid w:val="3C5957D0"/>
    <w:rsid w:val="3C621778"/>
    <w:rsid w:val="3C666F24"/>
    <w:rsid w:val="3C7030B7"/>
    <w:rsid w:val="3C8122A7"/>
    <w:rsid w:val="3C8143EF"/>
    <w:rsid w:val="3C891FA3"/>
    <w:rsid w:val="3C8A34AB"/>
    <w:rsid w:val="3C961539"/>
    <w:rsid w:val="3C9B5EC0"/>
    <w:rsid w:val="3CA06BC1"/>
    <w:rsid w:val="3CA10317"/>
    <w:rsid w:val="3CAB091F"/>
    <w:rsid w:val="3CB3399E"/>
    <w:rsid w:val="3CBC5138"/>
    <w:rsid w:val="3CC5635C"/>
    <w:rsid w:val="3CD248B1"/>
    <w:rsid w:val="3CD33563"/>
    <w:rsid w:val="3CD96CEC"/>
    <w:rsid w:val="3CDD23EB"/>
    <w:rsid w:val="3CE0581A"/>
    <w:rsid w:val="3CF72178"/>
    <w:rsid w:val="3CFF55C9"/>
    <w:rsid w:val="3D0B4122"/>
    <w:rsid w:val="3D134D04"/>
    <w:rsid w:val="3D1660B4"/>
    <w:rsid w:val="3D2B0BA3"/>
    <w:rsid w:val="3D305B68"/>
    <w:rsid w:val="3D4854D2"/>
    <w:rsid w:val="3D566661"/>
    <w:rsid w:val="3D577AE1"/>
    <w:rsid w:val="3D5A3634"/>
    <w:rsid w:val="3D6C6381"/>
    <w:rsid w:val="3D7C14F0"/>
    <w:rsid w:val="3D7F0325"/>
    <w:rsid w:val="3D852A99"/>
    <w:rsid w:val="3D8726E3"/>
    <w:rsid w:val="3D881152"/>
    <w:rsid w:val="3D8E7EF8"/>
    <w:rsid w:val="3D9900BE"/>
    <w:rsid w:val="3DAC51CD"/>
    <w:rsid w:val="3DB607BB"/>
    <w:rsid w:val="3DB7510A"/>
    <w:rsid w:val="3DC37AC4"/>
    <w:rsid w:val="3DC45769"/>
    <w:rsid w:val="3DC75867"/>
    <w:rsid w:val="3DC76533"/>
    <w:rsid w:val="3DC919B2"/>
    <w:rsid w:val="3DD42733"/>
    <w:rsid w:val="3DD969C0"/>
    <w:rsid w:val="3DE70F6C"/>
    <w:rsid w:val="3DF71AE8"/>
    <w:rsid w:val="3E0531E6"/>
    <w:rsid w:val="3E06185A"/>
    <w:rsid w:val="3E081DBC"/>
    <w:rsid w:val="3E111E45"/>
    <w:rsid w:val="3E1941BF"/>
    <w:rsid w:val="3E1E3029"/>
    <w:rsid w:val="3E217E66"/>
    <w:rsid w:val="3E284B78"/>
    <w:rsid w:val="3E390124"/>
    <w:rsid w:val="3E393B42"/>
    <w:rsid w:val="3E593BB7"/>
    <w:rsid w:val="3E71626D"/>
    <w:rsid w:val="3E747D90"/>
    <w:rsid w:val="3E765C7F"/>
    <w:rsid w:val="3E7835E5"/>
    <w:rsid w:val="3E796F58"/>
    <w:rsid w:val="3E825CB9"/>
    <w:rsid w:val="3E9C6B44"/>
    <w:rsid w:val="3EA25EB7"/>
    <w:rsid w:val="3EA33702"/>
    <w:rsid w:val="3EA75583"/>
    <w:rsid w:val="3EB0286A"/>
    <w:rsid w:val="3EBF37D4"/>
    <w:rsid w:val="3ED24775"/>
    <w:rsid w:val="3ED24E20"/>
    <w:rsid w:val="3EDB7803"/>
    <w:rsid w:val="3EDC0D16"/>
    <w:rsid w:val="3EDC798F"/>
    <w:rsid w:val="3EDF08B2"/>
    <w:rsid w:val="3EE64A44"/>
    <w:rsid w:val="3EE811C2"/>
    <w:rsid w:val="3EEA0880"/>
    <w:rsid w:val="3EEB26F1"/>
    <w:rsid w:val="3EF25FA6"/>
    <w:rsid w:val="3F017FD2"/>
    <w:rsid w:val="3F0222A2"/>
    <w:rsid w:val="3F044CF3"/>
    <w:rsid w:val="3F125A9A"/>
    <w:rsid w:val="3F1C6344"/>
    <w:rsid w:val="3F1F678B"/>
    <w:rsid w:val="3F254E61"/>
    <w:rsid w:val="3F2A5991"/>
    <w:rsid w:val="3F2B76CD"/>
    <w:rsid w:val="3F2F3C14"/>
    <w:rsid w:val="3F4150D3"/>
    <w:rsid w:val="3F49778D"/>
    <w:rsid w:val="3F4A0A17"/>
    <w:rsid w:val="3F4A7F61"/>
    <w:rsid w:val="3F555C31"/>
    <w:rsid w:val="3F5976B6"/>
    <w:rsid w:val="3F663B58"/>
    <w:rsid w:val="3F66440B"/>
    <w:rsid w:val="3F670CB2"/>
    <w:rsid w:val="3F7202E4"/>
    <w:rsid w:val="3F9625DF"/>
    <w:rsid w:val="3F981365"/>
    <w:rsid w:val="3F991E9D"/>
    <w:rsid w:val="3FCA4235"/>
    <w:rsid w:val="3FD812B5"/>
    <w:rsid w:val="3FEB3A31"/>
    <w:rsid w:val="3FEE413F"/>
    <w:rsid w:val="3FF578FD"/>
    <w:rsid w:val="3FF67A30"/>
    <w:rsid w:val="40084195"/>
    <w:rsid w:val="40111FE8"/>
    <w:rsid w:val="402C6C26"/>
    <w:rsid w:val="40341AE6"/>
    <w:rsid w:val="40486BCE"/>
    <w:rsid w:val="404D1756"/>
    <w:rsid w:val="404D223E"/>
    <w:rsid w:val="40573F77"/>
    <w:rsid w:val="405E2769"/>
    <w:rsid w:val="40633842"/>
    <w:rsid w:val="40816B86"/>
    <w:rsid w:val="40840D50"/>
    <w:rsid w:val="40857CE9"/>
    <w:rsid w:val="408B68EA"/>
    <w:rsid w:val="408F3CCA"/>
    <w:rsid w:val="40A06FFE"/>
    <w:rsid w:val="40AD2808"/>
    <w:rsid w:val="40B717BD"/>
    <w:rsid w:val="40D237DF"/>
    <w:rsid w:val="40D84160"/>
    <w:rsid w:val="40E567E4"/>
    <w:rsid w:val="40FF1D71"/>
    <w:rsid w:val="411167DF"/>
    <w:rsid w:val="411B5332"/>
    <w:rsid w:val="411F2F44"/>
    <w:rsid w:val="41216A72"/>
    <w:rsid w:val="41216E7E"/>
    <w:rsid w:val="41282D76"/>
    <w:rsid w:val="413703A5"/>
    <w:rsid w:val="413E1E15"/>
    <w:rsid w:val="41500B0A"/>
    <w:rsid w:val="41620A81"/>
    <w:rsid w:val="41646C97"/>
    <w:rsid w:val="417438AE"/>
    <w:rsid w:val="41852AD7"/>
    <w:rsid w:val="418E1632"/>
    <w:rsid w:val="41950210"/>
    <w:rsid w:val="41A40348"/>
    <w:rsid w:val="41A8245D"/>
    <w:rsid w:val="41AA204A"/>
    <w:rsid w:val="41AD4F50"/>
    <w:rsid w:val="41B34ECD"/>
    <w:rsid w:val="41BD1835"/>
    <w:rsid w:val="41BE1B44"/>
    <w:rsid w:val="41BE7010"/>
    <w:rsid w:val="41BF4831"/>
    <w:rsid w:val="41C875D5"/>
    <w:rsid w:val="41C93E91"/>
    <w:rsid w:val="41D62565"/>
    <w:rsid w:val="41E2324C"/>
    <w:rsid w:val="41EA4094"/>
    <w:rsid w:val="41EA5C7B"/>
    <w:rsid w:val="41EE3C05"/>
    <w:rsid w:val="41F308C3"/>
    <w:rsid w:val="41F85A57"/>
    <w:rsid w:val="420E4C80"/>
    <w:rsid w:val="42131727"/>
    <w:rsid w:val="422320B2"/>
    <w:rsid w:val="422B3D00"/>
    <w:rsid w:val="42334768"/>
    <w:rsid w:val="42407E27"/>
    <w:rsid w:val="42502BC4"/>
    <w:rsid w:val="42525008"/>
    <w:rsid w:val="425E0B29"/>
    <w:rsid w:val="42607C97"/>
    <w:rsid w:val="4267464F"/>
    <w:rsid w:val="426D30BC"/>
    <w:rsid w:val="42710087"/>
    <w:rsid w:val="42881265"/>
    <w:rsid w:val="428C5B8B"/>
    <w:rsid w:val="429169BF"/>
    <w:rsid w:val="4297022F"/>
    <w:rsid w:val="4298774B"/>
    <w:rsid w:val="42A41CE2"/>
    <w:rsid w:val="42B11578"/>
    <w:rsid w:val="42B745D5"/>
    <w:rsid w:val="42C857A4"/>
    <w:rsid w:val="42D21E4D"/>
    <w:rsid w:val="42D309D0"/>
    <w:rsid w:val="42D75A9E"/>
    <w:rsid w:val="42DB7DA3"/>
    <w:rsid w:val="42DE09C5"/>
    <w:rsid w:val="42DF57DE"/>
    <w:rsid w:val="42E25E84"/>
    <w:rsid w:val="42F06F5C"/>
    <w:rsid w:val="42F46297"/>
    <w:rsid w:val="42F8663C"/>
    <w:rsid w:val="42FB0CD3"/>
    <w:rsid w:val="43025C4B"/>
    <w:rsid w:val="431A289D"/>
    <w:rsid w:val="4324263D"/>
    <w:rsid w:val="43282F11"/>
    <w:rsid w:val="432C5A31"/>
    <w:rsid w:val="432C7811"/>
    <w:rsid w:val="432F1E46"/>
    <w:rsid w:val="433A220E"/>
    <w:rsid w:val="433B6154"/>
    <w:rsid w:val="433D5097"/>
    <w:rsid w:val="43417274"/>
    <w:rsid w:val="435E1984"/>
    <w:rsid w:val="43635FD6"/>
    <w:rsid w:val="437C2D6B"/>
    <w:rsid w:val="4382422E"/>
    <w:rsid w:val="43851473"/>
    <w:rsid w:val="438603DB"/>
    <w:rsid w:val="439824DB"/>
    <w:rsid w:val="439E4565"/>
    <w:rsid w:val="43A41CE5"/>
    <w:rsid w:val="43AB25F4"/>
    <w:rsid w:val="43AE6DA7"/>
    <w:rsid w:val="43CB3698"/>
    <w:rsid w:val="43D112C2"/>
    <w:rsid w:val="43DA76E6"/>
    <w:rsid w:val="43E632A6"/>
    <w:rsid w:val="43E75970"/>
    <w:rsid w:val="43EA23C4"/>
    <w:rsid w:val="43F61C0F"/>
    <w:rsid w:val="43F7432B"/>
    <w:rsid w:val="4404671C"/>
    <w:rsid w:val="44097C22"/>
    <w:rsid w:val="440D1A0D"/>
    <w:rsid w:val="440E3BA2"/>
    <w:rsid w:val="4416441E"/>
    <w:rsid w:val="44187D24"/>
    <w:rsid w:val="44213B20"/>
    <w:rsid w:val="44256A00"/>
    <w:rsid w:val="44323F4C"/>
    <w:rsid w:val="443E1112"/>
    <w:rsid w:val="44524632"/>
    <w:rsid w:val="4457705F"/>
    <w:rsid w:val="44636B9A"/>
    <w:rsid w:val="446C6A68"/>
    <w:rsid w:val="447573C7"/>
    <w:rsid w:val="4478006C"/>
    <w:rsid w:val="447A0081"/>
    <w:rsid w:val="448004EE"/>
    <w:rsid w:val="44906321"/>
    <w:rsid w:val="44963441"/>
    <w:rsid w:val="449648B2"/>
    <w:rsid w:val="44A37E1B"/>
    <w:rsid w:val="44AC4AAA"/>
    <w:rsid w:val="44AC4C5A"/>
    <w:rsid w:val="44BB14AF"/>
    <w:rsid w:val="44BB3CAB"/>
    <w:rsid w:val="44BC6155"/>
    <w:rsid w:val="44BE2144"/>
    <w:rsid w:val="44C148E8"/>
    <w:rsid w:val="44C63316"/>
    <w:rsid w:val="44C7598D"/>
    <w:rsid w:val="44C87870"/>
    <w:rsid w:val="44CB62ED"/>
    <w:rsid w:val="44D05D1F"/>
    <w:rsid w:val="44D4033E"/>
    <w:rsid w:val="44E9469A"/>
    <w:rsid w:val="44EA2B6A"/>
    <w:rsid w:val="44F45BC7"/>
    <w:rsid w:val="44F95661"/>
    <w:rsid w:val="44FB49AB"/>
    <w:rsid w:val="44FD38D0"/>
    <w:rsid w:val="45063048"/>
    <w:rsid w:val="45087468"/>
    <w:rsid w:val="450A0452"/>
    <w:rsid w:val="45120AE5"/>
    <w:rsid w:val="451C3E44"/>
    <w:rsid w:val="45237196"/>
    <w:rsid w:val="45240F67"/>
    <w:rsid w:val="45273E6E"/>
    <w:rsid w:val="452E1C6D"/>
    <w:rsid w:val="45401324"/>
    <w:rsid w:val="45430F39"/>
    <w:rsid w:val="45496396"/>
    <w:rsid w:val="454C0036"/>
    <w:rsid w:val="454C1274"/>
    <w:rsid w:val="454E356A"/>
    <w:rsid w:val="455464FE"/>
    <w:rsid w:val="455E1C85"/>
    <w:rsid w:val="45693C2C"/>
    <w:rsid w:val="456D72FF"/>
    <w:rsid w:val="459F3E67"/>
    <w:rsid w:val="45A31F39"/>
    <w:rsid w:val="45C32DD3"/>
    <w:rsid w:val="45C62EED"/>
    <w:rsid w:val="45DC23C5"/>
    <w:rsid w:val="45E23824"/>
    <w:rsid w:val="45E95850"/>
    <w:rsid w:val="45EE4527"/>
    <w:rsid w:val="45EE54E2"/>
    <w:rsid w:val="45F43699"/>
    <w:rsid w:val="461B5E43"/>
    <w:rsid w:val="46242F81"/>
    <w:rsid w:val="4629063A"/>
    <w:rsid w:val="462C091D"/>
    <w:rsid w:val="462F66A1"/>
    <w:rsid w:val="463333B8"/>
    <w:rsid w:val="46382C46"/>
    <w:rsid w:val="464C7A88"/>
    <w:rsid w:val="464E1E5D"/>
    <w:rsid w:val="46545055"/>
    <w:rsid w:val="465E352E"/>
    <w:rsid w:val="46817824"/>
    <w:rsid w:val="46830D30"/>
    <w:rsid w:val="46934036"/>
    <w:rsid w:val="46A17397"/>
    <w:rsid w:val="46A9191C"/>
    <w:rsid w:val="46BE1DD5"/>
    <w:rsid w:val="46C21C68"/>
    <w:rsid w:val="46C70330"/>
    <w:rsid w:val="46D43205"/>
    <w:rsid w:val="46D47B51"/>
    <w:rsid w:val="46D50BA7"/>
    <w:rsid w:val="46E23966"/>
    <w:rsid w:val="46E35E15"/>
    <w:rsid w:val="46E57892"/>
    <w:rsid w:val="46E74160"/>
    <w:rsid w:val="46EE71FA"/>
    <w:rsid w:val="46EF4AD9"/>
    <w:rsid w:val="46F64086"/>
    <w:rsid w:val="46F740A5"/>
    <w:rsid w:val="46FE2411"/>
    <w:rsid w:val="470420BF"/>
    <w:rsid w:val="47042505"/>
    <w:rsid w:val="47042825"/>
    <w:rsid w:val="47145F47"/>
    <w:rsid w:val="471A3115"/>
    <w:rsid w:val="47220966"/>
    <w:rsid w:val="47283A28"/>
    <w:rsid w:val="47362648"/>
    <w:rsid w:val="473962C7"/>
    <w:rsid w:val="473B4A2C"/>
    <w:rsid w:val="473F2074"/>
    <w:rsid w:val="47402A21"/>
    <w:rsid w:val="475E24A5"/>
    <w:rsid w:val="475E24F2"/>
    <w:rsid w:val="476B2262"/>
    <w:rsid w:val="47884B76"/>
    <w:rsid w:val="47943458"/>
    <w:rsid w:val="4795137D"/>
    <w:rsid w:val="47955AC9"/>
    <w:rsid w:val="47965158"/>
    <w:rsid w:val="47A956E7"/>
    <w:rsid w:val="47C25CE8"/>
    <w:rsid w:val="47C5198B"/>
    <w:rsid w:val="47CD6836"/>
    <w:rsid w:val="47D2217D"/>
    <w:rsid w:val="47D60CC0"/>
    <w:rsid w:val="47E0648F"/>
    <w:rsid w:val="47F14C9D"/>
    <w:rsid w:val="47F336CB"/>
    <w:rsid w:val="47FE54A6"/>
    <w:rsid w:val="48012F00"/>
    <w:rsid w:val="480B21D6"/>
    <w:rsid w:val="48112949"/>
    <w:rsid w:val="48181B9F"/>
    <w:rsid w:val="482338F7"/>
    <w:rsid w:val="482665C2"/>
    <w:rsid w:val="482734FB"/>
    <w:rsid w:val="484A7B08"/>
    <w:rsid w:val="484C7496"/>
    <w:rsid w:val="48545501"/>
    <w:rsid w:val="48597674"/>
    <w:rsid w:val="486A40C0"/>
    <w:rsid w:val="486B4EC1"/>
    <w:rsid w:val="4872384B"/>
    <w:rsid w:val="4882454E"/>
    <w:rsid w:val="48830C4E"/>
    <w:rsid w:val="48921E3D"/>
    <w:rsid w:val="48963D0A"/>
    <w:rsid w:val="48A03BA1"/>
    <w:rsid w:val="48A36F22"/>
    <w:rsid w:val="48A858C9"/>
    <w:rsid w:val="48A8709C"/>
    <w:rsid w:val="48CD764F"/>
    <w:rsid w:val="48D7140D"/>
    <w:rsid w:val="48DD58E3"/>
    <w:rsid w:val="48DF29B1"/>
    <w:rsid w:val="48E829AC"/>
    <w:rsid w:val="48EE0EDC"/>
    <w:rsid w:val="48EF0C84"/>
    <w:rsid w:val="48FC356E"/>
    <w:rsid w:val="48FC7525"/>
    <w:rsid w:val="490112E6"/>
    <w:rsid w:val="4908548B"/>
    <w:rsid w:val="491B5266"/>
    <w:rsid w:val="491D44A4"/>
    <w:rsid w:val="492561CF"/>
    <w:rsid w:val="492657E3"/>
    <w:rsid w:val="49495FCB"/>
    <w:rsid w:val="49496AA6"/>
    <w:rsid w:val="494A4F9E"/>
    <w:rsid w:val="494A71CD"/>
    <w:rsid w:val="49540650"/>
    <w:rsid w:val="49563F01"/>
    <w:rsid w:val="49565D99"/>
    <w:rsid w:val="495C4EAB"/>
    <w:rsid w:val="495F16EE"/>
    <w:rsid w:val="496518E7"/>
    <w:rsid w:val="496F5555"/>
    <w:rsid w:val="498B2D66"/>
    <w:rsid w:val="498D40CF"/>
    <w:rsid w:val="499E6C57"/>
    <w:rsid w:val="49A168DB"/>
    <w:rsid w:val="49BB7FB6"/>
    <w:rsid w:val="49BC3715"/>
    <w:rsid w:val="49CC1B50"/>
    <w:rsid w:val="49D37033"/>
    <w:rsid w:val="49D73CE9"/>
    <w:rsid w:val="49DC5D62"/>
    <w:rsid w:val="49E00EB0"/>
    <w:rsid w:val="49E37B64"/>
    <w:rsid w:val="49EB4474"/>
    <w:rsid w:val="49EE3BB9"/>
    <w:rsid w:val="49F46A4F"/>
    <w:rsid w:val="4A0D5E35"/>
    <w:rsid w:val="4A135B7B"/>
    <w:rsid w:val="4A136EB3"/>
    <w:rsid w:val="4A1B7FD2"/>
    <w:rsid w:val="4A2668D8"/>
    <w:rsid w:val="4A2902A0"/>
    <w:rsid w:val="4A384126"/>
    <w:rsid w:val="4A4A6AC2"/>
    <w:rsid w:val="4A4B0994"/>
    <w:rsid w:val="4A4B14A5"/>
    <w:rsid w:val="4A4B45CF"/>
    <w:rsid w:val="4A550984"/>
    <w:rsid w:val="4A641D00"/>
    <w:rsid w:val="4A77693B"/>
    <w:rsid w:val="4A7D7E15"/>
    <w:rsid w:val="4A845C50"/>
    <w:rsid w:val="4A8E7443"/>
    <w:rsid w:val="4A9448C9"/>
    <w:rsid w:val="4A980045"/>
    <w:rsid w:val="4AA14BC9"/>
    <w:rsid w:val="4AA60E49"/>
    <w:rsid w:val="4AA90C38"/>
    <w:rsid w:val="4ABF1F90"/>
    <w:rsid w:val="4AC1763E"/>
    <w:rsid w:val="4AC56C43"/>
    <w:rsid w:val="4ACA6BC2"/>
    <w:rsid w:val="4AD06B77"/>
    <w:rsid w:val="4AD4143A"/>
    <w:rsid w:val="4AD46422"/>
    <w:rsid w:val="4AD516E1"/>
    <w:rsid w:val="4AD71038"/>
    <w:rsid w:val="4ADC61C9"/>
    <w:rsid w:val="4AEF48FC"/>
    <w:rsid w:val="4AEF765A"/>
    <w:rsid w:val="4AF3425C"/>
    <w:rsid w:val="4AFE3505"/>
    <w:rsid w:val="4B006D26"/>
    <w:rsid w:val="4B026D26"/>
    <w:rsid w:val="4B030321"/>
    <w:rsid w:val="4B142FA5"/>
    <w:rsid w:val="4B146769"/>
    <w:rsid w:val="4B1F1FCD"/>
    <w:rsid w:val="4B253618"/>
    <w:rsid w:val="4B2D2472"/>
    <w:rsid w:val="4B360E15"/>
    <w:rsid w:val="4B3756F4"/>
    <w:rsid w:val="4B3E3A1C"/>
    <w:rsid w:val="4B472BCF"/>
    <w:rsid w:val="4B490186"/>
    <w:rsid w:val="4B5B4F6A"/>
    <w:rsid w:val="4B615F38"/>
    <w:rsid w:val="4B77517F"/>
    <w:rsid w:val="4B7E07B5"/>
    <w:rsid w:val="4B8A1B5C"/>
    <w:rsid w:val="4B8D65EE"/>
    <w:rsid w:val="4B8F3911"/>
    <w:rsid w:val="4B9A17FC"/>
    <w:rsid w:val="4B9A2929"/>
    <w:rsid w:val="4BA14BB6"/>
    <w:rsid w:val="4BAC02C1"/>
    <w:rsid w:val="4BAC50ED"/>
    <w:rsid w:val="4BAF414F"/>
    <w:rsid w:val="4BB4598F"/>
    <w:rsid w:val="4BB536EF"/>
    <w:rsid w:val="4BBA03D8"/>
    <w:rsid w:val="4BBA6B7E"/>
    <w:rsid w:val="4BBD6D91"/>
    <w:rsid w:val="4BCD1E54"/>
    <w:rsid w:val="4BCF496E"/>
    <w:rsid w:val="4BE6024A"/>
    <w:rsid w:val="4BEE43B8"/>
    <w:rsid w:val="4BFA34B4"/>
    <w:rsid w:val="4BFF772C"/>
    <w:rsid w:val="4C0440DA"/>
    <w:rsid w:val="4C067A81"/>
    <w:rsid w:val="4C0828A4"/>
    <w:rsid w:val="4C0C3C28"/>
    <w:rsid w:val="4C0C3C2E"/>
    <w:rsid w:val="4C3662BD"/>
    <w:rsid w:val="4C3C1B17"/>
    <w:rsid w:val="4C491E34"/>
    <w:rsid w:val="4C56153D"/>
    <w:rsid w:val="4C7375AA"/>
    <w:rsid w:val="4C7E0389"/>
    <w:rsid w:val="4C7F4747"/>
    <w:rsid w:val="4C844D4A"/>
    <w:rsid w:val="4C971902"/>
    <w:rsid w:val="4C972655"/>
    <w:rsid w:val="4C983FC5"/>
    <w:rsid w:val="4C9D306A"/>
    <w:rsid w:val="4CA17C59"/>
    <w:rsid w:val="4CA370A0"/>
    <w:rsid w:val="4CB2101C"/>
    <w:rsid w:val="4CBA0952"/>
    <w:rsid w:val="4CC64265"/>
    <w:rsid w:val="4CE670AB"/>
    <w:rsid w:val="4CE673BA"/>
    <w:rsid w:val="4CE72941"/>
    <w:rsid w:val="4CE90E6D"/>
    <w:rsid w:val="4CE948F5"/>
    <w:rsid w:val="4CEB05BD"/>
    <w:rsid w:val="4CED0A7D"/>
    <w:rsid w:val="4CF34105"/>
    <w:rsid w:val="4CF446FA"/>
    <w:rsid w:val="4CFD2D0A"/>
    <w:rsid w:val="4D0553C4"/>
    <w:rsid w:val="4D057181"/>
    <w:rsid w:val="4D0C0C1B"/>
    <w:rsid w:val="4D13361D"/>
    <w:rsid w:val="4D1978FF"/>
    <w:rsid w:val="4D1E0C98"/>
    <w:rsid w:val="4D202FD3"/>
    <w:rsid w:val="4D230C52"/>
    <w:rsid w:val="4D283CA5"/>
    <w:rsid w:val="4D293565"/>
    <w:rsid w:val="4D2B0373"/>
    <w:rsid w:val="4D2B253B"/>
    <w:rsid w:val="4D2D48F3"/>
    <w:rsid w:val="4D2D562F"/>
    <w:rsid w:val="4D2E78BD"/>
    <w:rsid w:val="4D3B4EC4"/>
    <w:rsid w:val="4D3E5CED"/>
    <w:rsid w:val="4D4C2309"/>
    <w:rsid w:val="4D5979E0"/>
    <w:rsid w:val="4D7942B7"/>
    <w:rsid w:val="4D7A17D8"/>
    <w:rsid w:val="4D7E4D9A"/>
    <w:rsid w:val="4D7F45B0"/>
    <w:rsid w:val="4D883DD6"/>
    <w:rsid w:val="4D884404"/>
    <w:rsid w:val="4D8C7330"/>
    <w:rsid w:val="4D8F19B0"/>
    <w:rsid w:val="4D8F6C56"/>
    <w:rsid w:val="4D9C2F5A"/>
    <w:rsid w:val="4DB10B36"/>
    <w:rsid w:val="4DBA030C"/>
    <w:rsid w:val="4DBD2C0F"/>
    <w:rsid w:val="4DC31EF7"/>
    <w:rsid w:val="4DCB2AA2"/>
    <w:rsid w:val="4DD655AB"/>
    <w:rsid w:val="4DD65A06"/>
    <w:rsid w:val="4DDF45AF"/>
    <w:rsid w:val="4DFD6EAA"/>
    <w:rsid w:val="4DFE2BAE"/>
    <w:rsid w:val="4E124F7D"/>
    <w:rsid w:val="4E167C59"/>
    <w:rsid w:val="4E1A4EED"/>
    <w:rsid w:val="4E377EFD"/>
    <w:rsid w:val="4E3F7179"/>
    <w:rsid w:val="4E46583F"/>
    <w:rsid w:val="4E4C0585"/>
    <w:rsid w:val="4E4D46B3"/>
    <w:rsid w:val="4E502119"/>
    <w:rsid w:val="4E511E27"/>
    <w:rsid w:val="4E611424"/>
    <w:rsid w:val="4E776E4B"/>
    <w:rsid w:val="4E783F4D"/>
    <w:rsid w:val="4E834435"/>
    <w:rsid w:val="4E885C23"/>
    <w:rsid w:val="4E8862BB"/>
    <w:rsid w:val="4E8970D1"/>
    <w:rsid w:val="4E8E2759"/>
    <w:rsid w:val="4E9779E7"/>
    <w:rsid w:val="4EA31CE2"/>
    <w:rsid w:val="4EA95A84"/>
    <w:rsid w:val="4EA97C62"/>
    <w:rsid w:val="4EAA7132"/>
    <w:rsid w:val="4EBB1DCB"/>
    <w:rsid w:val="4EC0715E"/>
    <w:rsid w:val="4EC95CE1"/>
    <w:rsid w:val="4ECF36D7"/>
    <w:rsid w:val="4ED1117B"/>
    <w:rsid w:val="4ED14ED1"/>
    <w:rsid w:val="4EDA4091"/>
    <w:rsid w:val="4EDB3452"/>
    <w:rsid w:val="4EE55697"/>
    <w:rsid w:val="4EEF5080"/>
    <w:rsid w:val="4EF3532D"/>
    <w:rsid w:val="4EFE327B"/>
    <w:rsid w:val="4EFF7B3C"/>
    <w:rsid w:val="4F166F82"/>
    <w:rsid w:val="4F1D1686"/>
    <w:rsid w:val="4F2043E4"/>
    <w:rsid w:val="4F39500B"/>
    <w:rsid w:val="4F470C9F"/>
    <w:rsid w:val="4F533C58"/>
    <w:rsid w:val="4F605D90"/>
    <w:rsid w:val="4F6D67A7"/>
    <w:rsid w:val="4F871206"/>
    <w:rsid w:val="4F87680F"/>
    <w:rsid w:val="4F88462D"/>
    <w:rsid w:val="4F896168"/>
    <w:rsid w:val="4F9B3E7D"/>
    <w:rsid w:val="4FA53237"/>
    <w:rsid w:val="4FA8555F"/>
    <w:rsid w:val="4FAF125E"/>
    <w:rsid w:val="4FB9308E"/>
    <w:rsid w:val="4FBD38DE"/>
    <w:rsid w:val="4FC537F8"/>
    <w:rsid w:val="4FCB7ADD"/>
    <w:rsid w:val="4FCC7A8C"/>
    <w:rsid w:val="4FCF30BB"/>
    <w:rsid w:val="4FDB7ED7"/>
    <w:rsid w:val="4FE466E5"/>
    <w:rsid w:val="4FE74F41"/>
    <w:rsid w:val="4FE9253E"/>
    <w:rsid w:val="4FF40118"/>
    <w:rsid w:val="4FFE27C1"/>
    <w:rsid w:val="50021051"/>
    <w:rsid w:val="50044544"/>
    <w:rsid w:val="50097D41"/>
    <w:rsid w:val="501353FB"/>
    <w:rsid w:val="50152D26"/>
    <w:rsid w:val="501F13EF"/>
    <w:rsid w:val="50242389"/>
    <w:rsid w:val="502F7CAF"/>
    <w:rsid w:val="50303B80"/>
    <w:rsid w:val="503369EF"/>
    <w:rsid w:val="503A5393"/>
    <w:rsid w:val="503F7517"/>
    <w:rsid w:val="50427BE3"/>
    <w:rsid w:val="504551E4"/>
    <w:rsid w:val="504C686E"/>
    <w:rsid w:val="50585AAD"/>
    <w:rsid w:val="506722E5"/>
    <w:rsid w:val="506B045D"/>
    <w:rsid w:val="50707007"/>
    <w:rsid w:val="50747EA6"/>
    <w:rsid w:val="50762906"/>
    <w:rsid w:val="50875D02"/>
    <w:rsid w:val="50914349"/>
    <w:rsid w:val="50925209"/>
    <w:rsid w:val="50930F87"/>
    <w:rsid w:val="50AC3436"/>
    <w:rsid w:val="50C006A0"/>
    <w:rsid w:val="50C00E06"/>
    <w:rsid w:val="50C50339"/>
    <w:rsid w:val="50D21228"/>
    <w:rsid w:val="50DD5234"/>
    <w:rsid w:val="50FA0204"/>
    <w:rsid w:val="50FF7D82"/>
    <w:rsid w:val="51067C6A"/>
    <w:rsid w:val="51096DFA"/>
    <w:rsid w:val="510A5A55"/>
    <w:rsid w:val="51136EAA"/>
    <w:rsid w:val="5113785D"/>
    <w:rsid w:val="512163A0"/>
    <w:rsid w:val="5125381E"/>
    <w:rsid w:val="512A76B9"/>
    <w:rsid w:val="512B5A73"/>
    <w:rsid w:val="512B7CD4"/>
    <w:rsid w:val="512C4482"/>
    <w:rsid w:val="51304071"/>
    <w:rsid w:val="51327C7A"/>
    <w:rsid w:val="514D54D2"/>
    <w:rsid w:val="515441B6"/>
    <w:rsid w:val="515A4CD3"/>
    <w:rsid w:val="515B3813"/>
    <w:rsid w:val="515D3978"/>
    <w:rsid w:val="515F56D8"/>
    <w:rsid w:val="51730B5D"/>
    <w:rsid w:val="517F1EFD"/>
    <w:rsid w:val="51856F24"/>
    <w:rsid w:val="518D577E"/>
    <w:rsid w:val="51985759"/>
    <w:rsid w:val="519B00B4"/>
    <w:rsid w:val="51B16B60"/>
    <w:rsid w:val="51BE3360"/>
    <w:rsid w:val="51C00EB3"/>
    <w:rsid w:val="51C8163C"/>
    <w:rsid w:val="51CD6000"/>
    <w:rsid w:val="51CF5E2D"/>
    <w:rsid w:val="51DD2F68"/>
    <w:rsid w:val="51DE7C1E"/>
    <w:rsid w:val="51F4124D"/>
    <w:rsid w:val="51F81642"/>
    <w:rsid w:val="52073823"/>
    <w:rsid w:val="52261ABF"/>
    <w:rsid w:val="522804D5"/>
    <w:rsid w:val="52305184"/>
    <w:rsid w:val="523232FA"/>
    <w:rsid w:val="52357E66"/>
    <w:rsid w:val="523D20B1"/>
    <w:rsid w:val="523D63DF"/>
    <w:rsid w:val="523E71E0"/>
    <w:rsid w:val="523F62D8"/>
    <w:rsid w:val="5241404E"/>
    <w:rsid w:val="524E0570"/>
    <w:rsid w:val="52521C68"/>
    <w:rsid w:val="52526257"/>
    <w:rsid w:val="52563076"/>
    <w:rsid w:val="525D7539"/>
    <w:rsid w:val="526038F5"/>
    <w:rsid w:val="5261480C"/>
    <w:rsid w:val="52742C17"/>
    <w:rsid w:val="527A7C2A"/>
    <w:rsid w:val="528177EA"/>
    <w:rsid w:val="52884ADC"/>
    <w:rsid w:val="528A2335"/>
    <w:rsid w:val="528D4E74"/>
    <w:rsid w:val="528E2B2D"/>
    <w:rsid w:val="528F4686"/>
    <w:rsid w:val="529E0A6C"/>
    <w:rsid w:val="52A01AD4"/>
    <w:rsid w:val="52AD708B"/>
    <w:rsid w:val="52AE330D"/>
    <w:rsid w:val="52B66D6D"/>
    <w:rsid w:val="52BA20D8"/>
    <w:rsid w:val="52BA2D69"/>
    <w:rsid w:val="52C66C6D"/>
    <w:rsid w:val="52D01FDF"/>
    <w:rsid w:val="52D0546B"/>
    <w:rsid w:val="52DA2B39"/>
    <w:rsid w:val="52E20AB8"/>
    <w:rsid w:val="52F55C45"/>
    <w:rsid w:val="52F73BC0"/>
    <w:rsid w:val="52F87468"/>
    <w:rsid w:val="53093360"/>
    <w:rsid w:val="5309691C"/>
    <w:rsid w:val="53117BA3"/>
    <w:rsid w:val="53176968"/>
    <w:rsid w:val="531A73C9"/>
    <w:rsid w:val="53314E32"/>
    <w:rsid w:val="533E007F"/>
    <w:rsid w:val="53427D28"/>
    <w:rsid w:val="53447A6C"/>
    <w:rsid w:val="53467AB6"/>
    <w:rsid w:val="53512FC7"/>
    <w:rsid w:val="536E4FEA"/>
    <w:rsid w:val="53775063"/>
    <w:rsid w:val="537922C5"/>
    <w:rsid w:val="537B4521"/>
    <w:rsid w:val="537B6807"/>
    <w:rsid w:val="537F55A4"/>
    <w:rsid w:val="538653BC"/>
    <w:rsid w:val="538D1FCA"/>
    <w:rsid w:val="538E5319"/>
    <w:rsid w:val="53971FDA"/>
    <w:rsid w:val="539D3064"/>
    <w:rsid w:val="53A41E14"/>
    <w:rsid w:val="53A435B7"/>
    <w:rsid w:val="53A70F92"/>
    <w:rsid w:val="53AA62D9"/>
    <w:rsid w:val="53C01AAB"/>
    <w:rsid w:val="53C51737"/>
    <w:rsid w:val="53C615BE"/>
    <w:rsid w:val="53C661A6"/>
    <w:rsid w:val="53CB04F8"/>
    <w:rsid w:val="53CD6398"/>
    <w:rsid w:val="53D5607A"/>
    <w:rsid w:val="53E86527"/>
    <w:rsid w:val="53F04B29"/>
    <w:rsid w:val="53F50D45"/>
    <w:rsid w:val="53F84745"/>
    <w:rsid w:val="53FD18E7"/>
    <w:rsid w:val="53FD65F9"/>
    <w:rsid w:val="54075691"/>
    <w:rsid w:val="54103BF9"/>
    <w:rsid w:val="541103DE"/>
    <w:rsid w:val="54124B7D"/>
    <w:rsid w:val="541D5685"/>
    <w:rsid w:val="54210E80"/>
    <w:rsid w:val="54251782"/>
    <w:rsid w:val="543115ED"/>
    <w:rsid w:val="54427E0D"/>
    <w:rsid w:val="544976DB"/>
    <w:rsid w:val="544A1FBD"/>
    <w:rsid w:val="544E142B"/>
    <w:rsid w:val="545473F0"/>
    <w:rsid w:val="548832FA"/>
    <w:rsid w:val="548932B6"/>
    <w:rsid w:val="548E3457"/>
    <w:rsid w:val="549B3B9F"/>
    <w:rsid w:val="54A12A19"/>
    <w:rsid w:val="54AB10E8"/>
    <w:rsid w:val="54AD2115"/>
    <w:rsid w:val="54B013F3"/>
    <w:rsid w:val="54B30F63"/>
    <w:rsid w:val="54B71027"/>
    <w:rsid w:val="54BB636C"/>
    <w:rsid w:val="54BC1A6A"/>
    <w:rsid w:val="54BD5016"/>
    <w:rsid w:val="54BF0519"/>
    <w:rsid w:val="54C125C8"/>
    <w:rsid w:val="54D96529"/>
    <w:rsid w:val="54DF2FCC"/>
    <w:rsid w:val="54E045BE"/>
    <w:rsid w:val="54E14EC8"/>
    <w:rsid w:val="54E47377"/>
    <w:rsid w:val="54E91A37"/>
    <w:rsid w:val="54EB145A"/>
    <w:rsid w:val="54F87F0C"/>
    <w:rsid w:val="550F1F3D"/>
    <w:rsid w:val="55114AA0"/>
    <w:rsid w:val="551A792E"/>
    <w:rsid w:val="552D15D0"/>
    <w:rsid w:val="554A42CB"/>
    <w:rsid w:val="554C2C31"/>
    <w:rsid w:val="555853BD"/>
    <w:rsid w:val="555B6E99"/>
    <w:rsid w:val="55783F16"/>
    <w:rsid w:val="55807906"/>
    <w:rsid w:val="558402BF"/>
    <w:rsid w:val="558D6979"/>
    <w:rsid w:val="55957B18"/>
    <w:rsid w:val="55991AB6"/>
    <w:rsid w:val="559B0FE5"/>
    <w:rsid w:val="559C4A1E"/>
    <w:rsid w:val="55AA4718"/>
    <w:rsid w:val="55AC2B5B"/>
    <w:rsid w:val="55AD491E"/>
    <w:rsid w:val="55BC3CE8"/>
    <w:rsid w:val="55C135BF"/>
    <w:rsid w:val="55D266F9"/>
    <w:rsid w:val="55E327DA"/>
    <w:rsid w:val="55E76871"/>
    <w:rsid w:val="55E91B12"/>
    <w:rsid w:val="55F42B14"/>
    <w:rsid w:val="55F52488"/>
    <w:rsid w:val="55F56336"/>
    <w:rsid w:val="55FC7AA4"/>
    <w:rsid w:val="55FE391C"/>
    <w:rsid w:val="5604664C"/>
    <w:rsid w:val="561225E1"/>
    <w:rsid w:val="562369E8"/>
    <w:rsid w:val="56517E76"/>
    <w:rsid w:val="5653203F"/>
    <w:rsid w:val="565A1E8D"/>
    <w:rsid w:val="566C4490"/>
    <w:rsid w:val="5670232E"/>
    <w:rsid w:val="56733AE0"/>
    <w:rsid w:val="56836AA4"/>
    <w:rsid w:val="568703A0"/>
    <w:rsid w:val="569642F6"/>
    <w:rsid w:val="56987284"/>
    <w:rsid w:val="56A54E44"/>
    <w:rsid w:val="56B31B2D"/>
    <w:rsid w:val="56BD4D31"/>
    <w:rsid w:val="56C37ECE"/>
    <w:rsid w:val="56D62C0B"/>
    <w:rsid w:val="56DF48D5"/>
    <w:rsid w:val="56E258D3"/>
    <w:rsid w:val="56E4241D"/>
    <w:rsid w:val="56EB6D43"/>
    <w:rsid w:val="56EC11C7"/>
    <w:rsid w:val="56F00D4B"/>
    <w:rsid w:val="56F77776"/>
    <w:rsid w:val="56FF7ECE"/>
    <w:rsid w:val="571239A1"/>
    <w:rsid w:val="57197D4E"/>
    <w:rsid w:val="57252E86"/>
    <w:rsid w:val="5726328A"/>
    <w:rsid w:val="573E3D4C"/>
    <w:rsid w:val="57416F33"/>
    <w:rsid w:val="574A2AFF"/>
    <w:rsid w:val="574D5583"/>
    <w:rsid w:val="5750754E"/>
    <w:rsid w:val="575319E0"/>
    <w:rsid w:val="57543C6F"/>
    <w:rsid w:val="57550741"/>
    <w:rsid w:val="57566ED2"/>
    <w:rsid w:val="575E0EE3"/>
    <w:rsid w:val="57660D63"/>
    <w:rsid w:val="576E1777"/>
    <w:rsid w:val="577053CA"/>
    <w:rsid w:val="57744DB1"/>
    <w:rsid w:val="57881A0A"/>
    <w:rsid w:val="5790790A"/>
    <w:rsid w:val="57994279"/>
    <w:rsid w:val="579D06FB"/>
    <w:rsid w:val="57A22147"/>
    <w:rsid w:val="57A675D0"/>
    <w:rsid w:val="57A77BA9"/>
    <w:rsid w:val="57B03352"/>
    <w:rsid w:val="57B35D3A"/>
    <w:rsid w:val="57BA6D57"/>
    <w:rsid w:val="57BB0E91"/>
    <w:rsid w:val="57D27587"/>
    <w:rsid w:val="57D41476"/>
    <w:rsid w:val="57DA6555"/>
    <w:rsid w:val="57DB5E1B"/>
    <w:rsid w:val="57F80C8F"/>
    <w:rsid w:val="58032874"/>
    <w:rsid w:val="58043F80"/>
    <w:rsid w:val="580934C8"/>
    <w:rsid w:val="580A1AEF"/>
    <w:rsid w:val="58111B8A"/>
    <w:rsid w:val="583E611B"/>
    <w:rsid w:val="584119B5"/>
    <w:rsid w:val="584469FD"/>
    <w:rsid w:val="58573E4A"/>
    <w:rsid w:val="58597EAB"/>
    <w:rsid w:val="585C60E4"/>
    <w:rsid w:val="585D38BE"/>
    <w:rsid w:val="585F587B"/>
    <w:rsid w:val="58650495"/>
    <w:rsid w:val="58785895"/>
    <w:rsid w:val="588673C8"/>
    <w:rsid w:val="58874049"/>
    <w:rsid w:val="58982D68"/>
    <w:rsid w:val="589A48BB"/>
    <w:rsid w:val="58A2362D"/>
    <w:rsid w:val="58AF19C8"/>
    <w:rsid w:val="58B053A7"/>
    <w:rsid w:val="58B303D9"/>
    <w:rsid w:val="58D674B6"/>
    <w:rsid w:val="58E81D2E"/>
    <w:rsid w:val="58F05975"/>
    <w:rsid w:val="590E672B"/>
    <w:rsid w:val="591945BB"/>
    <w:rsid w:val="59220F9E"/>
    <w:rsid w:val="59221B34"/>
    <w:rsid w:val="59224407"/>
    <w:rsid w:val="59234ECA"/>
    <w:rsid w:val="592836CB"/>
    <w:rsid w:val="59341FFD"/>
    <w:rsid w:val="594E73F8"/>
    <w:rsid w:val="5964222D"/>
    <w:rsid w:val="596B6617"/>
    <w:rsid w:val="597361C2"/>
    <w:rsid w:val="59783A9E"/>
    <w:rsid w:val="59810669"/>
    <w:rsid w:val="598425BF"/>
    <w:rsid w:val="598B083C"/>
    <w:rsid w:val="59944A80"/>
    <w:rsid w:val="599453C1"/>
    <w:rsid w:val="59A47972"/>
    <w:rsid w:val="59A95F9A"/>
    <w:rsid w:val="59AB243D"/>
    <w:rsid w:val="59AD7391"/>
    <w:rsid w:val="59B04529"/>
    <w:rsid w:val="59BD47C1"/>
    <w:rsid w:val="59C74D5D"/>
    <w:rsid w:val="59D515F4"/>
    <w:rsid w:val="59E00B01"/>
    <w:rsid w:val="59E3200F"/>
    <w:rsid w:val="59F6057D"/>
    <w:rsid w:val="59FA2D9B"/>
    <w:rsid w:val="59FC455C"/>
    <w:rsid w:val="59FF35B4"/>
    <w:rsid w:val="5A1872F2"/>
    <w:rsid w:val="5A2D521E"/>
    <w:rsid w:val="5A363114"/>
    <w:rsid w:val="5A3F7C21"/>
    <w:rsid w:val="5A4D22DB"/>
    <w:rsid w:val="5A4F4638"/>
    <w:rsid w:val="5A62077E"/>
    <w:rsid w:val="5A640B0E"/>
    <w:rsid w:val="5A656E4B"/>
    <w:rsid w:val="5A6D775E"/>
    <w:rsid w:val="5A72006F"/>
    <w:rsid w:val="5A742824"/>
    <w:rsid w:val="5A746E68"/>
    <w:rsid w:val="5A816571"/>
    <w:rsid w:val="5AA55C22"/>
    <w:rsid w:val="5AAC49A2"/>
    <w:rsid w:val="5AAD4FA5"/>
    <w:rsid w:val="5AB2228B"/>
    <w:rsid w:val="5AB33ACB"/>
    <w:rsid w:val="5AB55A3C"/>
    <w:rsid w:val="5AB629EE"/>
    <w:rsid w:val="5AC36B75"/>
    <w:rsid w:val="5AC466DB"/>
    <w:rsid w:val="5AD375C6"/>
    <w:rsid w:val="5ADF63D3"/>
    <w:rsid w:val="5AEE432B"/>
    <w:rsid w:val="5AF637F7"/>
    <w:rsid w:val="5B03391E"/>
    <w:rsid w:val="5B073E4B"/>
    <w:rsid w:val="5B175911"/>
    <w:rsid w:val="5B184E2E"/>
    <w:rsid w:val="5B1B26AD"/>
    <w:rsid w:val="5B1C6266"/>
    <w:rsid w:val="5B392285"/>
    <w:rsid w:val="5B3F712F"/>
    <w:rsid w:val="5B41332E"/>
    <w:rsid w:val="5B431662"/>
    <w:rsid w:val="5B466C02"/>
    <w:rsid w:val="5B5152EC"/>
    <w:rsid w:val="5B515F18"/>
    <w:rsid w:val="5B5F14C2"/>
    <w:rsid w:val="5B67578E"/>
    <w:rsid w:val="5B743709"/>
    <w:rsid w:val="5B744298"/>
    <w:rsid w:val="5B74518E"/>
    <w:rsid w:val="5B862226"/>
    <w:rsid w:val="5B920840"/>
    <w:rsid w:val="5BA041F4"/>
    <w:rsid w:val="5BA30291"/>
    <w:rsid w:val="5BB13E81"/>
    <w:rsid w:val="5BBE7027"/>
    <w:rsid w:val="5BC21F60"/>
    <w:rsid w:val="5BC55EF3"/>
    <w:rsid w:val="5BCD5423"/>
    <w:rsid w:val="5BD0382F"/>
    <w:rsid w:val="5BD15052"/>
    <w:rsid w:val="5BE01178"/>
    <w:rsid w:val="5BE257C4"/>
    <w:rsid w:val="5BFA6A39"/>
    <w:rsid w:val="5C0A62DD"/>
    <w:rsid w:val="5C297E35"/>
    <w:rsid w:val="5C2D7B03"/>
    <w:rsid w:val="5C390F23"/>
    <w:rsid w:val="5C41794C"/>
    <w:rsid w:val="5C433B64"/>
    <w:rsid w:val="5C5A11DE"/>
    <w:rsid w:val="5C60569C"/>
    <w:rsid w:val="5C613BB3"/>
    <w:rsid w:val="5C707C34"/>
    <w:rsid w:val="5C73478E"/>
    <w:rsid w:val="5C787154"/>
    <w:rsid w:val="5C7C29D7"/>
    <w:rsid w:val="5C7F067C"/>
    <w:rsid w:val="5C816F45"/>
    <w:rsid w:val="5C8208D9"/>
    <w:rsid w:val="5C971BCA"/>
    <w:rsid w:val="5C9D3D55"/>
    <w:rsid w:val="5CA142E0"/>
    <w:rsid w:val="5CA561D2"/>
    <w:rsid w:val="5CA641E8"/>
    <w:rsid w:val="5CA75840"/>
    <w:rsid w:val="5CA92975"/>
    <w:rsid w:val="5CAA450D"/>
    <w:rsid w:val="5CBC5068"/>
    <w:rsid w:val="5CC5222E"/>
    <w:rsid w:val="5CE67845"/>
    <w:rsid w:val="5CF87E92"/>
    <w:rsid w:val="5CFF2A31"/>
    <w:rsid w:val="5D081F0B"/>
    <w:rsid w:val="5D1070C9"/>
    <w:rsid w:val="5D124F66"/>
    <w:rsid w:val="5D161DD9"/>
    <w:rsid w:val="5D1927B4"/>
    <w:rsid w:val="5D1B105C"/>
    <w:rsid w:val="5D214171"/>
    <w:rsid w:val="5D21575A"/>
    <w:rsid w:val="5D2737BB"/>
    <w:rsid w:val="5D2D7767"/>
    <w:rsid w:val="5D325AF2"/>
    <w:rsid w:val="5D4A1D49"/>
    <w:rsid w:val="5D6A35D0"/>
    <w:rsid w:val="5D7020F0"/>
    <w:rsid w:val="5D7B17D1"/>
    <w:rsid w:val="5D825B9D"/>
    <w:rsid w:val="5D850067"/>
    <w:rsid w:val="5D913AB0"/>
    <w:rsid w:val="5D976CDF"/>
    <w:rsid w:val="5DA201AE"/>
    <w:rsid w:val="5DA74D9F"/>
    <w:rsid w:val="5DA85633"/>
    <w:rsid w:val="5DBF4E33"/>
    <w:rsid w:val="5DC220EF"/>
    <w:rsid w:val="5DC85EE3"/>
    <w:rsid w:val="5DD078A1"/>
    <w:rsid w:val="5DDF3D1B"/>
    <w:rsid w:val="5DE809C0"/>
    <w:rsid w:val="5DED2D5D"/>
    <w:rsid w:val="5DEE0BAD"/>
    <w:rsid w:val="5DEE377F"/>
    <w:rsid w:val="5DF1428F"/>
    <w:rsid w:val="5DF210FB"/>
    <w:rsid w:val="5DF30B5F"/>
    <w:rsid w:val="5DFB2EBF"/>
    <w:rsid w:val="5E096DF0"/>
    <w:rsid w:val="5E1A72CB"/>
    <w:rsid w:val="5E3B1B04"/>
    <w:rsid w:val="5E4606DA"/>
    <w:rsid w:val="5E487F58"/>
    <w:rsid w:val="5E4B06C0"/>
    <w:rsid w:val="5E5930A3"/>
    <w:rsid w:val="5E5F2BE4"/>
    <w:rsid w:val="5E661E6A"/>
    <w:rsid w:val="5E6E3C6D"/>
    <w:rsid w:val="5E810B9A"/>
    <w:rsid w:val="5E875D6C"/>
    <w:rsid w:val="5E89385E"/>
    <w:rsid w:val="5EA44C3E"/>
    <w:rsid w:val="5EB01B4A"/>
    <w:rsid w:val="5EBA0267"/>
    <w:rsid w:val="5ECF6EC0"/>
    <w:rsid w:val="5EEB540E"/>
    <w:rsid w:val="5EFA4FE0"/>
    <w:rsid w:val="5EFF2771"/>
    <w:rsid w:val="5F154F85"/>
    <w:rsid w:val="5F161EAF"/>
    <w:rsid w:val="5F190D45"/>
    <w:rsid w:val="5F1C63C8"/>
    <w:rsid w:val="5F206187"/>
    <w:rsid w:val="5F2D2472"/>
    <w:rsid w:val="5F2F701B"/>
    <w:rsid w:val="5F374714"/>
    <w:rsid w:val="5F3F180B"/>
    <w:rsid w:val="5F4D1AF1"/>
    <w:rsid w:val="5F4D1F2B"/>
    <w:rsid w:val="5F685C47"/>
    <w:rsid w:val="5F6D531F"/>
    <w:rsid w:val="5F6D53B3"/>
    <w:rsid w:val="5F7A26C3"/>
    <w:rsid w:val="5F802F69"/>
    <w:rsid w:val="5F8221BF"/>
    <w:rsid w:val="5F825BE0"/>
    <w:rsid w:val="5F872646"/>
    <w:rsid w:val="5F8C5989"/>
    <w:rsid w:val="5F8F4396"/>
    <w:rsid w:val="5F9111E6"/>
    <w:rsid w:val="5FAC7B8C"/>
    <w:rsid w:val="5FAF10AF"/>
    <w:rsid w:val="5FBC164F"/>
    <w:rsid w:val="5FC11526"/>
    <w:rsid w:val="5FC324AB"/>
    <w:rsid w:val="5FD5281F"/>
    <w:rsid w:val="5FD71EA0"/>
    <w:rsid w:val="5FDF5DA4"/>
    <w:rsid w:val="5FE321E8"/>
    <w:rsid w:val="5FE609C9"/>
    <w:rsid w:val="5FE60A76"/>
    <w:rsid w:val="5FE767DB"/>
    <w:rsid w:val="5FE9750B"/>
    <w:rsid w:val="5FEB1311"/>
    <w:rsid w:val="5FEB236A"/>
    <w:rsid w:val="5FED01CC"/>
    <w:rsid w:val="5FEF0D71"/>
    <w:rsid w:val="5FEF1F5F"/>
    <w:rsid w:val="5FF20B66"/>
    <w:rsid w:val="5FF71A00"/>
    <w:rsid w:val="5FF72460"/>
    <w:rsid w:val="5FF91092"/>
    <w:rsid w:val="5FFB5A32"/>
    <w:rsid w:val="60040BE6"/>
    <w:rsid w:val="60107C6A"/>
    <w:rsid w:val="601A0E73"/>
    <w:rsid w:val="601C7BA3"/>
    <w:rsid w:val="60254689"/>
    <w:rsid w:val="602B5339"/>
    <w:rsid w:val="60355858"/>
    <w:rsid w:val="60406716"/>
    <w:rsid w:val="605A0420"/>
    <w:rsid w:val="6062017B"/>
    <w:rsid w:val="60664F09"/>
    <w:rsid w:val="606A1580"/>
    <w:rsid w:val="606D5DDF"/>
    <w:rsid w:val="60733548"/>
    <w:rsid w:val="60801AC0"/>
    <w:rsid w:val="6093718E"/>
    <w:rsid w:val="60980C3C"/>
    <w:rsid w:val="609A247C"/>
    <w:rsid w:val="609B015F"/>
    <w:rsid w:val="609E3865"/>
    <w:rsid w:val="60A97FED"/>
    <w:rsid w:val="60C035F1"/>
    <w:rsid w:val="60C32072"/>
    <w:rsid w:val="60C634B1"/>
    <w:rsid w:val="60CC5368"/>
    <w:rsid w:val="60D528D8"/>
    <w:rsid w:val="60D851C7"/>
    <w:rsid w:val="60E5198F"/>
    <w:rsid w:val="60EE2C89"/>
    <w:rsid w:val="60F82E4E"/>
    <w:rsid w:val="610F0528"/>
    <w:rsid w:val="61115698"/>
    <w:rsid w:val="6114357B"/>
    <w:rsid w:val="612122A0"/>
    <w:rsid w:val="61216428"/>
    <w:rsid w:val="612550D4"/>
    <w:rsid w:val="612D1541"/>
    <w:rsid w:val="6130450F"/>
    <w:rsid w:val="613539BF"/>
    <w:rsid w:val="61357248"/>
    <w:rsid w:val="6137252B"/>
    <w:rsid w:val="61374185"/>
    <w:rsid w:val="61423BB9"/>
    <w:rsid w:val="614377B0"/>
    <w:rsid w:val="61455314"/>
    <w:rsid w:val="61487E15"/>
    <w:rsid w:val="614E41B0"/>
    <w:rsid w:val="614F4FD2"/>
    <w:rsid w:val="61531D55"/>
    <w:rsid w:val="61592BAE"/>
    <w:rsid w:val="615C258B"/>
    <w:rsid w:val="615C785F"/>
    <w:rsid w:val="6166751F"/>
    <w:rsid w:val="617D37EC"/>
    <w:rsid w:val="617E2659"/>
    <w:rsid w:val="618A6593"/>
    <w:rsid w:val="618A718C"/>
    <w:rsid w:val="619A2C92"/>
    <w:rsid w:val="619D6B27"/>
    <w:rsid w:val="61A52321"/>
    <w:rsid w:val="61A8554F"/>
    <w:rsid w:val="61AC1B68"/>
    <w:rsid w:val="61AD5404"/>
    <w:rsid w:val="61BF08EA"/>
    <w:rsid w:val="61C121F1"/>
    <w:rsid w:val="61C727F0"/>
    <w:rsid w:val="61D07D9D"/>
    <w:rsid w:val="61D179B0"/>
    <w:rsid w:val="61DD0B30"/>
    <w:rsid w:val="61DE13BA"/>
    <w:rsid w:val="61F5728F"/>
    <w:rsid w:val="61FA7D05"/>
    <w:rsid w:val="620307DC"/>
    <w:rsid w:val="620563EF"/>
    <w:rsid w:val="62084870"/>
    <w:rsid w:val="62096A6E"/>
    <w:rsid w:val="620A2365"/>
    <w:rsid w:val="620F6B48"/>
    <w:rsid w:val="62115608"/>
    <w:rsid w:val="62146D29"/>
    <w:rsid w:val="62194B7D"/>
    <w:rsid w:val="622640D6"/>
    <w:rsid w:val="6236021A"/>
    <w:rsid w:val="62497291"/>
    <w:rsid w:val="624F2E59"/>
    <w:rsid w:val="62565990"/>
    <w:rsid w:val="62573B4F"/>
    <w:rsid w:val="625B6754"/>
    <w:rsid w:val="625D2223"/>
    <w:rsid w:val="625F47D5"/>
    <w:rsid w:val="626362CD"/>
    <w:rsid w:val="62687499"/>
    <w:rsid w:val="62811C1C"/>
    <w:rsid w:val="628D4445"/>
    <w:rsid w:val="628D57F7"/>
    <w:rsid w:val="629113D1"/>
    <w:rsid w:val="62954CD0"/>
    <w:rsid w:val="62A00E0D"/>
    <w:rsid w:val="62B84EC9"/>
    <w:rsid w:val="62C45C55"/>
    <w:rsid w:val="62CC6030"/>
    <w:rsid w:val="62CE7109"/>
    <w:rsid w:val="62CF2C29"/>
    <w:rsid w:val="62D62DE1"/>
    <w:rsid w:val="62D63610"/>
    <w:rsid w:val="62D76235"/>
    <w:rsid w:val="62D76364"/>
    <w:rsid w:val="62F12662"/>
    <w:rsid w:val="62F23BB5"/>
    <w:rsid w:val="630412C5"/>
    <w:rsid w:val="630A21A8"/>
    <w:rsid w:val="630A73BD"/>
    <w:rsid w:val="630E49D4"/>
    <w:rsid w:val="63104F3A"/>
    <w:rsid w:val="63120A35"/>
    <w:rsid w:val="631270A6"/>
    <w:rsid w:val="631D2516"/>
    <w:rsid w:val="63356F4A"/>
    <w:rsid w:val="634233A4"/>
    <w:rsid w:val="634755F0"/>
    <w:rsid w:val="634A1A3F"/>
    <w:rsid w:val="634D4416"/>
    <w:rsid w:val="63513705"/>
    <w:rsid w:val="635E506A"/>
    <w:rsid w:val="63710C2E"/>
    <w:rsid w:val="637452E4"/>
    <w:rsid w:val="637D024B"/>
    <w:rsid w:val="6382657B"/>
    <w:rsid w:val="63842147"/>
    <w:rsid w:val="63876DD8"/>
    <w:rsid w:val="63896278"/>
    <w:rsid w:val="63964B41"/>
    <w:rsid w:val="63A06FB3"/>
    <w:rsid w:val="63A40808"/>
    <w:rsid w:val="63AC6CDF"/>
    <w:rsid w:val="63AF6B80"/>
    <w:rsid w:val="63B0179C"/>
    <w:rsid w:val="63B24304"/>
    <w:rsid w:val="63B75DC7"/>
    <w:rsid w:val="63BC5554"/>
    <w:rsid w:val="63D05A3A"/>
    <w:rsid w:val="63D15554"/>
    <w:rsid w:val="63D16290"/>
    <w:rsid w:val="63D97258"/>
    <w:rsid w:val="63E17798"/>
    <w:rsid w:val="63EE0F31"/>
    <w:rsid w:val="63F04470"/>
    <w:rsid w:val="63F07A9D"/>
    <w:rsid w:val="63F72548"/>
    <w:rsid w:val="63FC4002"/>
    <w:rsid w:val="63FE4BE1"/>
    <w:rsid w:val="63FF750B"/>
    <w:rsid w:val="640B7CEF"/>
    <w:rsid w:val="640F59F9"/>
    <w:rsid w:val="6415407F"/>
    <w:rsid w:val="6424423C"/>
    <w:rsid w:val="643B39A3"/>
    <w:rsid w:val="645B0A4F"/>
    <w:rsid w:val="645C68F4"/>
    <w:rsid w:val="64644411"/>
    <w:rsid w:val="64660080"/>
    <w:rsid w:val="64675C2E"/>
    <w:rsid w:val="64752AD8"/>
    <w:rsid w:val="64826D42"/>
    <w:rsid w:val="648D31BE"/>
    <w:rsid w:val="648F47C4"/>
    <w:rsid w:val="648F7CE9"/>
    <w:rsid w:val="649C33C3"/>
    <w:rsid w:val="64A3073F"/>
    <w:rsid w:val="64A93030"/>
    <w:rsid w:val="64AA52DB"/>
    <w:rsid w:val="64AD31CF"/>
    <w:rsid w:val="64AF0732"/>
    <w:rsid w:val="64B05F53"/>
    <w:rsid w:val="64BA47D7"/>
    <w:rsid w:val="64BC3521"/>
    <w:rsid w:val="64BF11BF"/>
    <w:rsid w:val="64CC53EB"/>
    <w:rsid w:val="64CD79CE"/>
    <w:rsid w:val="64CF40E9"/>
    <w:rsid w:val="64DC18A4"/>
    <w:rsid w:val="64DD387C"/>
    <w:rsid w:val="64E869ED"/>
    <w:rsid w:val="64F543AC"/>
    <w:rsid w:val="650875BB"/>
    <w:rsid w:val="650D0A5E"/>
    <w:rsid w:val="6517573B"/>
    <w:rsid w:val="651C0224"/>
    <w:rsid w:val="6525323D"/>
    <w:rsid w:val="652553DD"/>
    <w:rsid w:val="653508F8"/>
    <w:rsid w:val="65483E7F"/>
    <w:rsid w:val="654A4CD3"/>
    <w:rsid w:val="65526949"/>
    <w:rsid w:val="65595A9E"/>
    <w:rsid w:val="656A0795"/>
    <w:rsid w:val="657D3011"/>
    <w:rsid w:val="6584299C"/>
    <w:rsid w:val="658A37F0"/>
    <w:rsid w:val="65B959B5"/>
    <w:rsid w:val="65BC074E"/>
    <w:rsid w:val="65CD2A69"/>
    <w:rsid w:val="65D50352"/>
    <w:rsid w:val="65DC03E8"/>
    <w:rsid w:val="65DF297F"/>
    <w:rsid w:val="65E31771"/>
    <w:rsid w:val="65E329B5"/>
    <w:rsid w:val="65F461DD"/>
    <w:rsid w:val="65F95605"/>
    <w:rsid w:val="65F962F2"/>
    <w:rsid w:val="66047983"/>
    <w:rsid w:val="66095CD5"/>
    <w:rsid w:val="661A7DCD"/>
    <w:rsid w:val="66264C68"/>
    <w:rsid w:val="66411FD4"/>
    <w:rsid w:val="664D17AB"/>
    <w:rsid w:val="66540173"/>
    <w:rsid w:val="666502A8"/>
    <w:rsid w:val="667124D8"/>
    <w:rsid w:val="6672133B"/>
    <w:rsid w:val="667F66A9"/>
    <w:rsid w:val="66817A49"/>
    <w:rsid w:val="66872EE6"/>
    <w:rsid w:val="66A12500"/>
    <w:rsid w:val="66AE2A14"/>
    <w:rsid w:val="66AF2B5C"/>
    <w:rsid w:val="66B83C92"/>
    <w:rsid w:val="66BB04A5"/>
    <w:rsid w:val="66C86D7C"/>
    <w:rsid w:val="66CA72D5"/>
    <w:rsid w:val="66CF3F0D"/>
    <w:rsid w:val="66DC371F"/>
    <w:rsid w:val="66E0163E"/>
    <w:rsid w:val="66E10AA6"/>
    <w:rsid w:val="66E44230"/>
    <w:rsid w:val="66E44478"/>
    <w:rsid w:val="66EA327D"/>
    <w:rsid w:val="66EB2860"/>
    <w:rsid w:val="66F34426"/>
    <w:rsid w:val="66F47285"/>
    <w:rsid w:val="66F67BFC"/>
    <w:rsid w:val="66F778D2"/>
    <w:rsid w:val="66FE47CC"/>
    <w:rsid w:val="670C026B"/>
    <w:rsid w:val="67127870"/>
    <w:rsid w:val="671760EC"/>
    <w:rsid w:val="671A4C76"/>
    <w:rsid w:val="67202E5B"/>
    <w:rsid w:val="67210CB2"/>
    <w:rsid w:val="6728207D"/>
    <w:rsid w:val="6737437D"/>
    <w:rsid w:val="673A67EA"/>
    <w:rsid w:val="67464CA7"/>
    <w:rsid w:val="6747175F"/>
    <w:rsid w:val="674B16CF"/>
    <w:rsid w:val="675028EE"/>
    <w:rsid w:val="67537A6F"/>
    <w:rsid w:val="675536CB"/>
    <w:rsid w:val="676C7E9F"/>
    <w:rsid w:val="676F0B13"/>
    <w:rsid w:val="67731228"/>
    <w:rsid w:val="67731CFA"/>
    <w:rsid w:val="677519E0"/>
    <w:rsid w:val="67797F4E"/>
    <w:rsid w:val="67822074"/>
    <w:rsid w:val="67897477"/>
    <w:rsid w:val="678B0787"/>
    <w:rsid w:val="678C21D0"/>
    <w:rsid w:val="67A22428"/>
    <w:rsid w:val="67A57011"/>
    <w:rsid w:val="67AB32A9"/>
    <w:rsid w:val="67AD3EB3"/>
    <w:rsid w:val="67AE6A62"/>
    <w:rsid w:val="67B37520"/>
    <w:rsid w:val="67BA73B7"/>
    <w:rsid w:val="67BB4CBD"/>
    <w:rsid w:val="67C01749"/>
    <w:rsid w:val="67C02148"/>
    <w:rsid w:val="67C5611A"/>
    <w:rsid w:val="67C71202"/>
    <w:rsid w:val="67CD2D64"/>
    <w:rsid w:val="67D57A24"/>
    <w:rsid w:val="67DF4D79"/>
    <w:rsid w:val="67DF5838"/>
    <w:rsid w:val="67ED69DF"/>
    <w:rsid w:val="67EF44DE"/>
    <w:rsid w:val="67F8202B"/>
    <w:rsid w:val="68033CB4"/>
    <w:rsid w:val="68094A43"/>
    <w:rsid w:val="68151BFF"/>
    <w:rsid w:val="68180CC5"/>
    <w:rsid w:val="682D2B21"/>
    <w:rsid w:val="68302D14"/>
    <w:rsid w:val="683851E6"/>
    <w:rsid w:val="683E4793"/>
    <w:rsid w:val="68422A04"/>
    <w:rsid w:val="684D2B7F"/>
    <w:rsid w:val="684E5C0C"/>
    <w:rsid w:val="684F254B"/>
    <w:rsid w:val="687377EB"/>
    <w:rsid w:val="6874746B"/>
    <w:rsid w:val="687515A9"/>
    <w:rsid w:val="687749EC"/>
    <w:rsid w:val="68776A9D"/>
    <w:rsid w:val="687A7176"/>
    <w:rsid w:val="6880349B"/>
    <w:rsid w:val="68832B82"/>
    <w:rsid w:val="68863745"/>
    <w:rsid w:val="688749BF"/>
    <w:rsid w:val="6891047C"/>
    <w:rsid w:val="689B2F2E"/>
    <w:rsid w:val="689C761B"/>
    <w:rsid w:val="68A015B4"/>
    <w:rsid w:val="68B0190D"/>
    <w:rsid w:val="68B07DD6"/>
    <w:rsid w:val="68C352AD"/>
    <w:rsid w:val="68D77510"/>
    <w:rsid w:val="68D81B92"/>
    <w:rsid w:val="68D925B8"/>
    <w:rsid w:val="68DD4285"/>
    <w:rsid w:val="68E17E1F"/>
    <w:rsid w:val="68E43B6E"/>
    <w:rsid w:val="68E62FFE"/>
    <w:rsid w:val="68FC644B"/>
    <w:rsid w:val="69056168"/>
    <w:rsid w:val="69083323"/>
    <w:rsid w:val="690851CD"/>
    <w:rsid w:val="690E1BE8"/>
    <w:rsid w:val="690F4F59"/>
    <w:rsid w:val="69107EE6"/>
    <w:rsid w:val="69195137"/>
    <w:rsid w:val="692C2177"/>
    <w:rsid w:val="692E469B"/>
    <w:rsid w:val="692F6DEA"/>
    <w:rsid w:val="69431D08"/>
    <w:rsid w:val="69472888"/>
    <w:rsid w:val="69487FDA"/>
    <w:rsid w:val="694935C3"/>
    <w:rsid w:val="69586AC9"/>
    <w:rsid w:val="6962082D"/>
    <w:rsid w:val="69644E85"/>
    <w:rsid w:val="696757D3"/>
    <w:rsid w:val="6971217B"/>
    <w:rsid w:val="697156DF"/>
    <w:rsid w:val="69817C3F"/>
    <w:rsid w:val="698E4BAF"/>
    <w:rsid w:val="6998543B"/>
    <w:rsid w:val="699B5783"/>
    <w:rsid w:val="69A54596"/>
    <w:rsid w:val="69A60290"/>
    <w:rsid w:val="69AC59E3"/>
    <w:rsid w:val="69AE4071"/>
    <w:rsid w:val="69B813CF"/>
    <w:rsid w:val="69C34F4E"/>
    <w:rsid w:val="69D364AE"/>
    <w:rsid w:val="69D8265A"/>
    <w:rsid w:val="69D85365"/>
    <w:rsid w:val="6A071165"/>
    <w:rsid w:val="6A0B7DAC"/>
    <w:rsid w:val="6A0C6D6E"/>
    <w:rsid w:val="6A2133E5"/>
    <w:rsid w:val="6A236BAC"/>
    <w:rsid w:val="6A2A2688"/>
    <w:rsid w:val="6A2C45BE"/>
    <w:rsid w:val="6A2E4160"/>
    <w:rsid w:val="6A357BFB"/>
    <w:rsid w:val="6A4261B7"/>
    <w:rsid w:val="6A52238A"/>
    <w:rsid w:val="6A647F96"/>
    <w:rsid w:val="6A69163F"/>
    <w:rsid w:val="6A7527E9"/>
    <w:rsid w:val="6A775559"/>
    <w:rsid w:val="6A8353C1"/>
    <w:rsid w:val="6A8F072B"/>
    <w:rsid w:val="6AA52CAB"/>
    <w:rsid w:val="6AAF46A5"/>
    <w:rsid w:val="6AAF778A"/>
    <w:rsid w:val="6AB05F17"/>
    <w:rsid w:val="6AB637E3"/>
    <w:rsid w:val="6AB855DB"/>
    <w:rsid w:val="6AB87F74"/>
    <w:rsid w:val="6AC645F4"/>
    <w:rsid w:val="6AD16416"/>
    <w:rsid w:val="6AD23045"/>
    <w:rsid w:val="6AD31E5B"/>
    <w:rsid w:val="6AD64CED"/>
    <w:rsid w:val="6AD83094"/>
    <w:rsid w:val="6AD9424A"/>
    <w:rsid w:val="6ADB2F41"/>
    <w:rsid w:val="6AE77D15"/>
    <w:rsid w:val="6AED79FC"/>
    <w:rsid w:val="6AFE733F"/>
    <w:rsid w:val="6B0859E1"/>
    <w:rsid w:val="6B1F5B84"/>
    <w:rsid w:val="6B2924ED"/>
    <w:rsid w:val="6B2C79E4"/>
    <w:rsid w:val="6B397541"/>
    <w:rsid w:val="6B460197"/>
    <w:rsid w:val="6B4812ED"/>
    <w:rsid w:val="6B536AD1"/>
    <w:rsid w:val="6B5552E1"/>
    <w:rsid w:val="6B5D3AE2"/>
    <w:rsid w:val="6B5D5169"/>
    <w:rsid w:val="6B6830DA"/>
    <w:rsid w:val="6B6B439E"/>
    <w:rsid w:val="6B6C4037"/>
    <w:rsid w:val="6B7838C2"/>
    <w:rsid w:val="6B7E0E32"/>
    <w:rsid w:val="6B816032"/>
    <w:rsid w:val="6B911907"/>
    <w:rsid w:val="6BAC4BD2"/>
    <w:rsid w:val="6BAC526C"/>
    <w:rsid w:val="6BB14A07"/>
    <w:rsid w:val="6BB60908"/>
    <w:rsid w:val="6BCA50CA"/>
    <w:rsid w:val="6BD53187"/>
    <w:rsid w:val="6BDC5C7B"/>
    <w:rsid w:val="6BE3027B"/>
    <w:rsid w:val="6BFB606B"/>
    <w:rsid w:val="6C084DC9"/>
    <w:rsid w:val="6C162730"/>
    <w:rsid w:val="6C164F73"/>
    <w:rsid w:val="6C2F1C62"/>
    <w:rsid w:val="6C2F600A"/>
    <w:rsid w:val="6C4028D4"/>
    <w:rsid w:val="6C4050AE"/>
    <w:rsid w:val="6C525380"/>
    <w:rsid w:val="6C565DDA"/>
    <w:rsid w:val="6C5A60CB"/>
    <w:rsid w:val="6C5A7C50"/>
    <w:rsid w:val="6C6B0873"/>
    <w:rsid w:val="6C946EF6"/>
    <w:rsid w:val="6C9D0B3F"/>
    <w:rsid w:val="6CB26AE0"/>
    <w:rsid w:val="6CB9243A"/>
    <w:rsid w:val="6CCD1FDC"/>
    <w:rsid w:val="6CCE2F73"/>
    <w:rsid w:val="6CD13915"/>
    <w:rsid w:val="6CEF41B1"/>
    <w:rsid w:val="6CF3206F"/>
    <w:rsid w:val="6CF519EA"/>
    <w:rsid w:val="6D06418F"/>
    <w:rsid w:val="6D0867F2"/>
    <w:rsid w:val="6D0B7CF7"/>
    <w:rsid w:val="6D0F1764"/>
    <w:rsid w:val="6D112142"/>
    <w:rsid w:val="6D2E16B2"/>
    <w:rsid w:val="6D3E606B"/>
    <w:rsid w:val="6D423AF8"/>
    <w:rsid w:val="6D4560EA"/>
    <w:rsid w:val="6D497741"/>
    <w:rsid w:val="6D524772"/>
    <w:rsid w:val="6D547D57"/>
    <w:rsid w:val="6D5904A9"/>
    <w:rsid w:val="6D684874"/>
    <w:rsid w:val="6D702901"/>
    <w:rsid w:val="6D7B1108"/>
    <w:rsid w:val="6D7B4CAA"/>
    <w:rsid w:val="6D817F6B"/>
    <w:rsid w:val="6D903939"/>
    <w:rsid w:val="6D932735"/>
    <w:rsid w:val="6D9D64E4"/>
    <w:rsid w:val="6DA17190"/>
    <w:rsid w:val="6DA60F46"/>
    <w:rsid w:val="6DA717A5"/>
    <w:rsid w:val="6DB00DD1"/>
    <w:rsid w:val="6DB14513"/>
    <w:rsid w:val="6DB7016B"/>
    <w:rsid w:val="6DC146AC"/>
    <w:rsid w:val="6DCD2023"/>
    <w:rsid w:val="6DD3086A"/>
    <w:rsid w:val="6DD3781F"/>
    <w:rsid w:val="6DD77D17"/>
    <w:rsid w:val="6DDB5FC9"/>
    <w:rsid w:val="6DDC65AE"/>
    <w:rsid w:val="6DE03CF7"/>
    <w:rsid w:val="6DE21FD2"/>
    <w:rsid w:val="6DF568F0"/>
    <w:rsid w:val="6E001675"/>
    <w:rsid w:val="6E031430"/>
    <w:rsid w:val="6E0627CF"/>
    <w:rsid w:val="6E0F0E64"/>
    <w:rsid w:val="6E174EA1"/>
    <w:rsid w:val="6E2521ED"/>
    <w:rsid w:val="6E3E026B"/>
    <w:rsid w:val="6E3F76F8"/>
    <w:rsid w:val="6E436208"/>
    <w:rsid w:val="6E615BE4"/>
    <w:rsid w:val="6E6D44DC"/>
    <w:rsid w:val="6E75208A"/>
    <w:rsid w:val="6E88703C"/>
    <w:rsid w:val="6E8D2D64"/>
    <w:rsid w:val="6E9320E1"/>
    <w:rsid w:val="6E95584A"/>
    <w:rsid w:val="6E9B2B83"/>
    <w:rsid w:val="6E9E318F"/>
    <w:rsid w:val="6EBA7EE5"/>
    <w:rsid w:val="6EBD23CA"/>
    <w:rsid w:val="6EC02765"/>
    <w:rsid w:val="6EC050AA"/>
    <w:rsid w:val="6EC32623"/>
    <w:rsid w:val="6EC76ECB"/>
    <w:rsid w:val="6EC97288"/>
    <w:rsid w:val="6ECA07F8"/>
    <w:rsid w:val="6ECF6801"/>
    <w:rsid w:val="6ED6350D"/>
    <w:rsid w:val="6ED93EE8"/>
    <w:rsid w:val="6EDC6C92"/>
    <w:rsid w:val="6EE21079"/>
    <w:rsid w:val="6EE97D25"/>
    <w:rsid w:val="6EEC3ACC"/>
    <w:rsid w:val="6EF8417B"/>
    <w:rsid w:val="6EFC51A7"/>
    <w:rsid w:val="6F022C8D"/>
    <w:rsid w:val="6F0332A0"/>
    <w:rsid w:val="6F09639E"/>
    <w:rsid w:val="6F0C1C23"/>
    <w:rsid w:val="6F17044E"/>
    <w:rsid w:val="6F1C4D17"/>
    <w:rsid w:val="6F225CBC"/>
    <w:rsid w:val="6F2E7439"/>
    <w:rsid w:val="6F441EA7"/>
    <w:rsid w:val="6F44734F"/>
    <w:rsid w:val="6F4F0EA9"/>
    <w:rsid w:val="6F687664"/>
    <w:rsid w:val="6F6A1743"/>
    <w:rsid w:val="6F794770"/>
    <w:rsid w:val="6F814AA6"/>
    <w:rsid w:val="6F8D4885"/>
    <w:rsid w:val="6FA37C43"/>
    <w:rsid w:val="6FAC3CC5"/>
    <w:rsid w:val="6FB1434F"/>
    <w:rsid w:val="6FB21237"/>
    <w:rsid w:val="6FCB6DDD"/>
    <w:rsid w:val="6FCF306D"/>
    <w:rsid w:val="6FD41D6B"/>
    <w:rsid w:val="6FD73FC3"/>
    <w:rsid w:val="6FE74DA4"/>
    <w:rsid w:val="6FF01A50"/>
    <w:rsid w:val="6FFF0EAF"/>
    <w:rsid w:val="70014751"/>
    <w:rsid w:val="700430BB"/>
    <w:rsid w:val="700F0589"/>
    <w:rsid w:val="701061EF"/>
    <w:rsid w:val="701A77E2"/>
    <w:rsid w:val="702C4469"/>
    <w:rsid w:val="70330A63"/>
    <w:rsid w:val="703C7C05"/>
    <w:rsid w:val="703C7E3E"/>
    <w:rsid w:val="703D4598"/>
    <w:rsid w:val="705967FE"/>
    <w:rsid w:val="706B337F"/>
    <w:rsid w:val="706B42ED"/>
    <w:rsid w:val="70806D76"/>
    <w:rsid w:val="70963ECB"/>
    <w:rsid w:val="70996628"/>
    <w:rsid w:val="70A4587C"/>
    <w:rsid w:val="70A47A9D"/>
    <w:rsid w:val="70C545DA"/>
    <w:rsid w:val="70CF2B23"/>
    <w:rsid w:val="70D511A9"/>
    <w:rsid w:val="70DF1D1A"/>
    <w:rsid w:val="70E01424"/>
    <w:rsid w:val="70E23211"/>
    <w:rsid w:val="70E278DE"/>
    <w:rsid w:val="70E57D04"/>
    <w:rsid w:val="71083F82"/>
    <w:rsid w:val="71160BE8"/>
    <w:rsid w:val="711E1809"/>
    <w:rsid w:val="71215047"/>
    <w:rsid w:val="712B3991"/>
    <w:rsid w:val="71421533"/>
    <w:rsid w:val="71450AB2"/>
    <w:rsid w:val="71465E14"/>
    <w:rsid w:val="714B5600"/>
    <w:rsid w:val="71590CF2"/>
    <w:rsid w:val="71592F1E"/>
    <w:rsid w:val="715B208C"/>
    <w:rsid w:val="718D41DB"/>
    <w:rsid w:val="7193569A"/>
    <w:rsid w:val="71960B82"/>
    <w:rsid w:val="719A5616"/>
    <w:rsid w:val="71AF6288"/>
    <w:rsid w:val="71B94779"/>
    <w:rsid w:val="71C018D3"/>
    <w:rsid w:val="71C155DF"/>
    <w:rsid w:val="71C17F4B"/>
    <w:rsid w:val="71D4692B"/>
    <w:rsid w:val="71D928AE"/>
    <w:rsid w:val="71E26A1F"/>
    <w:rsid w:val="71EA404B"/>
    <w:rsid w:val="71F610B1"/>
    <w:rsid w:val="71FB480F"/>
    <w:rsid w:val="71FD344C"/>
    <w:rsid w:val="71FF5B90"/>
    <w:rsid w:val="72022620"/>
    <w:rsid w:val="72026BFC"/>
    <w:rsid w:val="72117352"/>
    <w:rsid w:val="721216E2"/>
    <w:rsid w:val="72136FD4"/>
    <w:rsid w:val="721B59E3"/>
    <w:rsid w:val="721C64AF"/>
    <w:rsid w:val="721E48D5"/>
    <w:rsid w:val="722919F4"/>
    <w:rsid w:val="723312D6"/>
    <w:rsid w:val="723372F2"/>
    <w:rsid w:val="72371868"/>
    <w:rsid w:val="724758F4"/>
    <w:rsid w:val="724938BA"/>
    <w:rsid w:val="72596DA7"/>
    <w:rsid w:val="725A667E"/>
    <w:rsid w:val="725E2D88"/>
    <w:rsid w:val="72966AB6"/>
    <w:rsid w:val="729670E4"/>
    <w:rsid w:val="72A03324"/>
    <w:rsid w:val="72A563EC"/>
    <w:rsid w:val="72AD2895"/>
    <w:rsid w:val="72BA6400"/>
    <w:rsid w:val="72BB681B"/>
    <w:rsid w:val="72D07AA5"/>
    <w:rsid w:val="72D355CE"/>
    <w:rsid w:val="72F16021"/>
    <w:rsid w:val="72F6733E"/>
    <w:rsid w:val="72FE293C"/>
    <w:rsid w:val="73247189"/>
    <w:rsid w:val="732B2A37"/>
    <w:rsid w:val="73301AF9"/>
    <w:rsid w:val="73380CE6"/>
    <w:rsid w:val="73426D24"/>
    <w:rsid w:val="734F1F74"/>
    <w:rsid w:val="73526573"/>
    <w:rsid w:val="7353473E"/>
    <w:rsid w:val="73542C4E"/>
    <w:rsid w:val="735B294D"/>
    <w:rsid w:val="735E7448"/>
    <w:rsid w:val="736F4D0E"/>
    <w:rsid w:val="73700498"/>
    <w:rsid w:val="737653DA"/>
    <w:rsid w:val="73787AA4"/>
    <w:rsid w:val="7381453C"/>
    <w:rsid w:val="738760D9"/>
    <w:rsid w:val="739262C5"/>
    <w:rsid w:val="739A1C0A"/>
    <w:rsid w:val="73A9288E"/>
    <w:rsid w:val="73AB26A1"/>
    <w:rsid w:val="73B1779C"/>
    <w:rsid w:val="73C07C7F"/>
    <w:rsid w:val="73C32266"/>
    <w:rsid w:val="73C342E5"/>
    <w:rsid w:val="73C37F4D"/>
    <w:rsid w:val="73D15603"/>
    <w:rsid w:val="73DB1200"/>
    <w:rsid w:val="73F24699"/>
    <w:rsid w:val="73FA42D5"/>
    <w:rsid w:val="73FC40AC"/>
    <w:rsid w:val="741C28D9"/>
    <w:rsid w:val="741E320F"/>
    <w:rsid w:val="74253DD9"/>
    <w:rsid w:val="7435038D"/>
    <w:rsid w:val="7438763D"/>
    <w:rsid w:val="743F3744"/>
    <w:rsid w:val="74413BF7"/>
    <w:rsid w:val="744E49AB"/>
    <w:rsid w:val="744F1BED"/>
    <w:rsid w:val="74572AC3"/>
    <w:rsid w:val="74682D09"/>
    <w:rsid w:val="746A588D"/>
    <w:rsid w:val="746F1F86"/>
    <w:rsid w:val="74746289"/>
    <w:rsid w:val="7475166F"/>
    <w:rsid w:val="74751987"/>
    <w:rsid w:val="74837AC1"/>
    <w:rsid w:val="748F47C8"/>
    <w:rsid w:val="74A17E1F"/>
    <w:rsid w:val="74BC4552"/>
    <w:rsid w:val="74C076AC"/>
    <w:rsid w:val="74CC1E04"/>
    <w:rsid w:val="74DD52D9"/>
    <w:rsid w:val="74DE3363"/>
    <w:rsid w:val="74E03463"/>
    <w:rsid w:val="74E13868"/>
    <w:rsid w:val="74E16F2D"/>
    <w:rsid w:val="74F15328"/>
    <w:rsid w:val="74F2275A"/>
    <w:rsid w:val="74F52D67"/>
    <w:rsid w:val="750F3A6D"/>
    <w:rsid w:val="751A1820"/>
    <w:rsid w:val="75215FA1"/>
    <w:rsid w:val="75225ED0"/>
    <w:rsid w:val="752A6A02"/>
    <w:rsid w:val="752F6B7E"/>
    <w:rsid w:val="75350FF6"/>
    <w:rsid w:val="75471097"/>
    <w:rsid w:val="75527D89"/>
    <w:rsid w:val="75641EFF"/>
    <w:rsid w:val="756E267F"/>
    <w:rsid w:val="757B3226"/>
    <w:rsid w:val="758236D9"/>
    <w:rsid w:val="758D7D3B"/>
    <w:rsid w:val="75996398"/>
    <w:rsid w:val="759A5B7B"/>
    <w:rsid w:val="75AD7F94"/>
    <w:rsid w:val="75AF2BB4"/>
    <w:rsid w:val="75B054DA"/>
    <w:rsid w:val="75BB72F8"/>
    <w:rsid w:val="75C23E0B"/>
    <w:rsid w:val="75DB3349"/>
    <w:rsid w:val="75DC2E8D"/>
    <w:rsid w:val="75DD1658"/>
    <w:rsid w:val="75E30ADF"/>
    <w:rsid w:val="75E448E3"/>
    <w:rsid w:val="75E55128"/>
    <w:rsid w:val="75E91C01"/>
    <w:rsid w:val="75EA4FE2"/>
    <w:rsid w:val="75F852EA"/>
    <w:rsid w:val="76083250"/>
    <w:rsid w:val="7609193A"/>
    <w:rsid w:val="760B39E5"/>
    <w:rsid w:val="761C30B1"/>
    <w:rsid w:val="764912DB"/>
    <w:rsid w:val="76497EB8"/>
    <w:rsid w:val="764C6CB3"/>
    <w:rsid w:val="7652572E"/>
    <w:rsid w:val="765972B7"/>
    <w:rsid w:val="765D7F92"/>
    <w:rsid w:val="766C7548"/>
    <w:rsid w:val="7673537A"/>
    <w:rsid w:val="76901662"/>
    <w:rsid w:val="769D1BDA"/>
    <w:rsid w:val="76A20DFA"/>
    <w:rsid w:val="76B76A8C"/>
    <w:rsid w:val="76CC346E"/>
    <w:rsid w:val="76D43DDF"/>
    <w:rsid w:val="76D7073C"/>
    <w:rsid w:val="76DD1FE6"/>
    <w:rsid w:val="76E74CA4"/>
    <w:rsid w:val="76F74273"/>
    <w:rsid w:val="76F852A3"/>
    <w:rsid w:val="76FC6CE6"/>
    <w:rsid w:val="77000D49"/>
    <w:rsid w:val="77042DE9"/>
    <w:rsid w:val="770904A2"/>
    <w:rsid w:val="770B2F1E"/>
    <w:rsid w:val="77110C5C"/>
    <w:rsid w:val="771A0A72"/>
    <w:rsid w:val="771F594B"/>
    <w:rsid w:val="772B53E9"/>
    <w:rsid w:val="774833C8"/>
    <w:rsid w:val="774863B5"/>
    <w:rsid w:val="77560AC5"/>
    <w:rsid w:val="775639B4"/>
    <w:rsid w:val="77632F7C"/>
    <w:rsid w:val="7765792E"/>
    <w:rsid w:val="77723DD6"/>
    <w:rsid w:val="777410A3"/>
    <w:rsid w:val="77746B0A"/>
    <w:rsid w:val="777F14CD"/>
    <w:rsid w:val="77933F69"/>
    <w:rsid w:val="77B900DA"/>
    <w:rsid w:val="77C170BD"/>
    <w:rsid w:val="77D97813"/>
    <w:rsid w:val="77EA12B4"/>
    <w:rsid w:val="77EC5291"/>
    <w:rsid w:val="78163BC3"/>
    <w:rsid w:val="781A6CC9"/>
    <w:rsid w:val="781C1B22"/>
    <w:rsid w:val="781E1078"/>
    <w:rsid w:val="78284AD2"/>
    <w:rsid w:val="78330F07"/>
    <w:rsid w:val="78360338"/>
    <w:rsid w:val="78393D2C"/>
    <w:rsid w:val="78395F89"/>
    <w:rsid w:val="78407A0D"/>
    <w:rsid w:val="78471E72"/>
    <w:rsid w:val="785309F8"/>
    <w:rsid w:val="78536178"/>
    <w:rsid w:val="78612106"/>
    <w:rsid w:val="786373A7"/>
    <w:rsid w:val="786C4C0B"/>
    <w:rsid w:val="787A454C"/>
    <w:rsid w:val="7887474C"/>
    <w:rsid w:val="788E297C"/>
    <w:rsid w:val="78905221"/>
    <w:rsid w:val="78A46C08"/>
    <w:rsid w:val="78AF60D1"/>
    <w:rsid w:val="78C35C41"/>
    <w:rsid w:val="78C728B3"/>
    <w:rsid w:val="78CA35E9"/>
    <w:rsid w:val="78E034A8"/>
    <w:rsid w:val="78E34C97"/>
    <w:rsid w:val="78FC1BE3"/>
    <w:rsid w:val="78FE7F71"/>
    <w:rsid w:val="79094209"/>
    <w:rsid w:val="791005FD"/>
    <w:rsid w:val="79173B41"/>
    <w:rsid w:val="791865B0"/>
    <w:rsid w:val="791E5C81"/>
    <w:rsid w:val="791E6B82"/>
    <w:rsid w:val="791F3F2F"/>
    <w:rsid w:val="792105B8"/>
    <w:rsid w:val="7927277D"/>
    <w:rsid w:val="79377C96"/>
    <w:rsid w:val="793B3930"/>
    <w:rsid w:val="793F164B"/>
    <w:rsid w:val="793F71C6"/>
    <w:rsid w:val="79551A2A"/>
    <w:rsid w:val="796F19E6"/>
    <w:rsid w:val="79707849"/>
    <w:rsid w:val="797E23E2"/>
    <w:rsid w:val="798D1752"/>
    <w:rsid w:val="798E7CCD"/>
    <w:rsid w:val="798F7012"/>
    <w:rsid w:val="79A03178"/>
    <w:rsid w:val="79AD3939"/>
    <w:rsid w:val="79C310DD"/>
    <w:rsid w:val="79CA56B4"/>
    <w:rsid w:val="79DF47AD"/>
    <w:rsid w:val="79E24918"/>
    <w:rsid w:val="79EE7C8C"/>
    <w:rsid w:val="79F622F5"/>
    <w:rsid w:val="7A082690"/>
    <w:rsid w:val="7A1E1B4C"/>
    <w:rsid w:val="7A28421D"/>
    <w:rsid w:val="7A2E3CF3"/>
    <w:rsid w:val="7A3C098F"/>
    <w:rsid w:val="7A3C5A34"/>
    <w:rsid w:val="7A460C55"/>
    <w:rsid w:val="7A4B41FD"/>
    <w:rsid w:val="7A4F318E"/>
    <w:rsid w:val="7A5E1AFB"/>
    <w:rsid w:val="7A6B11FB"/>
    <w:rsid w:val="7A7E2232"/>
    <w:rsid w:val="7A7F7A06"/>
    <w:rsid w:val="7A86031A"/>
    <w:rsid w:val="7A886C4E"/>
    <w:rsid w:val="7A98733C"/>
    <w:rsid w:val="7A9B5675"/>
    <w:rsid w:val="7AAD3E09"/>
    <w:rsid w:val="7AAD5281"/>
    <w:rsid w:val="7AB95AE8"/>
    <w:rsid w:val="7ABB615D"/>
    <w:rsid w:val="7ACC7CA9"/>
    <w:rsid w:val="7ACE24D1"/>
    <w:rsid w:val="7AD01C4F"/>
    <w:rsid w:val="7ADE1CA5"/>
    <w:rsid w:val="7AE9147F"/>
    <w:rsid w:val="7AF2579C"/>
    <w:rsid w:val="7AFD7877"/>
    <w:rsid w:val="7B033E27"/>
    <w:rsid w:val="7B064BA5"/>
    <w:rsid w:val="7B083109"/>
    <w:rsid w:val="7B0F257F"/>
    <w:rsid w:val="7B1B7ED8"/>
    <w:rsid w:val="7B262BEC"/>
    <w:rsid w:val="7B3C15B5"/>
    <w:rsid w:val="7B3D76C6"/>
    <w:rsid w:val="7B40140D"/>
    <w:rsid w:val="7B51437B"/>
    <w:rsid w:val="7B5D2455"/>
    <w:rsid w:val="7B5F1F5E"/>
    <w:rsid w:val="7B5F3121"/>
    <w:rsid w:val="7B6334FC"/>
    <w:rsid w:val="7B914DCF"/>
    <w:rsid w:val="7B93048C"/>
    <w:rsid w:val="7B9D0B9B"/>
    <w:rsid w:val="7B9F27CD"/>
    <w:rsid w:val="7B9F2D65"/>
    <w:rsid w:val="7BAE0A51"/>
    <w:rsid w:val="7BAE17E9"/>
    <w:rsid w:val="7BB34795"/>
    <w:rsid w:val="7BBA3FD0"/>
    <w:rsid w:val="7BBB36F9"/>
    <w:rsid w:val="7BBB7676"/>
    <w:rsid w:val="7BBF38B8"/>
    <w:rsid w:val="7BC87CFE"/>
    <w:rsid w:val="7BCC6F38"/>
    <w:rsid w:val="7BD13B43"/>
    <w:rsid w:val="7BDF1792"/>
    <w:rsid w:val="7BE04CBF"/>
    <w:rsid w:val="7BFC644A"/>
    <w:rsid w:val="7BFE58F9"/>
    <w:rsid w:val="7C08722F"/>
    <w:rsid w:val="7C1B5F31"/>
    <w:rsid w:val="7C1F2AE2"/>
    <w:rsid w:val="7C255230"/>
    <w:rsid w:val="7C3051CE"/>
    <w:rsid w:val="7C4E6C98"/>
    <w:rsid w:val="7C5430D2"/>
    <w:rsid w:val="7C592986"/>
    <w:rsid w:val="7C5A0160"/>
    <w:rsid w:val="7C62341F"/>
    <w:rsid w:val="7C652DBE"/>
    <w:rsid w:val="7C656836"/>
    <w:rsid w:val="7C677025"/>
    <w:rsid w:val="7C6B7DE8"/>
    <w:rsid w:val="7C6D2A1D"/>
    <w:rsid w:val="7C6F6D6C"/>
    <w:rsid w:val="7C7614AA"/>
    <w:rsid w:val="7C7906DC"/>
    <w:rsid w:val="7C821F62"/>
    <w:rsid w:val="7C83389A"/>
    <w:rsid w:val="7C8D18F2"/>
    <w:rsid w:val="7C8D1CE5"/>
    <w:rsid w:val="7C8F26FF"/>
    <w:rsid w:val="7CA573A7"/>
    <w:rsid w:val="7CA6593A"/>
    <w:rsid w:val="7CCD2514"/>
    <w:rsid w:val="7CCD74AC"/>
    <w:rsid w:val="7CD806C2"/>
    <w:rsid w:val="7CDB7475"/>
    <w:rsid w:val="7CE96F85"/>
    <w:rsid w:val="7CF0251E"/>
    <w:rsid w:val="7CF605E7"/>
    <w:rsid w:val="7CF83C4C"/>
    <w:rsid w:val="7D062CA9"/>
    <w:rsid w:val="7D0941E0"/>
    <w:rsid w:val="7D0C6029"/>
    <w:rsid w:val="7D0D29D4"/>
    <w:rsid w:val="7D0F7785"/>
    <w:rsid w:val="7D120317"/>
    <w:rsid w:val="7D150610"/>
    <w:rsid w:val="7D1760A0"/>
    <w:rsid w:val="7D1C770C"/>
    <w:rsid w:val="7D203CFB"/>
    <w:rsid w:val="7D2223A9"/>
    <w:rsid w:val="7D315D59"/>
    <w:rsid w:val="7D400027"/>
    <w:rsid w:val="7D4B6517"/>
    <w:rsid w:val="7D5D253D"/>
    <w:rsid w:val="7D5E6BB9"/>
    <w:rsid w:val="7D7039DB"/>
    <w:rsid w:val="7D7F4AF0"/>
    <w:rsid w:val="7D9228D5"/>
    <w:rsid w:val="7DB15A1F"/>
    <w:rsid w:val="7DB206CB"/>
    <w:rsid w:val="7DB97A4A"/>
    <w:rsid w:val="7DC02CD7"/>
    <w:rsid w:val="7DC46E09"/>
    <w:rsid w:val="7DC934B4"/>
    <w:rsid w:val="7DCB0A48"/>
    <w:rsid w:val="7DCF7291"/>
    <w:rsid w:val="7DD2780C"/>
    <w:rsid w:val="7DDB24FD"/>
    <w:rsid w:val="7DE334AC"/>
    <w:rsid w:val="7DEC4E1B"/>
    <w:rsid w:val="7DF128DE"/>
    <w:rsid w:val="7DF829D2"/>
    <w:rsid w:val="7E1C6B9E"/>
    <w:rsid w:val="7E1D7E39"/>
    <w:rsid w:val="7E20467A"/>
    <w:rsid w:val="7E22285B"/>
    <w:rsid w:val="7E2B3BF0"/>
    <w:rsid w:val="7E2E2BB6"/>
    <w:rsid w:val="7E2F3040"/>
    <w:rsid w:val="7E3348A1"/>
    <w:rsid w:val="7E340060"/>
    <w:rsid w:val="7E3874EF"/>
    <w:rsid w:val="7E3904C3"/>
    <w:rsid w:val="7E3D0B5C"/>
    <w:rsid w:val="7E42506D"/>
    <w:rsid w:val="7E482E66"/>
    <w:rsid w:val="7E4C0124"/>
    <w:rsid w:val="7E58065A"/>
    <w:rsid w:val="7E581289"/>
    <w:rsid w:val="7E5A66EF"/>
    <w:rsid w:val="7E6C4383"/>
    <w:rsid w:val="7E9633BF"/>
    <w:rsid w:val="7E9D1C80"/>
    <w:rsid w:val="7EAA5A50"/>
    <w:rsid w:val="7EB42377"/>
    <w:rsid w:val="7EC15DB4"/>
    <w:rsid w:val="7ECD2CE5"/>
    <w:rsid w:val="7EDD266F"/>
    <w:rsid w:val="7EE527EB"/>
    <w:rsid w:val="7EF97BE0"/>
    <w:rsid w:val="7EFB3DBC"/>
    <w:rsid w:val="7F1110D3"/>
    <w:rsid w:val="7F132EA3"/>
    <w:rsid w:val="7F166E48"/>
    <w:rsid w:val="7F19575E"/>
    <w:rsid w:val="7F350438"/>
    <w:rsid w:val="7F3F4994"/>
    <w:rsid w:val="7F403EC5"/>
    <w:rsid w:val="7F47412F"/>
    <w:rsid w:val="7F476894"/>
    <w:rsid w:val="7F51490A"/>
    <w:rsid w:val="7F573B88"/>
    <w:rsid w:val="7F5A200B"/>
    <w:rsid w:val="7F5E291A"/>
    <w:rsid w:val="7F7703D1"/>
    <w:rsid w:val="7F811262"/>
    <w:rsid w:val="7F813905"/>
    <w:rsid w:val="7F95794F"/>
    <w:rsid w:val="7F977BD5"/>
    <w:rsid w:val="7F9B558F"/>
    <w:rsid w:val="7F9E5439"/>
    <w:rsid w:val="7FA148D8"/>
    <w:rsid w:val="7FA65552"/>
    <w:rsid w:val="7FA91760"/>
    <w:rsid w:val="7FAA4CB2"/>
    <w:rsid w:val="7FBC02B1"/>
    <w:rsid w:val="7FBF49DE"/>
    <w:rsid w:val="7FC32B3F"/>
    <w:rsid w:val="7FC9493B"/>
    <w:rsid w:val="7FD22877"/>
    <w:rsid w:val="7FE374CE"/>
    <w:rsid w:val="7FEE5C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 w:semiHidden="0" w:name="heading 3"/>
    <w:lsdException w:qFormat="1" w:unhideWhenUsed="0" w:uiPriority="0"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99" w:semiHidden="0"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qFormat="1" w:uiPriority="99" w:semiHidden="0" w:name="HTML Keyboard"/>
    <w:lsdException w:uiPriority="99"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1"/>
    <w:basedOn w:val="1"/>
    <w:next w:val="1"/>
    <w:link w:val="40"/>
    <w:qFormat/>
    <w:uiPriority w:val="99"/>
    <w:pPr>
      <w:keepNext/>
      <w:keepLines/>
      <w:numPr>
        <w:ilvl w:val="0"/>
        <w:numId w:val="1"/>
      </w:numPr>
      <w:spacing w:line="360" w:lineRule="auto"/>
      <w:jc w:val="center"/>
      <w:outlineLvl w:val="0"/>
    </w:pPr>
    <w:rPr>
      <w:b/>
      <w:bCs/>
      <w:kern w:val="44"/>
      <w:sz w:val="32"/>
      <w:szCs w:val="44"/>
    </w:rPr>
  </w:style>
  <w:style w:type="paragraph" w:styleId="5">
    <w:name w:val="heading 2"/>
    <w:basedOn w:val="1"/>
    <w:next w:val="1"/>
    <w:link w:val="41"/>
    <w:qFormat/>
    <w:uiPriority w:val="99"/>
    <w:pPr>
      <w:keepNext/>
      <w:keepLines/>
      <w:numPr>
        <w:ilvl w:val="1"/>
        <w:numId w:val="1"/>
      </w:numPr>
      <w:spacing w:line="480" w:lineRule="auto"/>
      <w:outlineLvl w:val="1"/>
    </w:pPr>
    <w:rPr>
      <w:b/>
      <w:color w:val="000000"/>
      <w:kern w:val="21"/>
      <w:sz w:val="32"/>
      <w:szCs w:val="32"/>
    </w:rPr>
  </w:style>
  <w:style w:type="paragraph" w:styleId="6">
    <w:name w:val="heading 3"/>
    <w:basedOn w:val="1"/>
    <w:next w:val="1"/>
    <w:link w:val="42"/>
    <w:qFormat/>
    <w:uiPriority w:val="9"/>
    <w:pPr>
      <w:keepNext/>
      <w:keepLines/>
      <w:spacing w:line="413" w:lineRule="auto"/>
      <w:outlineLvl w:val="2"/>
    </w:pPr>
    <w:rPr>
      <w:b/>
      <w:bCs/>
      <w:sz w:val="32"/>
      <w:szCs w:val="32"/>
    </w:rPr>
  </w:style>
  <w:style w:type="paragraph" w:styleId="7">
    <w:name w:val="heading 4"/>
    <w:basedOn w:val="1"/>
    <w:next w:val="1"/>
    <w:qFormat/>
    <w:locked/>
    <w:uiPriority w:val="0"/>
    <w:pPr>
      <w:keepNext/>
      <w:keepLines/>
      <w:spacing w:before="280" w:beforeLines="0" w:beforeAutospacing="0" w:after="290" w:afterLines="0" w:afterAutospacing="0" w:line="374" w:lineRule="auto"/>
      <w:outlineLvl w:val="3"/>
    </w:pPr>
    <w:rPr>
      <w:rFonts w:ascii="Arial" w:hAnsi="Arial"/>
      <w:sz w:val="24"/>
    </w:rPr>
  </w:style>
  <w:style w:type="paragraph" w:styleId="8">
    <w:name w:val="heading 5"/>
    <w:basedOn w:val="1"/>
    <w:next w:val="1"/>
    <w:qFormat/>
    <w:locked/>
    <w:uiPriority w:val="0"/>
    <w:pPr>
      <w:widowControl w:val="0"/>
      <w:spacing w:before="0" w:after="0"/>
      <w:ind w:left="1188" w:right="0" w:hanging="520"/>
      <w:jc w:val="both"/>
      <w:outlineLvl w:val="4"/>
    </w:pPr>
    <w:rPr>
      <w:rFonts w:ascii="Microsoft JhengHei" w:hAnsi="Microsoft JhengHei" w:eastAsia="Microsoft JhengHei" w:cs="Microsoft JhengHei"/>
      <w:b/>
      <w:bCs/>
      <w:kern w:val="2"/>
      <w:sz w:val="21"/>
      <w:szCs w:val="21"/>
      <w:lang w:val="zh-CN" w:eastAsia="zh-CN" w:bidi="zh-CN"/>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2"/>
    <w:basedOn w:val="1"/>
    <w:next w:val="3"/>
    <w:qFormat/>
    <w:uiPriority w:val="0"/>
    <w:pPr>
      <w:spacing w:line="500" w:lineRule="exact"/>
    </w:pPr>
    <w:rPr>
      <w:rFonts w:ascii="宋体"/>
      <w:sz w:val="24"/>
    </w:rPr>
  </w:style>
  <w:style w:type="paragraph" w:styleId="3">
    <w:name w:val="Body Text"/>
    <w:basedOn w:val="1"/>
    <w:next w:val="1"/>
    <w:link w:val="45"/>
    <w:qFormat/>
    <w:uiPriority w:val="99"/>
    <w:rPr>
      <w:kern w:val="0"/>
    </w:rPr>
  </w:style>
  <w:style w:type="paragraph" w:styleId="9">
    <w:name w:val="Normal Indent"/>
    <w:basedOn w:val="1"/>
    <w:qFormat/>
    <w:uiPriority w:val="0"/>
    <w:pPr>
      <w:widowControl/>
      <w:ind w:firstLine="420"/>
      <w:jc w:val="left"/>
    </w:pPr>
    <w:rPr>
      <w:kern w:val="0"/>
      <w:sz w:val="20"/>
    </w:rPr>
  </w:style>
  <w:style w:type="paragraph" w:styleId="10">
    <w:name w:val="Document Map"/>
    <w:basedOn w:val="1"/>
    <w:semiHidden/>
    <w:qFormat/>
    <w:uiPriority w:val="0"/>
    <w:pPr>
      <w:shd w:val="clear" w:color="auto" w:fill="000080"/>
    </w:pPr>
  </w:style>
  <w:style w:type="paragraph" w:styleId="11">
    <w:name w:val="annotation text"/>
    <w:basedOn w:val="1"/>
    <w:link w:val="43"/>
    <w:unhideWhenUsed/>
    <w:qFormat/>
    <w:uiPriority w:val="99"/>
    <w:pPr>
      <w:jc w:val="left"/>
    </w:pPr>
    <w:rPr>
      <w:sz w:val="21"/>
    </w:rPr>
  </w:style>
  <w:style w:type="paragraph" w:styleId="12">
    <w:name w:val="Body Text 3"/>
    <w:basedOn w:val="1"/>
    <w:next w:val="1"/>
    <w:link w:val="44"/>
    <w:qFormat/>
    <w:uiPriority w:val="99"/>
    <w:rPr>
      <w:kern w:val="0"/>
      <w:sz w:val="16"/>
      <w:szCs w:val="16"/>
    </w:rPr>
  </w:style>
  <w:style w:type="paragraph" w:styleId="13">
    <w:name w:val="Body Text Indent"/>
    <w:basedOn w:val="1"/>
    <w:qFormat/>
    <w:uiPriority w:val="0"/>
    <w:pPr>
      <w:spacing w:after="120"/>
      <w:ind w:left="420" w:leftChars="200"/>
    </w:pPr>
  </w:style>
  <w:style w:type="paragraph" w:styleId="14">
    <w:name w:val="toc 3"/>
    <w:basedOn w:val="1"/>
    <w:next w:val="1"/>
    <w:qFormat/>
    <w:uiPriority w:val="99"/>
    <w:pPr>
      <w:spacing w:line="600" w:lineRule="exact"/>
      <w:ind w:left="200" w:leftChars="200"/>
      <w:jc w:val="left"/>
    </w:pPr>
    <w:rPr>
      <w:sz w:val="26"/>
    </w:rPr>
  </w:style>
  <w:style w:type="paragraph" w:styleId="15">
    <w:name w:val="Plain Text"/>
    <w:basedOn w:val="1"/>
    <w:link w:val="39"/>
    <w:qFormat/>
    <w:uiPriority w:val="99"/>
    <w:rPr>
      <w:rFonts w:ascii="宋体" w:hAnsi="Courier New"/>
      <w:kern w:val="0"/>
      <w:sz w:val="20"/>
      <w:szCs w:val="21"/>
    </w:rPr>
  </w:style>
  <w:style w:type="paragraph" w:styleId="16">
    <w:name w:val="Date"/>
    <w:basedOn w:val="1"/>
    <w:next w:val="1"/>
    <w:link w:val="46"/>
    <w:unhideWhenUsed/>
    <w:qFormat/>
    <w:uiPriority w:val="99"/>
    <w:pPr>
      <w:ind w:left="100" w:leftChars="2500"/>
    </w:pPr>
  </w:style>
  <w:style w:type="paragraph" w:styleId="17">
    <w:name w:val="Balloon Text"/>
    <w:basedOn w:val="1"/>
    <w:link w:val="47"/>
    <w:qFormat/>
    <w:uiPriority w:val="99"/>
    <w:rPr>
      <w:sz w:val="18"/>
      <w:szCs w:val="18"/>
    </w:rPr>
  </w:style>
  <w:style w:type="paragraph" w:styleId="18">
    <w:name w:val="footer"/>
    <w:basedOn w:val="1"/>
    <w:link w:val="48"/>
    <w:qFormat/>
    <w:uiPriority w:val="99"/>
    <w:pPr>
      <w:tabs>
        <w:tab w:val="center" w:pos="4153"/>
        <w:tab w:val="right" w:pos="8306"/>
      </w:tabs>
      <w:snapToGrid w:val="0"/>
      <w:jc w:val="left"/>
    </w:pPr>
    <w:rPr>
      <w:kern w:val="0"/>
      <w:sz w:val="18"/>
      <w:szCs w:val="18"/>
    </w:rPr>
  </w:style>
  <w:style w:type="paragraph" w:styleId="19">
    <w:name w:val="header"/>
    <w:basedOn w:val="1"/>
    <w:link w:val="49"/>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qFormat/>
    <w:uiPriority w:val="39"/>
    <w:pPr>
      <w:spacing w:line="600" w:lineRule="exact"/>
    </w:pPr>
    <w:rPr>
      <w:b/>
      <w:bCs/>
      <w:sz w:val="26"/>
    </w:rPr>
  </w:style>
  <w:style w:type="paragraph" w:styleId="21">
    <w:name w:val="toc 2"/>
    <w:basedOn w:val="1"/>
    <w:next w:val="1"/>
    <w:qFormat/>
    <w:uiPriority w:val="39"/>
    <w:pPr>
      <w:tabs>
        <w:tab w:val="right" w:leader="dot" w:pos="9060"/>
      </w:tabs>
      <w:spacing w:line="600" w:lineRule="exact"/>
      <w:ind w:left="280" w:leftChars="100"/>
    </w:pPr>
    <w:rPr>
      <w:sz w:val="26"/>
    </w:rPr>
  </w:style>
  <w:style w:type="paragraph" w:styleId="22">
    <w:name w:val="Normal (Web)"/>
    <w:basedOn w:val="1"/>
    <w:unhideWhenUsed/>
    <w:qFormat/>
    <w:uiPriority w:val="99"/>
    <w:pPr>
      <w:widowControl/>
      <w:spacing w:before="100" w:beforeAutospacing="1" w:after="100" w:afterAutospacing="1"/>
      <w:jc w:val="left"/>
    </w:pPr>
    <w:rPr>
      <w:rFonts w:ascii="宋体" w:hAnsi="宋体"/>
      <w:color w:val="003399"/>
      <w:kern w:val="0"/>
      <w:sz w:val="24"/>
    </w:rPr>
  </w:style>
  <w:style w:type="paragraph" w:styleId="23">
    <w:name w:val="Title"/>
    <w:basedOn w:val="1"/>
    <w:next w:val="1"/>
    <w:link w:val="50"/>
    <w:qFormat/>
    <w:locked/>
    <w:uiPriority w:val="0"/>
    <w:pPr>
      <w:spacing w:before="240" w:after="60"/>
      <w:jc w:val="center"/>
      <w:outlineLvl w:val="0"/>
    </w:pPr>
    <w:rPr>
      <w:rFonts w:ascii="Cambria" w:hAnsi="Cambria"/>
      <w:b/>
      <w:bCs/>
      <w:sz w:val="32"/>
      <w:szCs w:val="32"/>
    </w:rPr>
  </w:style>
  <w:style w:type="paragraph" w:styleId="24">
    <w:name w:val="annotation subject"/>
    <w:basedOn w:val="11"/>
    <w:next w:val="11"/>
    <w:link w:val="51"/>
    <w:unhideWhenUsed/>
    <w:qFormat/>
    <w:uiPriority w:val="99"/>
    <w:rPr>
      <w:b/>
      <w:bCs/>
      <w:sz w:val="28"/>
    </w:rPr>
  </w:style>
  <w:style w:type="paragraph" w:styleId="25">
    <w:name w:val="Body Text First Indent"/>
    <w:basedOn w:val="3"/>
    <w:link w:val="52"/>
    <w:qFormat/>
    <w:uiPriority w:val="99"/>
    <w:pPr>
      <w:ind w:firstLine="420"/>
    </w:pPr>
  </w:style>
  <w:style w:type="paragraph" w:styleId="26">
    <w:name w:val="Body Text First Indent 2"/>
    <w:basedOn w:val="13"/>
    <w:qFormat/>
    <w:uiPriority w:val="0"/>
    <w:pPr>
      <w:ind w:firstLine="420" w:firstLineChars="200"/>
    </w:p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0"/>
    <w:rPr>
      <w:b/>
    </w:rPr>
  </w:style>
  <w:style w:type="character" w:styleId="31">
    <w:name w:val="page number"/>
    <w:qFormat/>
    <w:uiPriority w:val="99"/>
    <w:rPr>
      <w:rFonts w:cs="Times New Roman"/>
    </w:rPr>
  </w:style>
  <w:style w:type="character" w:styleId="32">
    <w:name w:val="FollowedHyperlink"/>
    <w:unhideWhenUsed/>
    <w:qFormat/>
    <w:uiPriority w:val="99"/>
    <w:rPr>
      <w:color w:val="0084FF"/>
      <w:u w:val="none"/>
    </w:rPr>
  </w:style>
  <w:style w:type="character" w:styleId="33">
    <w:name w:val="Emphasis"/>
    <w:qFormat/>
    <w:locked/>
    <w:uiPriority w:val="0"/>
  </w:style>
  <w:style w:type="character" w:styleId="34">
    <w:name w:val="Hyperlink"/>
    <w:qFormat/>
    <w:uiPriority w:val="99"/>
    <w:rPr>
      <w:rFonts w:cs="Times New Roman"/>
      <w:color w:val="0000FF"/>
      <w:u w:val="single"/>
    </w:rPr>
  </w:style>
  <w:style w:type="character" w:styleId="35">
    <w:name w:val="HTML Code"/>
    <w:unhideWhenUsed/>
    <w:qFormat/>
    <w:uiPriority w:val="99"/>
    <w:rPr>
      <w:rFonts w:hint="default" w:ascii="monospace" w:hAnsi="monospace" w:eastAsia="monospace" w:cs="monospace"/>
      <w:sz w:val="21"/>
      <w:szCs w:val="21"/>
    </w:rPr>
  </w:style>
  <w:style w:type="character" w:styleId="36">
    <w:name w:val="annotation reference"/>
    <w:unhideWhenUsed/>
    <w:qFormat/>
    <w:uiPriority w:val="99"/>
    <w:rPr>
      <w:sz w:val="21"/>
      <w:szCs w:val="21"/>
    </w:rPr>
  </w:style>
  <w:style w:type="character" w:styleId="37">
    <w:name w:val="HTML Keyboard"/>
    <w:unhideWhenUsed/>
    <w:qFormat/>
    <w:uiPriority w:val="99"/>
    <w:rPr>
      <w:rFonts w:ascii="monospace" w:hAnsi="monospace" w:eastAsia="monospace" w:cs="monospace"/>
      <w:sz w:val="21"/>
      <w:szCs w:val="21"/>
    </w:rPr>
  </w:style>
  <w:style w:type="character" w:styleId="38">
    <w:name w:val="HTML Sample"/>
    <w:unhideWhenUsed/>
    <w:qFormat/>
    <w:uiPriority w:val="99"/>
    <w:rPr>
      <w:rFonts w:hint="default" w:ascii="monospace" w:hAnsi="monospace" w:eastAsia="monospace" w:cs="monospace"/>
      <w:sz w:val="21"/>
      <w:szCs w:val="21"/>
    </w:rPr>
  </w:style>
  <w:style w:type="character" w:customStyle="1" w:styleId="39">
    <w:name w:val="纯文本 Char"/>
    <w:link w:val="15"/>
    <w:semiHidden/>
    <w:qFormat/>
    <w:uiPriority w:val="99"/>
    <w:rPr>
      <w:rFonts w:ascii="宋体" w:hAnsi="Courier New"/>
      <w:szCs w:val="21"/>
    </w:rPr>
  </w:style>
  <w:style w:type="character" w:customStyle="1" w:styleId="40">
    <w:name w:val="标题 1 Char"/>
    <w:link w:val="4"/>
    <w:qFormat/>
    <w:uiPriority w:val="99"/>
    <w:rPr>
      <w:rFonts w:ascii="Times New Roman" w:hAnsi="Times New Roman" w:eastAsia="宋体"/>
      <w:b/>
      <w:bCs/>
      <w:kern w:val="44"/>
      <w:sz w:val="32"/>
      <w:szCs w:val="44"/>
    </w:rPr>
  </w:style>
  <w:style w:type="character" w:customStyle="1" w:styleId="41">
    <w:name w:val="标题 2 Char"/>
    <w:link w:val="5"/>
    <w:qFormat/>
    <w:uiPriority w:val="99"/>
    <w:rPr>
      <w:b/>
      <w:color w:val="000000"/>
      <w:kern w:val="21"/>
      <w:sz w:val="32"/>
      <w:szCs w:val="32"/>
    </w:rPr>
  </w:style>
  <w:style w:type="character" w:customStyle="1" w:styleId="42">
    <w:name w:val="标题 3 Char"/>
    <w:link w:val="6"/>
    <w:semiHidden/>
    <w:qFormat/>
    <w:uiPriority w:val="9"/>
    <w:rPr>
      <w:b/>
      <w:bCs/>
      <w:sz w:val="32"/>
      <w:szCs w:val="32"/>
    </w:rPr>
  </w:style>
  <w:style w:type="character" w:customStyle="1" w:styleId="43">
    <w:name w:val="批注文字 Char"/>
    <w:link w:val="11"/>
    <w:qFormat/>
    <w:uiPriority w:val="99"/>
    <w:rPr>
      <w:rFonts w:ascii="Times New Roman" w:hAnsi="Times New Roman"/>
      <w:kern w:val="2"/>
      <w:sz w:val="21"/>
      <w:szCs w:val="24"/>
    </w:rPr>
  </w:style>
  <w:style w:type="character" w:customStyle="1" w:styleId="44">
    <w:name w:val="正文文本 3 Char"/>
    <w:link w:val="12"/>
    <w:semiHidden/>
    <w:qFormat/>
    <w:uiPriority w:val="99"/>
    <w:rPr>
      <w:sz w:val="16"/>
      <w:szCs w:val="16"/>
    </w:rPr>
  </w:style>
  <w:style w:type="character" w:customStyle="1" w:styleId="45">
    <w:name w:val="正文文本 Char"/>
    <w:link w:val="3"/>
    <w:semiHidden/>
    <w:qFormat/>
    <w:uiPriority w:val="99"/>
    <w:rPr>
      <w:sz w:val="28"/>
      <w:szCs w:val="24"/>
    </w:rPr>
  </w:style>
  <w:style w:type="character" w:customStyle="1" w:styleId="46">
    <w:name w:val="日期 Char"/>
    <w:link w:val="16"/>
    <w:semiHidden/>
    <w:qFormat/>
    <w:uiPriority w:val="99"/>
    <w:rPr>
      <w:kern w:val="2"/>
      <w:sz w:val="28"/>
      <w:szCs w:val="24"/>
    </w:rPr>
  </w:style>
  <w:style w:type="character" w:customStyle="1" w:styleId="47">
    <w:name w:val="批注框文本 Char"/>
    <w:link w:val="17"/>
    <w:qFormat/>
    <w:locked/>
    <w:uiPriority w:val="99"/>
    <w:rPr>
      <w:rFonts w:cs="Times New Roman"/>
      <w:kern w:val="2"/>
      <w:sz w:val="18"/>
      <w:szCs w:val="18"/>
    </w:rPr>
  </w:style>
  <w:style w:type="character" w:customStyle="1" w:styleId="48">
    <w:name w:val="页脚 Char"/>
    <w:link w:val="18"/>
    <w:qFormat/>
    <w:uiPriority w:val="99"/>
    <w:rPr>
      <w:sz w:val="18"/>
      <w:szCs w:val="18"/>
    </w:rPr>
  </w:style>
  <w:style w:type="character" w:customStyle="1" w:styleId="49">
    <w:name w:val="页眉 Char"/>
    <w:link w:val="19"/>
    <w:semiHidden/>
    <w:qFormat/>
    <w:uiPriority w:val="99"/>
    <w:rPr>
      <w:sz w:val="18"/>
      <w:szCs w:val="18"/>
    </w:rPr>
  </w:style>
  <w:style w:type="character" w:customStyle="1" w:styleId="50">
    <w:name w:val="标题 Char"/>
    <w:link w:val="23"/>
    <w:qFormat/>
    <w:uiPriority w:val="0"/>
    <w:rPr>
      <w:rFonts w:ascii="Cambria" w:hAnsi="Cambria" w:eastAsia="宋体" w:cs="Times New Roman"/>
      <w:b/>
      <w:bCs/>
      <w:kern w:val="2"/>
      <w:sz w:val="32"/>
      <w:szCs w:val="32"/>
    </w:rPr>
  </w:style>
  <w:style w:type="character" w:customStyle="1" w:styleId="51">
    <w:name w:val="批注主题 Char"/>
    <w:link w:val="24"/>
    <w:semiHidden/>
    <w:qFormat/>
    <w:uiPriority w:val="99"/>
    <w:rPr>
      <w:rFonts w:ascii="Times New Roman" w:hAnsi="Times New Roman"/>
      <w:b/>
      <w:bCs/>
      <w:kern w:val="2"/>
      <w:sz w:val="28"/>
      <w:szCs w:val="24"/>
    </w:rPr>
  </w:style>
  <w:style w:type="character" w:customStyle="1" w:styleId="52">
    <w:name w:val="正文首行缩进 Char"/>
    <w:link w:val="25"/>
    <w:semiHidden/>
    <w:qFormat/>
    <w:uiPriority w:val="99"/>
  </w:style>
  <w:style w:type="paragraph" w:customStyle="1" w:styleId="53">
    <w:name w:val="Body Text First Indent 21"/>
    <w:basedOn w:val="54"/>
    <w:qFormat/>
    <w:uiPriority w:val="0"/>
    <w:pPr>
      <w:spacing w:line="360" w:lineRule="auto"/>
    </w:pPr>
  </w:style>
  <w:style w:type="paragraph" w:customStyle="1" w:styleId="54">
    <w:name w:val="Body Text Indent1"/>
    <w:basedOn w:val="1"/>
    <w:qFormat/>
    <w:uiPriority w:val="0"/>
    <w:pPr>
      <w:spacing w:line="150" w:lineRule="atLeast"/>
      <w:ind w:firstLine="420"/>
      <w:textAlignment w:val="baseline"/>
    </w:pPr>
  </w:style>
  <w:style w:type="paragraph" w:customStyle="1" w:styleId="55">
    <w:name w:val="样式 宋体 行距: 1.5 倍行距"/>
    <w:basedOn w:val="56"/>
    <w:next w:val="1"/>
    <w:qFormat/>
    <w:uiPriority w:val="0"/>
    <w:pPr>
      <w:jc w:val="center"/>
    </w:pPr>
    <w:rPr>
      <w:rFonts w:ascii="Times New Roman"/>
      <w:b/>
    </w:rPr>
  </w:style>
  <w:style w:type="paragraph" w:customStyle="1" w:styleId="5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55"/>
    <w:qFormat/>
    <w:uiPriority w:val="0"/>
    <w:pPr>
      <w:widowControl w:val="0"/>
      <w:jc w:val="both"/>
    </w:pPr>
    <w:rPr>
      <w:rFonts w:ascii="Calibri" w:hAnsi="Calibri" w:eastAsia="宋体" w:cs="黑体"/>
      <w:kern w:val="2"/>
      <w:sz w:val="21"/>
      <w:szCs w:val="24"/>
      <w:lang w:val="en-US" w:eastAsia="zh-CN" w:bidi="ar-SA"/>
    </w:rPr>
  </w:style>
  <w:style w:type="paragraph" w:customStyle="1" w:styleId="5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55"/>
    <w:qFormat/>
    <w:uiPriority w:val="0"/>
    <w:pPr>
      <w:widowControl w:val="0"/>
      <w:jc w:val="both"/>
    </w:pPr>
    <w:rPr>
      <w:rFonts w:ascii="Calibri" w:hAnsi="Calibri" w:eastAsia="宋体" w:cs="黑体"/>
      <w:kern w:val="2"/>
      <w:sz w:val="21"/>
      <w:szCs w:val="24"/>
      <w:lang w:val="en-US" w:eastAsia="zh-CN" w:bidi="ar-SA"/>
    </w:rPr>
  </w:style>
  <w:style w:type="character" w:customStyle="1" w:styleId="58">
    <w:name w:val="icon40"/>
    <w:qFormat/>
    <w:uiPriority w:val="0"/>
  </w:style>
  <w:style w:type="character" w:customStyle="1" w:styleId="59">
    <w:name w:val="bar_info2"/>
    <w:qFormat/>
    <w:uiPriority w:val="0"/>
  </w:style>
  <w:style w:type="character" w:customStyle="1" w:styleId="60">
    <w:name w:val="icon41"/>
    <w:qFormat/>
    <w:uiPriority w:val="0"/>
  </w:style>
  <w:style w:type="character" w:customStyle="1" w:styleId="61">
    <w:name w:val="hover37"/>
    <w:qFormat/>
    <w:uiPriority w:val="0"/>
  </w:style>
  <w:style w:type="character" w:customStyle="1" w:styleId="62">
    <w:name w:val="占位符文本1"/>
    <w:qFormat/>
    <w:uiPriority w:val="99"/>
    <w:rPr>
      <w:rFonts w:cs="Times New Roman"/>
      <w:color w:val="808080"/>
    </w:rPr>
  </w:style>
  <w:style w:type="character" w:customStyle="1" w:styleId="63">
    <w:name w:val="active6"/>
    <w:qFormat/>
    <w:uiPriority w:val="0"/>
    <w:rPr>
      <w:color w:val="FFFFFF"/>
      <w:shd w:val="clear" w:color="auto" w:fill="0084FF"/>
    </w:rPr>
  </w:style>
  <w:style w:type="character" w:customStyle="1" w:styleId="64">
    <w:name w:val="first-child"/>
    <w:qFormat/>
    <w:uiPriority w:val="0"/>
  </w:style>
  <w:style w:type="character" w:customStyle="1" w:styleId="65">
    <w:name w:val="ask-txt"/>
    <w:qFormat/>
    <w:uiPriority w:val="0"/>
    <w:rPr>
      <w:color w:val="999999"/>
    </w:rPr>
  </w:style>
  <w:style w:type="character" w:customStyle="1" w:styleId="66">
    <w:name w:val="icon39"/>
    <w:qFormat/>
    <w:uiPriority w:val="0"/>
  </w:style>
  <w:style w:type="character" w:customStyle="1" w:styleId="67">
    <w:name w:val="icon38"/>
    <w:qFormat/>
    <w:uiPriority w:val="0"/>
  </w:style>
  <w:style w:type="character" w:customStyle="1" w:styleId="68">
    <w:name w:val="hover38"/>
    <w:qFormat/>
    <w:uiPriority w:val="0"/>
  </w:style>
  <w:style w:type="paragraph" w:customStyle="1" w:styleId="69">
    <w:name w:val="列出段落1"/>
    <w:basedOn w:val="1"/>
    <w:unhideWhenUsed/>
    <w:qFormat/>
    <w:uiPriority w:val="0"/>
    <w:pPr>
      <w:ind w:firstLine="420" w:firstLineChars="200"/>
    </w:pPr>
  </w:style>
  <w:style w:type="paragraph" w:customStyle="1" w:styleId="70">
    <w:name w:val="p0"/>
    <w:basedOn w:val="1"/>
    <w:qFormat/>
    <w:uiPriority w:val="0"/>
    <w:pPr>
      <w:widowControl/>
      <w:spacing w:beforeAutospacing="1" w:afterAutospacing="1"/>
      <w:jc w:val="left"/>
    </w:pPr>
    <w:rPr>
      <w:rFonts w:ascii="宋体" w:hAnsi="宋体" w:cs="宋体"/>
      <w:kern w:val="0"/>
      <w:sz w:val="24"/>
    </w:rPr>
  </w:style>
  <w:style w:type="paragraph" w:customStyle="1" w:styleId="71">
    <w:name w:val="段落"/>
    <w:basedOn w:val="1"/>
    <w:qFormat/>
    <w:uiPriority w:val="0"/>
    <w:pPr>
      <w:snapToGrid w:val="0"/>
      <w:spacing w:line="360" w:lineRule="auto"/>
      <w:ind w:firstLine="560" w:firstLineChars="200"/>
    </w:pPr>
    <w:rPr>
      <w:rFonts w:eastAsia="仿宋_GB2312" w:cs="宋体"/>
      <w:sz w:val="28"/>
      <w:szCs w:val="20"/>
    </w:rPr>
  </w:style>
  <w:style w:type="paragraph" w:customStyle="1" w:styleId="72">
    <w:name w:val="样式1"/>
    <w:basedOn w:val="1"/>
    <w:qFormat/>
    <w:uiPriority w:val="99"/>
    <w:pPr>
      <w:widowControl/>
      <w:spacing w:line="440" w:lineRule="exact"/>
      <w:ind w:firstLine="309" w:firstLineChars="147"/>
      <w:jc w:val="left"/>
    </w:pPr>
    <w:rPr>
      <w:rFonts w:ascii="宋体" w:hAnsi="宋体"/>
      <w:color w:val="000000"/>
      <w:szCs w:val="21"/>
    </w:rPr>
  </w:style>
  <w:style w:type="paragraph" w:customStyle="1" w:styleId="73">
    <w:name w:val="p17"/>
    <w:basedOn w:val="1"/>
    <w:qFormat/>
    <w:uiPriority w:val="99"/>
    <w:pPr>
      <w:widowControl/>
      <w:spacing w:beforeAutospacing="1" w:afterAutospacing="1"/>
      <w:jc w:val="left"/>
    </w:pPr>
    <w:rPr>
      <w:rFonts w:ascii="宋体" w:hAnsi="宋体" w:cs="宋体"/>
      <w:kern w:val="0"/>
      <w:sz w:val="24"/>
    </w:rPr>
  </w:style>
  <w:style w:type="paragraph" w:customStyle="1" w:styleId="74">
    <w:name w:val="Table Paragraph"/>
    <w:basedOn w:val="1"/>
    <w:qFormat/>
    <w:uiPriority w:val="99"/>
    <w:pPr>
      <w:jc w:val="left"/>
    </w:pPr>
    <w:rPr>
      <w:rFonts w:ascii="Calibri" w:hAnsi="Calibri" w:eastAsia="Calibri" w:cs="Times New Roman"/>
      <w:kern w:val="0"/>
      <w:sz w:val="22"/>
      <w:szCs w:val="22"/>
      <w:lang w:eastAsia="en-US"/>
    </w:rPr>
  </w:style>
  <w:style w:type="paragraph" w:customStyle="1" w:styleId="75">
    <w:name w:val="List Paragraph"/>
    <w:basedOn w:val="1"/>
    <w:qFormat/>
    <w:uiPriority w:val="0"/>
    <w:pPr>
      <w:autoSpaceDE w:val="0"/>
      <w:autoSpaceDN w:val="0"/>
      <w:ind w:left="240" w:firstLine="420"/>
      <w:jc w:val="left"/>
    </w:pPr>
    <w:rPr>
      <w:rFonts w:ascii="Droid Sans Fallback" w:hAnsi="Droid Sans Fallback" w:eastAsia="宋体" w:cs="Droid Sans Fallback"/>
      <w:kern w:val="0"/>
      <w:sz w:val="22"/>
      <w:szCs w:val="22"/>
      <w:lang w:val="zh-CN"/>
    </w:rPr>
  </w:style>
  <w:style w:type="paragraph" w:customStyle="1" w:styleId="76">
    <w:name w:val="样式 标题 3 + (中文) 黑体 小四 非加粗 段前: 7.8 磅 段后: 0 磅 行距: 固定值 20 磅"/>
    <w:basedOn w:val="6"/>
    <w:qFormat/>
    <w:uiPriority w:val="99"/>
    <w:pPr>
      <w:spacing w:line="400" w:lineRule="exact"/>
    </w:pPr>
    <w:rPr>
      <w:rFonts w:eastAsia="黑体" w:cs="宋体"/>
      <w:b w:val="0"/>
      <w:bCs w:val="0"/>
      <w:sz w:val="24"/>
      <w:szCs w:val="20"/>
    </w:rPr>
  </w:style>
  <w:style w:type="paragraph" w:customStyle="1" w:styleId="77">
    <w:name w:val="List Paragraph1"/>
    <w:basedOn w:val="1"/>
    <w:qFormat/>
    <w:uiPriority w:val="99"/>
    <w:pPr>
      <w:autoSpaceDE w:val="0"/>
      <w:autoSpaceDN w:val="0"/>
      <w:ind w:left="240" w:firstLine="419"/>
      <w:jc w:val="left"/>
    </w:pPr>
    <w:rPr>
      <w:rFonts w:ascii="宋体" w:hAnsi="宋体" w:cs="宋体"/>
      <w:kern w:val="0"/>
      <w:sz w:val="22"/>
      <w:szCs w:val="22"/>
      <w:lang w:val="zh-CN"/>
    </w:rPr>
  </w:style>
  <w:style w:type="paragraph" w:customStyle="1" w:styleId="78">
    <w:name w:val="Char Char Char Char Char Char Char Char Char Char Char Char Char Char Char Char"/>
    <w:basedOn w:val="1"/>
    <w:qFormat/>
    <w:uiPriority w:val="99"/>
    <w:pPr>
      <w:spacing w:line="360" w:lineRule="auto"/>
      <w:ind w:firstLine="200" w:firstLineChars="200"/>
    </w:pPr>
  </w:style>
  <w:style w:type="paragraph" w:customStyle="1" w:styleId="79">
    <w:name w:val="正文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8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1">
    <w:name w:val="p15"/>
    <w:basedOn w:val="1"/>
    <w:qFormat/>
    <w:uiPriority w:val="0"/>
    <w:pPr>
      <w:spacing w:after="0" w:line="240" w:lineRule="auto"/>
      <w:jc w:val="both"/>
    </w:pPr>
    <w:rPr>
      <w:rFonts w:ascii="Times New Roman" w:hAnsi="Times New Roman" w:eastAsia="宋体" w:cs="Times New Roman"/>
      <w:color w:val="auto"/>
      <w:kern w:val="0"/>
      <w:sz w:val="21"/>
      <w:szCs w:val="21"/>
    </w:rPr>
  </w:style>
  <w:style w:type="paragraph" w:customStyle="1" w:styleId="82">
    <w:name w:val="Normal Indent"/>
    <w:basedOn w:val="1"/>
    <w:qFormat/>
    <w:uiPriority w:val="0"/>
    <w:pPr>
      <w:widowControl/>
      <w:spacing w:line="360" w:lineRule="auto"/>
      <w:ind w:firstLine="420"/>
      <w:jc w:val="left"/>
    </w:pPr>
    <w:rPr>
      <w:rFonts w:ascii="宋体" w:hAnsi="Times New Roman" w:cs="Times New Roman"/>
      <w:kern w:val="0"/>
      <w:sz w:val="20"/>
      <w:szCs w:val="20"/>
    </w:rPr>
  </w:style>
  <w:style w:type="character" w:customStyle="1" w:styleId="83">
    <w:name w:val="NormalCharacter"/>
    <w:semiHidden/>
    <w:qFormat/>
    <w:uiPriority w:val="0"/>
  </w:style>
  <w:style w:type="table" w:customStyle="1" w:styleId="84">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85">
    <w:name w:val="BodyText"/>
    <w:basedOn w:val="1"/>
    <w:qFormat/>
    <w:uiPriority w:val="0"/>
    <w:pPr>
      <w:spacing w:after="120"/>
    </w:pPr>
    <w:rPr>
      <w:rFonts w:ascii="Times New Roman" w:hAnsi="Times New Roman"/>
      <w:kern w:val="0"/>
      <w:sz w:val="20"/>
      <w:szCs w:val="20"/>
    </w:rPr>
  </w:style>
  <w:style w:type="paragraph" w:customStyle="1" w:styleId="86">
    <w:name w:val="Table Text"/>
    <w:basedOn w:val="1"/>
    <w:semiHidden/>
    <w:qFormat/>
    <w:uiPriority w:val="0"/>
    <w:rPr>
      <w:rFonts w:ascii="宋体" w:hAnsi="宋体" w:eastAsia="宋体" w:cs="宋体"/>
      <w:sz w:val="20"/>
      <w:szCs w:val="20"/>
      <w:lang w:val="en-US" w:eastAsia="en-US" w:bidi="ar-SA"/>
    </w:rPr>
  </w:style>
  <w:style w:type="paragraph" w:customStyle="1" w:styleId="87">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样式7"/>
    <w:basedOn w:val="1"/>
    <w:qFormat/>
    <w:uiPriority w:val="0"/>
    <w:pPr>
      <w:spacing w:line="300" w:lineRule="exact"/>
      <w:ind w:left="-120" w:leftChars="-50" w:right="-120" w:rightChars="-50"/>
      <w:jc w:val="center"/>
    </w:pPr>
    <w:rPr>
      <w:rFonts w:eastAsia="宋体"/>
      <w:sz w:val="21"/>
    </w:rPr>
  </w:style>
  <w:style w:type="paragraph" w:customStyle="1" w:styleId="89">
    <w:name w:val="UserStyle_2"/>
    <w:basedOn w:val="1"/>
    <w:qFormat/>
    <w:uiPriority w:val="0"/>
    <w:pPr>
      <w:widowControl/>
    </w:pPr>
  </w:style>
  <w:style w:type="paragraph" w:customStyle="1" w:styleId="90">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1">
    <w:name w:val="正文 New"/>
    <w:unhideWhenUsed/>
    <w:qFormat/>
    <w:uiPriority w:val="0"/>
    <w:pPr>
      <w:widowControl w:val="0"/>
      <w:spacing w:beforeLines="0" w:afterLines="0" w:line="360" w:lineRule="auto"/>
      <w:jc w:val="both"/>
    </w:pPr>
    <w:rPr>
      <w:rFonts w:hint="eastAsia" w:ascii="宋体" w:hAnsi="Times New Roman" w:eastAsia="宋体" w:cs="Times New Roman"/>
      <w:kern w:val="2"/>
      <w:sz w:val="24"/>
      <w:szCs w:val="24"/>
      <w:lang w:val="en-US" w:eastAsia="zh-CN" w:bidi="ar-SA"/>
    </w:rPr>
  </w:style>
  <w:style w:type="paragraph" w:customStyle="1" w:styleId="92">
    <w:name w:val="页脚 New"/>
    <w:basedOn w:val="91"/>
    <w:unhideWhenUsed/>
    <w:qFormat/>
    <w:uiPriority w:val="0"/>
    <w:pPr>
      <w:widowControl/>
      <w:tabs>
        <w:tab w:val="center" w:pos="4153"/>
        <w:tab w:val="right" w:pos="8306"/>
      </w:tabs>
      <w:snapToGrid w:val="0"/>
      <w:spacing w:beforeLines="0" w:afterLines="0"/>
      <w:jc w:val="left"/>
    </w:pPr>
    <w:rPr>
      <w:rFonts w:hint="eastAsia"/>
      <w:kern w:val="0"/>
      <w:sz w:val="18"/>
      <w:szCs w:val="24"/>
    </w:rPr>
  </w:style>
  <w:style w:type="character" w:customStyle="1" w:styleId="93">
    <w:name w:val="font21"/>
    <w:qFormat/>
    <w:uiPriority w:val="99"/>
    <w:rPr>
      <w:rFonts w:ascii="宋体" w:hAnsi="宋体" w:eastAsia="宋体"/>
      <w:color w:val="000000"/>
      <w:sz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82</Pages>
  <Words>9242</Words>
  <Characters>10444</Characters>
  <Lines>352</Lines>
  <Paragraphs>99</Paragraphs>
  <TotalTime>14</TotalTime>
  <ScaleCrop>false</ScaleCrop>
  <LinksUpToDate>false</LinksUpToDate>
  <CharactersWithSpaces>10683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2024-03-21T07:10:00Z</dcterms:created>
  <dc:creator>Administrator</dc:creator>
  <cp:lastModifiedBy>代理程</cp:lastModifiedBy>
  <cp:lastPrinted>2025-12-05T01:12:00Z</cp:lastPrinted>
  <dcterms:modified xsi:type="dcterms:W3CDTF">2025-12-30T09:14:47Z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1FAF01B9BA4C4C2699E834042053BBE3</vt:lpwstr>
  </property>
  <property fmtid="{D5CDD505-2E9C-101B-9397-08002B2CF9AE}" pid="4" name="KSOTemplateDocerSaveRecord">
    <vt:lpwstr>eyJoZGlkIjoiNzViM2JjZTM3YTE2NzA3YmI5OWRkMGFmY2RjMDcxOTYiLCJ1c2VySWQiOiIzNTY0MzcwNDMifQ==</vt:lpwstr>
  </property>
</Properties>
</file>